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C44214">
      <w:pPr>
        <w:spacing w:beforeLines="0" w:afterLines="0" w:line="1110" w:lineRule="exact"/>
        <w:ind w:left="20"/>
        <w:jc w:val="center"/>
        <w:rPr>
          <w:rFonts w:hint="eastAsia" w:ascii="微软雅黑" w:hAnsi="微软雅黑" w:eastAsia="微软雅黑"/>
          <w:b/>
          <w:sz w:val="84"/>
          <w:szCs w:val="24"/>
        </w:rPr>
      </w:pPr>
    </w:p>
    <w:p w14:paraId="433A238A">
      <w:pPr>
        <w:spacing w:beforeLines="0" w:afterLines="0" w:line="1110" w:lineRule="exact"/>
        <w:ind w:left="20"/>
        <w:jc w:val="center"/>
        <w:rPr>
          <w:rFonts w:hint="eastAsia" w:ascii="微软雅黑" w:hAnsi="微软雅黑" w:eastAsia="微软雅黑"/>
          <w:b/>
          <w:sz w:val="84"/>
          <w:szCs w:val="24"/>
        </w:rPr>
      </w:pPr>
    </w:p>
    <w:p w14:paraId="0AC77E65">
      <w:pPr>
        <w:spacing w:beforeLines="0" w:afterLines="0" w:line="1110" w:lineRule="exact"/>
        <w:ind w:left="2180" w:leftChars="8" w:hanging="2161" w:hangingChars="300"/>
        <w:jc w:val="both"/>
        <w:rPr>
          <w:rFonts w:hint="eastAsia" w:ascii="微软雅黑" w:hAnsi="微软雅黑" w:eastAsia="微软雅黑"/>
          <w:b/>
          <w:sz w:val="72"/>
          <w:szCs w:val="72"/>
        </w:rPr>
      </w:pPr>
    </w:p>
    <w:p w14:paraId="2AE66F81">
      <w:pPr>
        <w:spacing w:beforeLines="0" w:afterLines="0" w:line="1110" w:lineRule="exact"/>
        <w:ind w:left="2900" w:leftChars="8" w:hanging="2881" w:hangingChars="400"/>
        <w:jc w:val="both"/>
        <w:rPr>
          <w:rFonts w:hint="eastAsia" w:ascii="微软雅黑" w:hAnsi="微软雅黑" w:eastAsia="微软雅黑"/>
          <w:b/>
          <w:sz w:val="72"/>
          <w:szCs w:val="72"/>
        </w:rPr>
      </w:pPr>
    </w:p>
    <w:p w14:paraId="0874816D">
      <w:pPr>
        <w:spacing w:beforeLines="0" w:afterLines="0" w:line="1110" w:lineRule="exact"/>
        <w:ind w:left="2900" w:leftChars="8" w:hanging="2881" w:hangingChars="400"/>
        <w:jc w:val="both"/>
        <w:rPr>
          <w:rFonts w:hint="eastAsia" w:ascii="微软雅黑" w:hAnsi="微软雅黑" w:eastAsia="微软雅黑"/>
          <w:b/>
          <w:sz w:val="72"/>
          <w:szCs w:val="72"/>
        </w:rPr>
      </w:pPr>
      <w:r>
        <w:rPr>
          <w:rFonts w:hint="eastAsia" w:ascii="微软雅黑" w:hAnsi="微软雅黑" w:eastAsia="微软雅黑"/>
          <w:b/>
          <w:sz w:val="72"/>
          <w:szCs w:val="72"/>
        </w:rPr>
        <w:t>岳阳市公安局君山分局2026年度</w:t>
      </w:r>
    </w:p>
    <w:p w14:paraId="267C5D2B">
      <w:pPr>
        <w:spacing w:beforeLines="0" w:afterLines="0" w:line="1110" w:lineRule="exact"/>
        <w:ind w:left="2892" w:leftChars="1205" w:firstLine="0" w:firstLineChars="0"/>
        <w:jc w:val="both"/>
        <w:rPr>
          <w:rFonts w:hint="eastAsia" w:ascii="微软雅黑" w:hAnsi="微软雅黑" w:eastAsia="微软雅黑"/>
          <w:b/>
          <w:sz w:val="72"/>
          <w:szCs w:val="72"/>
        </w:rPr>
      </w:pPr>
      <w:r>
        <w:rPr>
          <w:rFonts w:hint="eastAsia" w:ascii="微软雅黑" w:hAnsi="微软雅黑" w:eastAsia="微软雅黑"/>
          <w:b/>
          <w:sz w:val="72"/>
          <w:szCs w:val="72"/>
        </w:rPr>
        <w:t>单位预算</w:t>
      </w:r>
    </w:p>
    <w:p w14:paraId="3D48924D">
      <w:pPr>
        <w:rPr>
          <w:rFonts w:hint="eastAsia" w:ascii="Dialog" w:hAnsi="Dialog"/>
          <w:sz w:val="44"/>
          <w:szCs w:val="24"/>
        </w:rPr>
      </w:pPr>
    </w:p>
    <w:p w14:paraId="6CFDE80E">
      <w:pPr>
        <w:rPr>
          <w:rFonts w:hint="eastAsia" w:ascii="Dialog" w:hAnsi="Dialog"/>
          <w:sz w:val="44"/>
          <w:szCs w:val="24"/>
        </w:rPr>
      </w:pPr>
    </w:p>
    <w:p w14:paraId="05337888">
      <w:pPr>
        <w:rPr>
          <w:rFonts w:hint="eastAsia" w:ascii="Dialog" w:hAnsi="Dialog"/>
          <w:sz w:val="44"/>
          <w:szCs w:val="24"/>
        </w:rPr>
      </w:pPr>
    </w:p>
    <w:p w14:paraId="329C9397">
      <w:pPr>
        <w:rPr>
          <w:rFonts w:hint="eastAsia" w:ascii="Dialog" w:hAnsi="Dialog"/>
          <w:sz w:val="44"/>
          <w:szCs w:val="24"/>
        </w:rPr>
      </w:pPr>
    </w:p>
    <w:p w14:paraId="5F27128B">
      <w:pPr>
        <w:rPr>
          <w:rFonts w:hint="eastAsia" w:ascii="Dialog" w:hAnsi="Dialog"/>
          <w:sz w:val="44"/>
          <w:szCs w:val="24"/>
        </w:rPr>
      </w:pPr>
    </w:p>
    <w:p w14:paraId="1727BF89">
      <w:pPr>
        <w:rPr>
          <w:rFonts w:hint="eastAsia" w:ascii="Dialog" w:hAnsi="Dialog"/>
          <w:sz w:val="44"/>
          <w:szCs w:val="24"/>
        </w:rPr>
      </w:pPr>
    </w:p>
    <w:p w14:paraId="2B3DA12B">
      <w:pPr>
        <w:rPr>
          <w:rFonts w:hint="eastAsia" w:ascii="Dialog" w:hAnsi="Dialog"/>
          <w:sz w:val="44"/>
          <w:szCs w:val="24"/>
        </w:rPr>
      </w:pPr>
    </w:p>
    <w:p w14:paraId="5D38E7A2">
      <w:pPr>
        <w:rPr>
          <w:rFonts w:hint="eastAsia" w:ascii="Dialog" w:hAnsi="Dialog"/>
          <w:sz w:val="44"/>
          <w:szCs w:val="24"/>
        </w:rPr>
      </w:pPr>
    </w:p>
    <w:p w14:paraId="0E21ED77">
      <w:pPr>
        <w:rPr>
          <w:rFonts w:hint="eastAsia" w:ascii="Dialog" w:hAnsi="Dialog"/>
          <w:sz w:val="44"/>
          <w:szCs w:val="24"/>
        </w:rPr>
      </w:pPr>
    </w:p>
    <w:p w14:paraId="362E3C79">
      <w:pPr>
        <w:rPr>
          <w:rFonts w:hint="eastAsia" w:ascii="Dialog" w:hAnsi="Dialog"/>
          <w:sz w:val="44"/>
          <w:szCs w:val="24"/>
        </w:rPr>
      </w:pPr>
    </w:p>
    <w:p w14:paraId="491A3960">
      <w:pPr>
        <w:jc w:val="center"/>
        <w:rPr>
          <w:rFonts w:hint="eastAsia" w:ascii="Dialog" w:hAnsi="Dialog"/>
          <w:sz w:val="44"/>
          <w:szCs w:val="24"/>
        </w:rPr>
      </w:pPr>
      <w:r>
        <w:rPr>
          <w:rFonts w:hint="eastAsia" w:ascii="Dialog" w:hAnsi="Dialog"/>
          <w:sz w:val="44"/>
          <w:szCs w:val="24"/>
        </w:rPr>
        <w:t>目</w:t>
      </w:r>
      <w:r>
        <w:rPr>
          <w:rFonts w:hint="eastAsia" w:ascii="Dialog" w:hAnsi="Dialog"/>
          <w:sz w:val="44"/>
          <w:szCs w:val="24"/>
          <w:lang w:val="en-US" w:eastAsia="zh-CN"/>
        </w:rPr>
        <w:t xml:space="preserve">   </w:t>
      </w:r>
      <w:r>
        <w:rPr>
          <w:rFonts w:hint="eastAsia" w:ascii="Dialog" w:hAnsi="Dialog"/>
          <w:sz w:val="44"/>
          <w:szCs w:val="24"/>
        </w:rPr>
        <w:t>录</w:t>
      </w:r>
    </w:p>
    <w:p w14:paraId="06E76542">
      <w:pPr>
        <w:numPr>
          <w:ilvl w:val="0"/>
          <w:numId w:val="1"/>
        </w:numPr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 xml:space="preserve"> 2026年单位预算说明</w:t>
      </w:r>
    </w:p>
    <w:p w14:paraId="34E862B8">
      <w:pPr>
        <w:numPr>
          <w:ilvl w:val="0"/>
          <w:numId w:val="1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 xml:space="preserve"> 2026年单位预算公开表格</w:t>
      </w:r>
    </w:p>
    <w:p w14:paraId="22F5AA50">
      <w:pPr>
        <w:numPr>
          <w:ilvl w:val="0"/>
          <w:numId w:val="2"/>
        </w:numPr>
        <w:ind w:left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收支总表</w:t>
      </w:r>
    </w:p>
    <w:p w14:paraId="1C99DFCC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收入总表</w:t>
      </w:r>
    </w:p>
    <w:p w14:paraId="5FD1C51E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支出总表</w:t>
      </w:r>
    </w:p>
    <w:p w14:paraId="4C2C66E4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支出预算分类汇总表（按政府预算经济分类）</w:t>
      </w:r>
    </w:p>
    <w:p w14:paraId="0291E3CF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支出预算分类汇总表（按部门预算经济分类）</w:t>
      </w:r>
    </w:p>
    <w:p w14:paraId="1B3646A1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财政拨款收支总表</w:t>
      </w:r>
    </w:p>
    <w:p w14:paraId="3F33B649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一般公共预算支出表</w:t>
      </w:r>
    </w:p>
    <w:p w14:paraId="537B1548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一般公共预算基本支出表-人员经费（工资福利支出）（按政府预算经济分类）</w:t>
      </w:r>
    </w:p>
    <w:p w14:paraId="7491D9DA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一般公共预算基本支出表-人员经费（工资福利支出）（按部门预算经济分类）</w:t>
      </w:r>
    </w:p>
    <w:p w14:paraId="582925E2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一般公共预算基本支出表-人员经费（对个人和家庭的补助）（按政府预算经济分类）</w:t>
      </w:r>
    </w:p>
    <w:p w14:paraId="0F2582DC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一般公共预算基本支出表-人员经费（对个人和家庭的补助）（按部门预算经济分类）</w:t>
      </w:r>
    </w:p>
    <w:p w14:paraId="7E180113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一般公共预算基本支出表-公用经费（商品和服务支出）（按政府预算经济分类）</w:t>
      </w:r>
    </w:p>
    <w:p w14:paraId="0CD712AF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  <w:lang w:eastAsia="zh-CN"/>
        </w:rPr>
      </w:pPr>
      <w:r>
        <w:rPr>
          <w:rFonts w:hint="eastAsia" w:ascii="Dialog" w:hAnsi="Dialog"/>
          <w:sz w:val="32"/>
          <w:szCs w:val="24"/>
        </w:rPr>
        <w:t>一般公共预算基本支出表-公用经费（商品和服务支出）（按部门预算经济分类</w:t>
      </w:r>
      <w:r>
        <w:rPr>
          <w:rFonts w:hint="eastAsia" w:ascii="Dialog" w:hAnsi="Dialog"/>
          <w:sz w:val="32"/>
          <w:szCs w:val="24"/>
          <w:lang w:eastAsia="zh-CN"/>
        </w:rPr>
        <w:t>）</w:t>
      </w:r>
    </w:p>
    <w:p w14:paraId="3601FD78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一般公共预算“三公”经费支出表</w:t>
      </w:r>
    </w:p>
    <w:p w14:paraId="4A5FB59F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政府性基金预算支出表</w:t>
      </w:r>
    </w:p>
    <w:p w14:paraId="7194D9C8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政府性基金预算支出分类汇总表（按政府预算经济类）</w:t>
      </w:r>
    </w:p>
    <w:p w14:paraId="6F69428E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政府性基金预算支出分类汇总表（按部门预算经济类）</w:t>
      </w:r>
    </w:p>
    <w:p w14:paraId="2C7A251C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国有资本经营预算支出表</w:t>
      </w:r>
    </w:p>
    <w:p w14:paraId="24F177D1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财政专户管理资金预算支出表</w:t>
      </w:r>
    </w:p>
    <w:p w14:paraId="0409580D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专项资金预算汇总表</w:t>
      </w:r>
    </w:p>
    <w:p w14:paraId="64C0196C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项目支出绩效目标表</w:t>
      </w:r>
    </w:p>
    <w:p w14:paraId="2FC09D4D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单位整体支出绩效目标表</w:t>
      </w:r>
    </w:p>
    <w:p w14:paraId="4D5A848B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一般公共预算基本支出表</w:t>
      </w:r>
    </w:p>
    <w:p w14:paraId="3A4A5E8F"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  <w:r>
        <w:rPr>
          <w:rFonts w:hint="eastAsia" w:ascii="Dialog" w:hAnsi="Dialog"/>
          <w:color w:val="FF0000"/>
          <w:sz w:val="32"/>
          <w:szCs w:val="24"/>
        </w:rPr>
        <w:t>注：以上单位预算公开报表中，空表表示本单位无相关收支情况。</w:t>
      </w:r>
    </w:p>
    <w:p w14:paraId="16272812"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</w:p>
    <w:p w14:paraId="0DFBE858"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</w:p>
    <w:p w14:paraId="06AA2E6E"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</w:p>
    <w:p w14:paraId="5023CEA8"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</w:p>
    <w:p w14:paraId="2F11EACC"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</w:p>
    <w:p w14:paraId="60B0E3BD"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</w:p>
    <w:p w14:paraId="0E6FCFFF"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</w:p>
    <w:p w14:paraId="7B7F1DFC"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</w:p>
    <w:p w14:paraId="0EF0401A"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</w:p>
    <w:p w14:paraId="020C91BC"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</w:p>
    <w:p w14:paraId="2D8BF24D">
      <w:pPr>
        <w:numPr>
          <w:ilvl w:val="0"/>
          <w:numId w:val="3"/>
        </w:numPr>
        <w:ind w:leftChars="0"/>
        <w:jc w:val="center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2026年单位预算说明</w:t>
      </w:r>
    </w:p>
    <w:p w14:paraId="68E4DF88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40" w:firstLineChars="200"/>
        <w:textAlignment w:val="auto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单位基本概况</w:t>
      </w:r>
    </w:p>
    <w:p w14:paraId="15D10641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40" w:firstLineChars="200"/>
        <w:textAlignment w:val="auto"/>
        <w:rPr>
          <w:rFonts w:hint="eastAsia" w:ascii="宋体" w:hAnsi="宋体"/>
          <w:sz w:val="32"/>
          <w:szCs w:val="24"/>
          <w:lang w:eastAsia="zh-CN"/>
        </w:rPr>
      </w:pPr>
      <w:r>
        <w:rPr>
          <w:rFonts w:hint="eastAsia" w:ascii="宋体" w:hAnsi="宋体" w:eastAsia="宋体"/>
          <w:sz w:val="32"/>
          <w:szCs w:val="24"/>
        </w:rPr>
        <w:t>职能职责</w:t>
      </w:r>
    </w:p>
    <w:p w14:paraId="5A3B4D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40" w:firstLineChars="200"/>
        <w:textAlignment w:val="auto"/>
        <w:rPr>
          <w:rFonts w:hint="eastAsia" w:ascii="宋体" w:hAnsi="宋体"/>
          <w:sz w:val="32"/>
          <w:szCs w:val="24"/>
          <w:lang w:eastAsia="zh-CN"/>
        </w:rPr>
      </w:pPr>
      <w:r>
        <w:rPr>
          <w:rFonts w:hint="eastAsia" w:ascii="宋体" w:hAnsi="Times New Roman" w:cs="宋体"/>
          <w:sz w:val="32"/>
          <w:szCs w:val="32"/>
        </w:rPr>
        <w:t>预防制止和侦查违法犯罪活动；维护社会治安秩序，制止危害社会治安秩序的行为；组织实施消防工作，实行消防监督；管理枪支弹药、控制刀具和易燃易爆、剧毒、放射等危险物品；对法律、法规指定的特种行业进行管理；警卫国家规定的特定人员，守卫重要的场所和设施；管理集会、游行、示威活动；管理户政、国籍、出入境事务和外国人在中国境内居留、旅行的有关事务；维护国边境地区的治安秩序；管理监督计算机信息系统的安全保卫工作；指导监督国家机关、社会团体、企业事业组织和重点建设工程的治安保卫工作，指导治安保卫委员会等群众性组织的治安防范工作；法律法规规定的其他职责。</w:t>
      </w:r>
    </w:p>
    <w:p w14:paraId="257DF8F7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="0" w:leftChars="0" w:firstLine="640" w:firstLineChars="200"/>
        <w:textAlignment w:val="auto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机构设置</w:t>
      </w:r>
    </w:p>
    <w:p w14:paraId="1DC2DD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textAlignment w:val="auto"/>
        <w:rPr>
          <w:rFonts w:hint="eastAsia" w:ascii="宋体" w:hAnsi="宋体" w:eastAsia="宋体"/>
          <w:sz w:val="32"/>
          <w:szCs w:val="24"/>
          <w:lang w:eastAsia="zh-CN"/>
        </w:rPr>
      </w:pPr>
      <w:r>
        <w:rPr>
          <w:rFonts w:hint="eastAsia" w:ascii="宋体" w:hAnsi="Times New Roman" w:cs="宋体"/>
          <w:sz w:val="32"/>
          <w:szCs w:val="32"/>
          <w:lang w:eastAsia="zh-CN"/>
        </w:rPr>
        <w:t>岳阳市公安局君山分局</w:t>
      </w:r>
      <w:r>
        <w:rPr>
          <w:rFonts w:hint="eastAsia" w:ascii="宋体" w:hAnsi="Times New Roman" w:cs="宋体"/>
          <w:sz w:val="32"/>
          <w:szCs w:val="32"/>
        </w:rPr>
        <w:t>包括：</w:t>
      </w:r>
      <w:r>
        <w:rPr>
          <w:rFonts w:hint="eastAsia" w:ascii="宋体" w:hAnsi="Times New Roman" w:cs="宋体"/>
          <w:sz w:val="32"/>
          <w:szCs w:val="32"/>
          <w:lang w:eastAsia="zh-CN"/>
        </w:rPr>
        <w:t>机关党委、拘留所、</w:t>
      </w:r>
      <w:r>
        <w:rPr>
          <w:rFonts w:hint="eastAsia" w:ascii="宋体" w:hAnsi="Times New Roman" w:cs="宋体"/>
          <w:sz w:val="32"/>
          <w:szCs w:val="32"/>
          <w:lang w:val="en-US" w:eastAsia="zh-CN"/>
        </w:rPr>
        <w:t>8个</w:t>
      </w:r>
      <w:r>
        <w:rPr>
          <w:rFonts w:hint="eastAsia" w:ascii="宋体" w:hAnsi="Times New Roman" w:cs="宋体"/>
          <w:sz w:val="32"/>
          <w:szCs w:val="32"/>
          <w:lang w:eastAsia="zh-CN"/>
        </w:rPr>
        <w:t>内设机构</w:t>
      </w:r>
      <w:r>
        <w:rPr>
          <w:rFonts w:hint="eastAsia" w:ascii="宋体" w:hAnsi="Times New Roman" w:cs="宋体"/>
          <w:sz w:val="32"/>
          <w:szCs w:val="32"/>
          <w:lang w:val="en-US" w:eastAsia="zh-CN"/>
        </w:rPr>
        <w:t>：</w:t>
      </w:r>
      <w:r>
        <w:rPr>
          <w:rFonts w:hint="eastAsia" w:ascii="宋体" w:hAnsi="Times New Roman" w:cs="宋体"/>
          <w:sz w:val="32"/>
          <w:szCs w:val="32"/>
          <w:lang w:eastAsia="zh-CN"/>
        </w:rPr>
        <w:t>政工室、警保室、情报指挥中心、政治安全保卫大队（反恐怖大队）、治安管理大队（出入境管理中队、留置看护大队）、刑事侦查大队（禁毒大队、经济犯罪侦查大队）、网络安全保卫大队（科技信息化与大数据实战大队）、法制大队（督察审计）；下属</w:t>
      </w:r>
      <w:r>
        <w:rPr>
          <w:rFonts w:hint="eastAsia" w:ascii="宋体" w:hAnsi="Times New Roman" w:cs="宋体"/>
          <w:sz w:val="32"/>
          <w:szCs w:val="32"/>
          <w:lang w:val="en-US" w:eastAsia="zh-CN"/>
        </w:rPr>
        <w:t>7个派出所：</w:t>
      </w:r>
      <w:r>
        <w:rPr>
          <w:rFonts w:hint="eastAsia" w:ascii="宋体" w:hAnsi="Times New Roman" w:cs="宋体"/>
          <w:sz w:val="32"/>
          <w:szCs w:val="32"/>
          <w:lang w:eastAsia="zh-CN"/>
        </w:rPr>
        <w:t>君山派出所、柳林洲派出所、广兴洲派出所、许市派出所、钱粮湖派出所、良心堡派出所。岳阳市公安局君山分局</w:t>
      </w:r>
      <w:r>
        <w:rPr>
          <w:rFonts w:hint="eastAsia" w:ascii="宋体" w:hAnsi="Times New Roman" w:cs="宋体"/>
          <w:sz w:val="32"/>
          <w:szCs w:val="32"/>
        </w:rPr>
        <w:t xml:space="preserve">现有人员编制 </w:t>
      </w:r>
      <w:r>
        <w:rPr>
          <w:rFonts w:hint="eastAsia" w:ascii="宋体" w:hAnsi="Times New Roman" w:cs="宋体"/>
          <w:sz w:val="32"/>
          <w:szCs w:val="32"/>
          <w:lang w:val="en-US" w:eastAsia="zh-CN"/>
        </w:rPr>
        <w:t>150</w:t>
      </w:r>
      <w:r>
        <w:rPr>
          <w:rFonts w:hint="eastAsia" w:ascii="宋体" w:hAnsi="Times New Roman" w:cs="宋体"/>
          <w:sz w:val="32"/>
          <w:szCs w:val="32"/>
        </w:rPr>
        <w:t>名，</w:t>
      </w:r>
      <w:r>
        <w:rPr>
          <w:rFonts w:hint="eastAsia" w:ascii="宋体" w:hAnsi="宋体" w:cs="宋体"/>
          <w:sz w:val="32"/>
          <w:szCs w:val="24"/>
        </w:rPr>
        <w:t>在职民警</w:t>
      </w:r>
      <w:r>
        <w:rPr>
          <w:rFonts w:hint="eastAsia" w:ascii="宋体" w:hAnsi="宋体" w:cs="宋体"/>
          <w:sz w:val="32"/>
          <w:szCs w:val="24"/>
          <w:lang w:val="en-US" w:eastAsia="zh-CN"/>
        </w:rPr>
        <w:t>145</w:t>
      </w:r>
      <w:r>
        <w:rPr>
          <w:rFonts w:hint="eastAsia" w:ascii="宋体" w:hAnsi="宋体" w:cs="宋体"/>
          <w:sz w:val="32"/>
          <w:szCs w:val="24"/>
        </w:rPr>
        <w:t>人，退休人员</w:t>
      </w:r>
      <w:r>
        <w:rPr>
          <w:rFonts w:hint="eastAsia" w:ascii="宋体" w:hAnsi="宋体" w:cs="宋体"/>
          <w:sz w:val="32"/>
          <w:szCs w:val="24"/>
          <w:lang w:val="en-US" w:eastAsia="zh-CN"/>
        </w:rPr>
        <w:t>24</w:t>
      </w:r>
      <w:r>
        <w:rPr>
          <w:rFonts w:hint="eastAsia" w:ascii="宋体" w:hAnsi="宋体" w:cs="宋体"/>
          <w:sz w:val="32"/>
          <w:szCs w:val="24"/>
        </w:rPr>
        <w:t>人，临时人员</w:t>
      </w:r>
      <w:r>
        <w:rPr>
          <w:rFonts w:hint="eastAsia" w:ascii="宋体" w:hAnsi="宋体" w:cs="宋体"/>
          <w:sz w:val="32"/>
          <w:szCs w:val="24"/>
          <w:lang w:val="en-US" w:eastAsia="zh-CN"/>
        </w:rPr>
        <w:t>154</w:t>
      </w:r>
      <w:r>
        <w:rPr>
          <w:rFonts w:hint="eastAsia" w:ascii="宋体" w:hAnsi="宋体" w:cs="宋体"/>
          <w:sz w:val="32"/>
          <w:szCs w:val="24"/>
        </w:rPr>
        <w:t>人</w:t>
      </w:r>
      <w:r>
        <w:rPr>
          <w:rFonts w:hint="eastAsia" w:ascii="宋体" w:hAnsi="宋体" w:cs="宋体"/>
          <w:sz w:val="32"/>
          <w:szCs w:val="24"/>
          <w:lang w:eastAsia="zh-CN"/>
        </w:rPr>
        <w:t>。</w:t>
      </w:r>
    </w:p>
    <w:p w14:paraId="49B21F58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="0" w:leftChars="0" w:firstLine="640" w:firstLineChars="200"/>
        <w:textAlignment w:val="auto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单位预算单位构成</w:t>
      </w:r>
    </w:p>
    <w:p w14:paraId="32BD8C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textAlignment w:val="auto"/>
        <w:rPr>
          <w:rFonts w:hint="eastAsia" w:ascii="Dialog" w:hAnsi="Dialog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本单位预算仅含本级预算。</w:t>
      </w:r>
    </w:p>
    <w:p w14:paraId="08C0A6C7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="0" w:leftChars="0" w:firstLine="640" w:firstLineChars="200"/>
        <w:textAlignment w:val="auto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单位收支总体情况</w:t>
      </w:r>
    </w:p>
    <w:p w14:paraId="23DFF3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textAlignment w:val="auto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本单位2026年没有政府性基金预算拨款、国有资本经营预算收入和纳入专户管理的非税收入拨款收入，也没有使用政府性基金预算拨款、国有资本经营预算收入和纳入专户管理的非税收入拨款安排的支出，所以公开的附件15、16、17、18、19表均为空。</w:t>
      </w:r>
    </w:p>
    <w:p w14:paraId="3EE64778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textAlignment w:val="auto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收入预算</w:t>
      </w:r>
    </w:p>
    <w:p w14:paraId="56DE17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40" w:firstLineChars="200"/>
        <w:textAlignment w:val="auto"/>
        <w:rPr>
          <w:rFonts w:hint="eastAsia" w:ascii="宋体" w:hAnsi="宋体" w:eastAsia="宋体"/>
          <w:sz w:val="32"/>
          <w:szCs w:val="24"/>
          <w:lang w:eastAsia="zh-CN"/>
        </w:rPr>
      </w:pPr>
      <w:r>
        <w:rPr>
          <w:rFonts w:hint="eastAsia" w:ascii="宋体" w:hAnsi="宋体" w:eastAsia="宋体"/>
          <w:sz w:val="32"/>
          <w:szCs w:val="24"/>
        </w:rPr>
        <w:t>包括一般公共预算、政府性基金、国有资本经营预算等财政拨款收入，以及经营收入、事业收入等单位资金。2026年度本单位收入预算3287.38万元，其中，一般公共预算拨款3287.38万元，政府性基金预算资金0.00万元(所以公开的附件17为空)，国有资本经营预算资金0.00万元(所以公开的附件18为空)，财政专户管理资金0.00万元(所以公开的附件19为空)，上级补助收入资金0.00万元，事业单位经营收入资金0.00万元，上年结转结余0.00万元。(数据来源见表2)本单位2026年收入较去年增加</w:t>
      </w:r>
      <w:r>
        <w:rPr>
          <w:rFonts w:hint="eastAsia" w:ascii="宋体" w:hAnsi="宋体"/>
          <w:sz w:val="32"/>
          <w:szCs w:val="24"/>
          <w:lang w:val="en-US" w:eastAsia="zh-CN"/>
        </w:rPr>
        <w:t>257.15</w:t>
      </w:r>
      <w:r>
        <w:rPr>
          <w:rFonts w:hint="eastAsia" w:ascii="宋体" w:hAnsi="宋体" w:eastAsia="宋体"/>
          <w:sz w:val="32"/>
          <w:szCs w:val="24"/>
        </w:rPr>
        <w:t>万元，上升</w:t>
      </w:r>
      <w:r>
        <w:rPr>
          <w:rFonts w:hint="eastAsia" w:ascii="宋体" w:hAnsi="宋体"/>
          <w:sz w:val="32"/>
          <w:szCs w:val="24"/>
          <w:lang w:val="en-US" w:eastAsia="zh-CN"/>
        </w:rPr>
        <w:t>8.49</w:t>
      </w:r>
      <w:r>
        <w:rPr>
          <w:rFonts w:hint="eastAsia" w:ascii="宋体" w:hAnsi="宋体" w:eastAsia="宋体"/>
          <w:sz w:val="32"/>
          <w:szCs w:val="24"/>
        </w:rPr>
        <w:t>%，</w:t>
      </w:r>
      <w:r>
        <w:rPr>
          <w:rFonts w:hint="eastAsia" w:ascii="宋体" w:hAnsi="宋体"/>
          <w:sz w:val="32"/>
          <w:szCs w:val="24"/>
          <w:lang w:eastAsia="zh-CN"/>
        </w:rPr>
        <w:t>主要是因为</w:t>
      </w:r>
      <w:r>
        <w:rPr>
          <w:rFonts w:hint="eastAsia" w:ascii="宋体" w:hAnsi="宋体" w:eastAsia="宋体"/>
          <w:sz w:val="32"/>
          <w:szCs w:val="24"/>
        </w:rPr>
        <w:t>人员增加、经费</w:t>
      </w:r>
      <w:r>
        <w:rPr>
          <w:rFonts w:hint="eastAsia" w:ascii="宋体" w:hAnsi="宋体"/>
          <w:sz w:val="32"/>
          <w:szCs w:val="24"/>
          <w:lang w:eastAsia="zh-CN"/>
        </w:rPr>
        <w:t>提</w:t>
      </w:r>
      <w:r>
        <w:rPr>
          <w:rFonts w:hint="eastAsia" w:ascii="宋体" w:hAnsi="宋体" w:eastAsia="宋体"/>
          <w:sz w:val="32"/>
          <w:szCs w:val="24"/>
        </w:rPr>
        <w:t>标导致的社会保障金也相应提高</w:t>
      </w:r>
      <w:r>
        <w:rPr>
          <w:rFonts w:hint="eastAsia" w:ascii="宋体" w:hAnsi="宋体" w:eastAsia="宋体"/>
          <w:sz w:val="32"/>
          <w:szCs w:val="24"/>
          <w:lang w:eastAsia="zh-CN"/>
        </w:rPr>
        <w:t>。</w:t>
      </w:r>
    </w:p>
    <w:p w14:paraId="5F3FD2F7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="0" w:leftChars="0" w:firstLine="640" w:firstLineChars="200"/>
        <w:textAlignment w:val="auto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支出预算</w:t>
      </w:r>
    </w:p>
    <w:p w14:paraId="1D6257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40" w:firstLineChars="200"/>
        <w:textAlignment w:val="auto"/>
        <w:rPr>
          <w:rFonts w:hint="eastAsia" w:ascii="宋体" w:hAnsi="宋体" w:eastAsia="宋体"/>
          <w:sz w:val="32"/>
          <w:szCs w:val="24"/>
          <w:lang w:eastAsia="zh-CN"/>
        </w:rPr>
      </w:pPr>
      <w:r>
        <w:rPr>
          <w:rFonts w:hint="eastAsia" w:ascii="宋体" w:hAnsi="宋体" w:eastAsia="宋体"/>
          <w:sz w:val="32"/>
          <w:szCs w:val="24"/>
        </w:rPr>
        <w:t>2026年本单位支出预算3287.38万元，其中，204公共安全支出2603.69万元，208社会保障和就业支出285.25万元，210卫生健康支出212.27万元，221住房保障支出186.17万元，支出较去年去年增加</w:t>
      </w:r>
      <w:r>
        <w:rPr>
          <w:rFonts w:hint="eastAsia" w:ascii="宋体" w:hAnsi="宋体"/>
          <w:sz w:val="32"/>
          <w:szCs w:val="24"/>
          <w:lang w:val="en-US" w:eastAsia="zh-CN"/>
        </w:rPr>
        <w:t>257.15</w:t>
      </w:r>
      <w:r>
        <w:rPr>
          <w:rFonts w:hint="eastAsia" w:ascii="宋体" w:hAnsi="宋体" w:eastAsia="宋体"/>
          <w:sz w:val="32"/>
          <w:szCs w:val="24"/>
        </w:rPr>
        <w:t>万元，上升</w:t>
      </w:r>
      <w:r>
        <w:rPr>
          <w:rFonts w:hint="eastAsia" w:ascii="宋体" w:hAnsi="宋体"/>
          <w:sz w:val="32"/>
          <w:szCs w:val="24"/>
          <w:lang w:val="en-US" w:eastAsia="zh-CN"/>
        </w:rPr>
        <w:t>8.49</w:t>
      </w:r>
      <w:r>
        <w:rPr>
          <w:rFonts w:hint="eastAsia" w:ascii="宋体" w:hAnsi="宋体" w:eastAsia="宋体"/>
          <w:sz w:val="32"/>
          <w:szCs w:val="24"/>
        </w:rPr>
        <w:t>%，</w:t>
      </w:r>
      <w:r>
        <w:rPr>
          <w:rFonts w:hint="eastAsia" w:ascii="宋体" w:hAnsi="宋体" w:eastAsia="宋体"/>
          <w:sz w:val="32"/>
          <w:szCs w:val="24"/>
          <w:highlight w:val="none"/>
        </w:rPr>
        <w:t>主要是因为人员增加、经费提标导致的社会保障金也相应提高</w:t>
      </w:r>
      <w:r>
        <w:rPr>
          <w:rFonts w:hint="eastAsia" w:ascii="宋体" w:hAnsi="宋体"/>
          <w:sz w:val="32"/>
          <w:szCs w:val="24"/>
          <w:lang w:eastAsia="zh-CN"/>
        </w:rPr>
        <w:t>。</w:t>
      </w:r>
    </w:p>
    <w:p w14:paraId="2E87D55E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="0" w:leftChars="0" w:firstLine="640" w:firstLineChars="200"/>
        <w:textAlignment w:val="auto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一般公共预算拨款支出预算</w:t>
      </w:r>
    </w:p>
    <w:p w14:paraId="3863EF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textAlignment w:val="auto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2026年一般公共预算拨款支出预算3287.38万元，其中，204公共安全支出2603.69万元，占79.2%；208社会保障和就业支出285.25万元，占8.68%；210卫生健康支出212.27万元，占6.46%；221住房保障支出186.17万元，占5.66%；具体安排情况如下：</w:t>
      </w:r>
    </w:p>
    <w:p w14:paraId="10046862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textAlignment w:val="auto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基本支出：2026年基本支出年初预算数为2951.81万元（数据来源见表23），是指为保障单位机构正常运转、完成日常工作任务而发生的各项支出，包括用于基本工资、津贴补贴等人员经费以及办公费、印刷费、水电费、差旅费等日常公用经费。</w:t>
      </w:r>
    </w:p>
    <w:p w14:paraId="5F3E1F73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="0" w:leftChars="0" w:firstLine="640" w:firstLineChars="200"/>
        <w:textAlignment w:val="auto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项目支出：2026年项目支出年初预算数为335.57万元（数据来源见表20），是指单位为完成特定行政工作任务或事业发展目标而发生的支出，包括有关业务工作经费、运行维护经费、其他事业发展资金等。其中：2026年其他人员类支出专项支出276.77万元，主要用于</w:t>
      </w:r>
      <w:r>
        <w:rPr>
          <w:rFonts w:hint="eastAsia" w:ascii="宋体" w:hAnsi="Times New Roman" w:cs="宋体"/>
          <w:sz w:val="32"/>
          <w:szCs w:val="32"/>
          <w:lang w:eastAsia="zh-CN"/>
        </w:rPr>
        <w:t>人民警察法定之外加班补助、执勤岗位津贴</w:t>
      </w:r>
      <w:r>
        <w:rPr>
          <w:rFonts w:hint="eastAsia" w:ascii="宋体" w:hAnsi="Times New Roman" w:cs="宋体"/>
          <w:sz w:val="32"/>
          <w:szCs w:val="32"/>
        </w:rPr>
        <w:t>,乡镇派出所民警工作津贴</w:t>
      </w:r>
      <w:r>
        <w:rPr>
          <w:rFonts w:hint="eastAsia" w:ascii="宋体" w:hAnsi="Times New Roman" w:cs="宋体"/>
          <w:sz w:val="32"/>
          <w:szCs w:val="32"/>
          <w:lang w:eastAsia="zh-CN"/>
        </w:rPr>
        <w:t>方面支出</w:t>
      </w:r>
      <w:r>
        <w:rPr>
          <w:rFonts w:hint="eastAsia" w:ascii="宋体" w:hAnsi="宋体" w:eastAsia="宋体"/>
          <w:sz w:val="32"/>
          <w:szCs w:val="24"/>
        </w:rPr>
        <w:t>方面</w:t>
      </w:r>
      <w:r>
        <w:rPr>
          <w:rFonts w:hint="eastAsia" w:ascii="宋体" w:hAnsi="宋体"/>
          <w:sz w:val="32"/>
          <w:szCs w:val="24"/>
          <w:lang w:eastAsia="zh-CN"/>
        </w:rPr>
        <w:t>；</w:t>
      </w:r>
      <w:r>
        <w:rPr>
          <w:rFonts w:hint="eastAsia" w:ascii="宋体" w:hAnsi="宋体" w:eastAsia="宋体"/>
          <w:sz w:val="32"/>
          <w:szCs w:val="24"/>
        </w:rPr>
        <w:t>2026年日常工作经费专项支出58.80万元，主要用于</w:t>
      </w:r>
      <w:r>
        <w:rPr>
          <w:rFonts w:hint="eastAsia" w:ascii="宋体" w:hAnsi="Times New Roman" w:cs="宋体"/>
          <w:sz w:val="32"/>
          <w:szCs w:val="32"/>
          <w:lang w:eastAsia="zh-CN"/>
        </w:rPr>
        <w:t>“平安城市”电子防控监控摄像头电费、差旅费、维修（护）费等方面</w:t>
      </w:r>
      <w:r>
        <w:rPr>
          <w:rFonts w:hint="eastAsia" w:ascii="宋体" w:hAnsi="宋体" w:eastAsia="宋体"/>
          <w:sz w:val="32"/>
          <w:szCs w:val="24"/>
        </w:rPr>
        <w:t>。</w:t>
      </w:r>
    </w:p>
    <w:p w14:paraId="2983F596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="0" w:leftChars="0" w:firstLine="640" w:firstLineChars="200"/>
        <w:textAlignment w:val="auto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政府性基金预算支出</w:t>
      </w:r>
    </w:p>
    <w:p w14:paraId="220629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textAlignment w:val="auto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2026年度本单位无政府性基金安排的支出，所以公开的附件15-17（政府性基金预算）为空。</w:t>
      </w:r>
    </w:p>
    <w:p w14:paraId="37C710E6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="0" w:leftChars="0" w:firstLine="640" w:firstLineChars="200"/>
        <w:textAlignment w:val="auto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其他重要事项的情况说明</w:t>
      </w:r>
    </w:p>
    <w:p w14:paraId="749B4071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textAlignment w:val="auto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机关运行经费</w:t>
      </w:r>
    </w:p>
    <w:p w14:paraId="48A5C3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40" w:firstLineChars="200"/>
        <w:textAlignment w:val="auto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本单位2026年机关运行经费当年一般公共预算拨款489.58万元（数据来源见表12），比上一年增加</w:t>
      </w:r>
      <w:r>
        <w:rPr>
          <w:rFonts w:hint="eastAsia" w:ascii="宋体" w:hAnsi="宋体"/>
          <w:sz w:val="32"/>
          <w:szCs w:val="24"/>
          <w:lang w:val="en-US" w:eastAsia="zh-CN"/>
        </w:rPr>
        <w:t>11.66</w:t>
      </w:r>
      <w:r>
        <w:rPr>
          <w:rFonts w:hint="eastAsia" w:ascii="宋体" w:hAnsi="宋体" w:eastAsia="宋体"/>
          <w:sz w:val="32"/>
          <w:szCs w:val="24"/>
        </w:rPr>
        <w:t>万元，上升</w:t>
      </w:r>
      <w:r>
        <w:rPr>
          <w:rFonts w:hint="eastAsia" w:ascii="宋体" w:hAnsi="宋体"/>
          <w:sz w:val="32"/>
          <w:szCs w:val="24"/>
          <w:lang w:val="en-US" w:eastAsia="zh-CN"/>
        </w:rPr>
        <w:t>2.44</w:t>
      </w:r>
      <w:r>
        <w:rPr>
          <w:rFonts w:hint="eastAsia" w:ascii="宋体" w:hAnsi="宋体" w:eastAsia="宋体"/>
          <w:sz w:val="32"/>
          <w:szCs w:val="24"/>
        </w:rPr>
        <w:t>%，主要原因是</w:t>
      </w:r>
      <w:r>
        <w:rPr>
          <w:rFonts w:hint="eastAsia" w:ascii="宋体" w:hAnsi="宋体" w:cs="宋体"/>
          <w:sz w:val="32"/>
          <w:szCs w:val="24"/>
          <w:lang w:eastAsia="zh-CN"/>
        </w:rPr>
        <w:t>人员增加公务用车补助、其他相关费用增加</w:t>
      </w:r>
      <w:r>
        <w:rPr>
          <w:rFonts w:hint="eastAsia" w:ascii="宋体" w:hAnsi="Times New Roman" w:cs="宋体"/>
          <w:sz w:val="32"/>
          <w:szCs w:val="32"/>
          <w:lang w:eastAsia="zh-CN"/>
        </w:rPr>
        <w:t>。</w:t>
      </w:r>
    </w:p>
    <w:p w14:paraId="0B1C34EF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="0" w:leftChars="0" w:firstLine="640" w:firstLineChars="200"/>
        <w:textAlignment w:val="auto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“三公”经费预算</w:t>
      </w:r>
    </w:p>
    <w:p w14:paraId="067B74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textAlignment w:val="auto"/>
        <w:rPr>
          <w:rFonts w:hint="eastAsia" w:ascii="宋体" w:hAnsi="宋体" w:eastAsia="宋体"/>
          <w:sz w:val="32"/>
          <w:szCs w:val="24"/>
          <w:highlight w:val="yellow"/>
          <w:lang w:eastAsia="zh-CN"/>
        </w:rPr>
      </w:pPr>
      <w:r>
        <w:rPr>
          <w:rFonts w:hint="eastAsia" w:ascii="宋体" w:hAnsi="宋体" w:eastAsia="宋体"/>
          <w:sz w:val="32"/>
          <w:szCs w:val="24"/>
          <w:highlight w:val="yellow"/>
        </w:rPr>
        <w:t>本单位2026年“三公”经费预算数</w:t>
      </w:r>
      <w:r>
        <w:rPr>
          <w:rFonts w:hint="eastAsia" w:ascii="宋体" w:hAnsi="宋体"/>
          <w:sz w:val="32"/>
          <w:szCs w:val="24"/>
          <w:highlight w:val="yellow"/>
          <w:lang w:val="en-US" w:eastAsia="zh-CN"/>
        </w:rPr>
        <w:t>1</w:t>
      </w:r>
      <w:r>
        <w:rPr>
          <w:rFonts w:hint="eastAsia" w:ascii="宋体" w:hAnsi="宋体" w:eastAsia="宋体"/>
          <w:sz w:val="32"/>
          <w:szCs w:val="24"/>
          <w:highlight w:val="yellow"/>
        </w:rPr>
        <w:t>61.00万元（数据来源见表14），其中，公务接待费1.00万元，因公出国（境）费0.00万元，公务用车购置及运行费</w:t>
      </w:r>
      <w:r>
        <w:rPr>
          <w:rFonts w:hint="eastAsia" w:ascii="宋体" w:hAnsi="宋体"/>
          <w:sz w:val="32"/>
          <w:szCs w:val="24"/>
          <w:highlight w:val="yellow"/>
          <w:lang w:val="en-US" w:eastAsia="zh-CN"/>
        </w:rPr>
        <w:t>1</w:t>
      </w:r>
      <w:r>
        <w:rPr>
          <w:rFonts w:hint="eastAsia" w:ascii="宋体" w:hAnsi="宋体" w:eastAsia="宋体"/>
          <w:sz w:val="32"/>
          <w:szCs w:val="24"/>
          <w:highlight w:val="yellow"/>
        </w:rPr>
        <w:t>60.00万元（其中，公务用车购置费</w:t>
      </w:r>
      <w:r>
        <w:rPr>
          <w:rFonts w:hint="eastAsia" w:ascii="宋体" w:hAnsi="宋体"/>
          <w:sz w:val="32"/>
          <w:szCs w:val="24"/>
          <w:highlight w:val="yellow"/>
          <w:lang w:val="en-US" w:eastAsia="zh-CN"/>
        </w:rPr>
        <w:t>100</w:t>
      </w:r>
      <w:r>
        <w:rPr>
          <w:rFonts w:hint="eastAsia" w:ascii="宋体" w:hAnsi="宋体" w:eastAsia="宋体"/>
          <w:sz w:val="32"/>
          <w:szCs w:val="24"/>
          <w:highlight w:val="yellow"/>
        </w:rPr>
        <w:t>.00万元，公务用车运行费60.00万元）。2026年三公经费预算较上年</w:t>
      </w:r>
      <w:r>
        <w:rPr>
          <w:rFonts w:hint="eastAsia" w:ascii="宋体" w:hAnsi="宋体"/>
          <w:sz w:val="32"/>
          <w:szCs w:val="24"/>
          <w:highlight w:val="yellow"/>
          <w:lang w:eastAsia="zh-CN"/>
        </w:rPr>
        <w:t>增加</w:t>
      </w:r>
      <w:r>
        <w:rPr>
          <w:rFonts w:hint="eastAsia" w:ascii="宋体" w:hAnsi="宋体"/>
          <w:sz w:val="32"/>
          <w:szCs w:val="24"/>
          <w:highlight w:val="yellow"/>
          <w:lang w:val="en-US" w:eastAsia="zh-CN"/>
        </w:rPr>
        <w:t>17.6</w:t>
      </w:r>
      <w:r>
        <w:rPr>
          <w:rFonts w:hint="eastAsia" w:ascii="宋体" w:hAnsi="宋体" w:eastAsia="宋体"/>
          <w:sz w:val="32"/>
          <w:szCs w:val="24"/>
          <w:highlight w:val="yellow"/>
        </w:rPr>
        <w:t>万元，</w:t>
      </w:r>
      <w:r>
        <w:rPr>
          <w:rFonts w:hint="eastAsia" w:ascii="宋体" w:hAnsi="宋体"/>
          <w:sz w:val="32"/>
          <w:szCs w:val="24"/>
          <w:highlight w:val="yellow"/>
          <w:lang w:eastAsia="zh-CN"/>
        </w:rPr>
        <w:t>上升</w:t>
      </w:r>
      <w:r>
        <w:rPr>
          <w:rFonts w:hint="eastAsia" w:ascii="宋体" w:hAnsi="宋体"/>
          <w:sz w:val="32"/>
          <w:szCs w:val="24"/>
          <w:highlight w:val="yellow"/>
          <w:lang w:val="en-US" w:eastAsia="zh-CN"/>
        </w:rPr>
        <w:t>12.27</w:t>
      </w:r>
      <w:r>
        <w:rPr>
          <w:rFonts w:hint="eastAsia" w:ascii="宋体" w:hAnsi="宋体" w:eastAsia="宋体"/>
          <w:sz w:val="32"/>
          <w:szCs w:val="24"/>
          <w:highlight w:val="yellow"/>
        </w:rPr>
        <w:t>%，主要原因是</w:t>
      </w:r>
      <w:r>
        <w:rPr>
          <w:rFonts w:hint="eastAsia" w:ascii="宋体" w:hAnsi="Times New Roman" w:eastAsia="宋体" w:cs="宋体"/>
          <w:sz w:val="32"/>
          <w:szCs w:val="32"/>
          <w:highlight w:val="yellow"/>
          <w:lang w:eastAsia="zh-CN"/>
        </w:rPr>
        <w:t>为加强公安基层基础建设通过上级专项补助资金和自筹资金为</w:t>
      </w:r>
      <w:r>
        <w:rPr>
          <w:rFonts w:hint="eastAsia" w:ascii="宋体" w:hAnsi="Times New Roman" w:cs="宋体"/>
          <w:sz w:val="32"/>
          <w:szCs w:val="32"/>
          <w:highlight w:val="yellow"/>
          <w:lang w:eastAsia="zh-CN"/>
        </w:rPr>
        <w:t>一线执法单位更换达到报废条件的</w:t>
      </w:r>
      <w:r>
        <w:rPr>
          <w:rFonts w:hint="eastAsia" w:ascii="宋体" w:hAnsi="Times New Roman" w:eastAsia="宋体" w:cs="宋体"/>
          <w:sz w:val="32"/>
          <w:szCs w:val="32"/>
          <w:highlight w:val="yellow"/>
          <w:lang w:eastAsia="zh-CN"/>
        </w:rPr>
        <w:t>执法勤务车辆</w:t>
      </w:r>
      <w:r>
        <w:rPr>
          <w:rFonts w:hint="eastAsia" w:ascii="宋体" w:hAnsi="Times New Roman" w:cs="宋体"/>
          <w:sz w:val="32"/>
          <w:szCs w:val="32"/>
          <w:highlight w:val="yellow"/>
          <w:lang w:eastAsia="zh-CN"/>
        </w:rPr>
        <w:t>。</w:t>
      </w:r>
    </w:p>
    <w:p w14:paraId="09B3C3B9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="0" w:leftChars="0" w:firstLine="640" w:firstLineChars="200"/>
        <w:textAlignment w:val="auto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一般性支出情况</w:t>
      </w:r>
    </w:p>
    <w:p w14:paraId="60998E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40" w:firstLineChars="200"/>
        <w:textAlignment w:val="auto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本单位2026年会议费预算0.50万元（数据来源见表13会议费、培训费），</w:t>
      </w:r>
      <w:r>
        <w:rPr>
          <w:rFonts w:hint="eastAsia" w:ascii="宋体" w:hAnsi="Times New Roman" w:cs="宋体"/>
          <w:sz w:val="32"/>
          <w:szCs w:val="32"/>
        </w:rPr>
        <w:t>拟召开</w:t>
      </w:r>
      <w:r>
        <w:rPr>
          <w:rFonts w:hint="eastAsia" w:ascii="宋体" w:hAnsi="Times New Roman" w:cs="宋体"/>
          <w:sz w:val="32"/>
          <w:szCs w:val="32"/>
          <w:lang w:val="en-US" w:eastAsia="zh-CN"/>
        </w:rPr>
        <w:t>2</w:t>
      </w:r>
      <w:r>
        <w:rPr>
          <w:rFonts w:hint="eastAsia" w:ascii="宋体" w:hAnsi="Times New Roman" w:cs="宋体"/>
          <w:sz w:val="32"/>
          <w:szCs w:val="32"/>
        </w:rPr>
        <w:t>次会议，人数</w:t>
      </w:r>
      <w:r>
        <w:rPr>
          <w:rFonts w:hint="eastAsia" w:ascii="宋体" w:hAnsi="Times New Roman" w:cs="宋体"/>
          <w:sz w:val="32"/>
          <w:szCs w:val="32"/>
          <w:lang w:val="en-US" w:eastAsia="zh-CN"/>
        </w:rPr>
        <w:t>187</w:t>
      </w:r>
      <w:r>
        <w:rPr>
          <w:rFonts w:hint="eastAsia" w:ascii="宋体" w:hAnsi="Times New Roman" w:cs="宋体"/>
          <w:sz w:val="32"/>
          <w:szCs w:val="32"/>
        </w:rPr>
        <w:t>人，内容为</w:t>
      </w:r>
      <w:r>
        <w:rPr>
          <w:rFonts w:hint="eastAsia" w:ascii="宋体" w:hAnsi="Times New Roman" w:cs="宋体"/>
          <w:sz w:val="32"/>
          <w:szCs w:val="32"/>
          <w:lang w:eastAsia="zh-CN"/>
        </w:rPr>
        <w:t>公安工作推进会、</w:t>
      </w:r>
      <w:r>
        <w:rPr>
          <w:rFonts w:hint="eastAsia" w:ascii="宋体" w:hAnsi="Times New Roman" w:cs="宋体"/>
          <w:sz w:val="32"/>
          <w:szCs w:val="32"/>
        </w:rPr>
        <w:t>表彰奖励会、考评绩效会</w:t>
      </w:r>
      <w:r>
        <w:rPr>
          <w:rFonts w:hint="eastAsia" w:ascii="宋体" w:hAnsi="宋体" w:eastAsia="宋体"/>
          <w:sz w:val="32"/>
          <w:szCs w:val="24"/>
        </w:rPr>
        <w:t>；培训费预算3.00万元，</w:t>
      </w:r>
      <w:r>
        <w:rPr>
          <w:rFonts w:hint="eastAsia" w:ascii="宋体" w:hAnsi="Times New Roman" w:cs="宋体"/>
          <w:sz w:val="32"/>
          <w:szCs w:val="32"/>
        </w:rPr>
        <w:t>开展</w:t>
      </w:r>
      <w:r>
        <w:rPr>
          <w:rFonts w:hint="eastAsia" w:ascii="宋体" w:hAnsi="Times New Roman" w:cs="宋体"/>
          <w:sz w:val="32"/>
          <w:szCs w:val="32"/>
          <w:lang w:val="en-US" w:eastAsia="zh-CN"/>
        </w:rPr>
        <w:t>6</w:t>
      </w:r>
      <w:r>
        <w:rPr>
          <w:rFonts w:hint="eastAsia" w:ascii="宋体" w:hAnsi="Times New Roman" w:cs="宋体"/>
          <w:sz w:val="32"/>
          <w:szCs w:val="32"/>
        </w:rPr>
        <w:t>次培训，人数</w:t>
      </w:r>
      <w:r>
        <w:rPr>
          <w:rFonts w:hint="eastAsia" w:ascii="宋体" w:hAnsi="Times New Roman" w:cs="宋体"/>
          <w:sz w:val="32"/>
          <w:szCs w:val="32"/>
          <w:lang w:val="en-US" w:eastAsia="zh-CN"/>
        </w:rPr>
        <w:t>89</w:t>
      </w:r>
      <w:r>
        <w:rPr>
          <w:rFonts w:hint="eastAsia" w:ascii="宋体" w:hAnsi="Times New Roman" w:cs="宋体"/>
          <w:sz w:val="32"/>
          <w:szCs w:val="32"/>
        </w:rPr>
        <w:t>人，内容为辅警的辅警相关管理制度</w:t>
      </w:r>
      <w:r>
        <w:rPr>
          <w:rFonts w:hint="eastAsia" w:ascii="宋体" w:hAnsi="Times New Roman" w:cs="宋体"/>
          <w:sz w:val="32"/>
          <w:szCs w:val="32"/>
          <w:lang w:eastAsia="zh-CN"/>
        </w:rPr>
        <w:t>和</w:t>
      </w:r>
      <w:r>
        <w:rPr>
          <w:rFonts w:hint="eastAsia" w:ascii="宋体" w:hAnsi="Times New Roman" w:cs="宋体"/>
          <w:sz w:val="32"/>
          <w:szCs w:val="32"/>
        </w:rPr>
        <w:t>执法规范化</w:t>
      </w:r>
      <w:r>
        <w:rPr>
          <w:rFonts w:hint="eastAsia" w:ascii="宋体" w:hAnsi="Times New Roman" w:cs="宋体"/>
          <w:sz w:val="32"/>
          <w:szCs w:val="32"/>
          <w:lang w:eastAsia="zh-CN"/>
        </w:rPr>
        <w:t>培训、</w:t>
      </w:r>
      <w:r>
        <w:rPr>
          <w:rFonts w:hint="eastAsia" w:ascii="宋体" w:hAnsi="Times New Roman" w:cs="宋体"/>
          <w:sz w:val="32"/>
          <w:szCs w:val="32"/>
        </w:rPr>
        <w:t>新警</w:t>
      </w:r>
      <w:r>
        <w:rPr>
          <w:rFonts w:hint="eastAsia" w:ascii="宋体" w:hAnsi="Times New Roman" w:cs="宋体"/>
          <w:sz w:val="32"/>
          <w:szCs w:val="32"/>
          <w:lang w:eastAsia="zh-CN"/>
        </w:rPr>
        <w:t>入警</w:t>
      </w:r>
      <w:r>
        <w:rPr>
          <w:rFonts w:hint="eastAsia" w:ascii="宋体" w:hAnsi="Times New Roman" w:cs="宋体"/>
          <w:sz w:val="32"/>
          <w:szCs w:val="32"/>
        </w:rPr>
        <w:t>培训及民警</w:t>
      </w:r>
      <w:r>
        <w:rPr>
          <w:rFonts w:hint="eastAsia" w:ascii="宋体" w:hAnsi="Times New Roman" w:cs="宋体"/>
          <w:sz w:val="32"/>
          <w:szCs w:val="32"/>
          <w:lang w:eastAsia="zh-CN"/>
        </w:rPr>
        <w:t>晋职晋衔培训、专业技术提升培训</w:t>
      </w:r>
      <w:r>
        <w:rPr>
          <w:rFonts w:hint="eastAsia" w:ascii="宋体" w:hAnsi="Times New Roman" w:cs="宋体"/>
          <w:sz w:val="32"/>
          <w:szCs w:val="32"/>
        </w:rPr>
        <w:t>；202</w:t>
      </w:r>
      <w:r>
        <w:rPr>
          <w:rFonts w:hint="eastAsia" w:ascii="宋体" w:hAnsi="Times New Roman" w:cs="宋体"/>
          <w:sz w:val="32"/>
          <w:szCs w:val="32"/>
          <w:lang w:val="en-US" w:eastAsia="zh-CN"/>
        </w:rPr>
        <w:t>6</w:t>
      </w:r>
      <w:r>
        <w:rPr>
          <w:rFonts w:hint="eastAsia" w:ascii="宋体" w:hAnsi="Times New Roman" w:cs="宋体"/>
          <w:sz w:val="32"/>
          <w:szCs w:val="32"/>
        </w:rPr>
        <w:t>年度本单位未计划举办节庆、晚会、论坛、赛事活动。</w:t>
      </w:r>
    </w:p>
    <w:p w14:paraId="7A2608CE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="0" w:leftChars="0" w:firstLine="640" w:firstLineChars="200"/>
        <w:textAlignment w:val="auto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委托业务费情况</w:t>
      </w:r>
    </w:p>
    <w:p w14:paraId="44E5DB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textAlignment w:val="auto"/>
        <w:rPr>
          <w:rFonts w:hint="eastAsia" w:ascii="宋体" w:hAnsi="宋体" w:eastAsia="宋体"/>
          <w:sz w:val="32"/>
          <w:szCs w:val="24"/>
          <w:highlight w:val="none"/>
          <w:lang w:eastAsia="zh-CN"/>
        </w:rPr>
      </w:pPr>
      <w:r>
        <w:rPr>
          <w:rFonts w:hint="eastAsia" w:ascii="宋体" w:hAnsi="宋体" w:eastAsia="宋体"/>
          <w:sz w:val="32"/>
          <w:szCs w:val="24"/>
          <w:highlight w:val="none"/>
        </w:rPr>
        <w:t>本单位2026年本级委托业务费</w:t>
      </w:r>
      <w:r>
        <w:rPr>
          <w:rFonts w:hint="eastAsia" w:ascii="宋体" w:hAnsi="宋体"/>
          <w:sz w:val="32"/>
          <w:szCs w:val="24"/>
          <w:highlight w:val="none"/>
          <w:lang w:val="en-US" w:eastAsia="zh-CN"/>
        </w:rPr>
        <w:t>20</w:t>
      </w:r>
      <w:r>
        <w:rPr>
          <w:rFonts w:hint="eastAsia" w:ascii="宋体" w:hAnsi="宋体" w:eastAsia="宋体"/>
          <w:sz w:val="32"/>
          <w:szCs w:val="24"/>
          <w:highlight w:val="none"/>
        </w:rPr>
        <w:t>万元，比上年预算增加</w:t>
      </w:r>
      <w:r>
        <w:rPr>
          <w:rFonts w:hint="eastAsia" w:ascii="宋体" w:hAnsi="宋体"/>
          <w:sz w:val="32"/>
          <w:szCs w:val="24"/>
          <w:highlight w:val="none"/>
          <w:lang w:val="en-US" w:eastAsia="zh-CN"/>
        </w:rPr>
        <w:t>18</w:t>
      </w:r>
      <w:r>
        <w:rPr>
          <w:rFonts w:hint="eastAsia" w:ascii="宋体" w:hAnsi="宋体" w:eastAsia="宋体"/>
          <w:sz w:val="32"/>
          <w:szCs w:val="24"/>
          <w:highlight w:val="none"/>
        </w:rPr>
        <w:t>万元，上升</w:t>
      </w:r>
      <w:r>
        <w:rPr>
          <w:rFonts w:hint="eastAsia" w:ascii="宋体" w:hAnsi="宋体"/>
          <w:sz w:val="32"/>
          <w:szCs w:val="24"/>
          <w:highlight w:val="none"/>
          <w:lang w:val="en-US" w:eastAsia="zh-CN"/>
        </w:rPr>
        <w:t>900</w:t>
      </w:r>
      <w:r>
        <w:rPr>
          <w:rFonts w:hint="eastAsia" w:ascii="宋体" w:hAnsi="宋体" w:eastAsia="宋体"/>
          <w:sz w:val="32"/>
          <w:szCs w:val="24"/>
          <w:highlight w:val="none"/>
        </w:rPr>
        <w:t>%，主要原因是</w:t>
      </w:r>
      <w:r>
        <w:rPr>
          <w:rFonts w:hint="eastAsia" w:ascii="宋体" w:hAnsi="宋体"/>
          <w:sz w:val="32"/>
          <w:szCs w:val="24"/>
          <w:highlight w:val="none"/>
          <w:lang w:eastAsia="zh-CN"/>
        </w:rPr>
        <w:t>审计、工程检测监理等相关业务增加。</w:t>
      </w:r>
      <w:bookmarkStart w:id="0" w:name="_GoBack"/>
      <w:bookmarkEnd w:id="0"/>
    </w:p>
    <w:p w14:paraId="3250E45F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="0" w:leftChars="0" w:firstLine="640" w:firstLineChars="200"/>
        <w:textAlignment w:val="auto"/>
        <w:rPr>
          <w:rFonts w:hint="eastAsia" w:ascii="Dialog" w:hAnsi="Dialog"/>
          <w:sz w:val="32"/>
          <w:szCs w:val="24"/>
          <w:highlight w:val="none"/>
        </w:rPr>
      </w:pPr>
      <w:r>
        <w:rPr>
          <w:rFonts w:hint="eastAsia" w:ascii="Dialog" w:hAnsi="Dialog"/>
          <w:sz w:val="32"/>
          <w:szCs w:val="24"/>
          <w:highlight w:val="none"/>
        </w:rPr>
        <w:t>政府采购情况</w:t>
      </w:r>
    </w:p>
    <w:p w14:paraId="3448D8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textAlignment w:val="auto"/>
        <w:rPr>
          <w:rFonts w:hint="eastAsia" w:ascii="宋体" w:hAnsi="宋体" w:eastAsia="宋体"/>
          <w:sz w:val="32"/>
          <w:szCs w:val="24"/>
          <w:highlight w:val="none"/>
        </w:rPr>
      </w:pPr>
      <w:r>
        <w:rPr>
          <w:rFonts w:hint="eastAsia" w:ascii="宋体" w:hAnsi="宋体" w:eastAsia="宋体"/>
          <w:sz w:val="32"/>
          <w:szCs w:val="24"/>
          <w:highlight w:val="none"/>
        </w:rPr>
        <w:t>本单位2026年政府采购预算总额</w:t>
      </w:r>
      <w:r>
        <w:rPr>
          <w:rFonts w:hint="eastAsia" w:ascii="宋体" w:hAnsi="宋体"/>
          <w:sz w:val="32"/>
          <w:szCs w:val="24"/>
          <w:highlight w:val="none"/>
          <w:lang w:val="en-US" w:eastAsia="zh-CN"/>
        </w:rPr>
        <w:t>4850.29</w:t>
      </w:r>
      <w:r>
        <w:rPr>
          <w:rFonts w:hint="eastAsia" w:ascii="宋体" w:hAnsi="宋体" w:eastAsia="宋体"/>
          <w:sz w:val="32"/>
          <w:szCs w:val="24"/>
          <w:highlight w:val="none"/>
        </w:rPr>
        <w:t>万元，其中工程类</w:t>
      </w:r>
      <w:r>
        <w:rPr>
          <w:rFonts w:hint="eastAsia" w:ascii="宋体" w:hAnsi="宋体"/>
          <w:sz w:val="32"/>
          <w:szCs w:val="24"/>
          <w:highlight w:val="none"/>
          <w:lang w:val="en-US" w:eastAsia="zh-CN"/>
        </w:rPr>
        <w:t>2985.16</w:t>
      </w:r>
      <w:r>
        <w:rPr>
          <w:rFonts w:hint="eastAsia" w:ascii="宋体" w:hAnsi="宋体" w:eastAsia="宋体"/>
          <w:sz w:val="32"/>
          <w:szCs w:val="24"/>
          <w:highlight w:val="none"/>
        </w:rPr>
        <w:t>万元，货物类</w:t>
      </w:r>
      <w:r>
        <w:rPr>
          <w:rFonts w:hint="eastAsia" w:ascii="宋体" w:hAnsi="宋体"/>
          <w:sz w:val="32"/>
          <w:szCs w:val="24"/>
          <w:highlight w:val="none"/>
          <w:lang w:val="en-US" w:eastAsia="zh-CN"/>
        </w:rPr>
        <w:t>367.72</w:t>
      </w:r>
      <w:r>
        <w:rPr>
          <w:rFonts w:hint="eastAsia" w:ascii="宋体" w:hAnsi="宋体" w:eastAsia="宋体"/>
          <w:sz w:val="32"/>
          <w:szCs w:val="24"/>
          <w:highlight w:val="none"/>
        </w:rPr>
        <w:t>万元，服务类</w:t>
      </w:r>
      <w:r>
        <w:rPr>
          <w:rFonts w:hint="eastAsia" w:ascii="宋体" w:hAnsi="宋体"/>
          <w:sz w:val="32"/>
          <w:szCs w:val="24"/>
          <w:highlight w:val="none"/>
          <w:lang w:val="en-US" w:eastAsia="zh-CN"/>
        </w:rPr>
        <w:t>1497.41</w:t>
      </w:r>
      <w:r>
        <w:rPr>
          <w:rFonts w:hint="eastAsia" w:ascii="宋体" w:hAnsi="宋体" w:eastAsia="宋体"/>
          <w:sz w:val="32"/>
          <w:szCs w:val="24"/>
          <w:highlight w:val="none"/>
        </w:rPr>
        <w:t>万元。</w:t>
      </w:r>
    </w:p>
    <w:p w14:paraId="3E5DFF8C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="0" w:leftChars="0" w:firstLine="640" w:firstLineChars="200"/>
        <w:textAlignment w:val="auto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国有资产占有使用及新增资产配置情况</w:t>
      </w:r>
    </w:p>
    <w:p w14:paraId="1F3801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textAlignment w:val="auto"/>
        <w:rPr>
          <w:rFonts w:hint="eastAsia" w:ascii="宋体" w:hAnsi="宋体"/>
          <w:sz w:val="32"/>
          <w:szCs w:val="24"/>
        </w:rPr>
      </w:pPr>
      <w:r>
        <w:rPr>
          <w:rFonts w:hint="eastAsia" w:ascii="宋体" w:hAnsi="宋体"/>
          <w:sz w:val="32"/>
          <w:szCs w:val="24"/>
        </w:rPr>
        <w:t>截至上年底，本单位共有车辆</w:t>
      </w:r>
      <w:r>
        <w:rPr>
          <w:rFonts w:hint="eastAsia" w:ascii="宋体" w:hAnsi="宋体"/>
          <w:sz w:val="32"/>
          <w:szCs w:val="24"/>
          <w:lang w:val="en-US" w:eastAsia="zh-CN"/>
        </w:rPr>
        <w:t>30</w:t>
      </w:r>
      <w:r>
        <w:rPr>
          <w:rFonts w:hint="eastAsia" w:ascii="宋体" w:hAnsi="宋体"/>
          <w:sz w:val="32"/>
          <w:szCs w:val="24"/>
        </w:rPr>
        <w:t>辆，其中领导干部用车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辆，一般公务用车</w:t>
      </w:r>
      <w:r>
        <w:rPr>
          <w:rFonts w:hint="eastAsia" w:ascii="宋体" w:hAnsi="宋体"/>
          <w:sz w:val="32"/>
          <w:szCs w:val="24"/>
          <w:lang w:val="en-US" w:eastAsia="zh-CN"/>
        </w:rPr>
        <w:t>28</w:t>
      </w:r>
      <w:r>
        <w:rPr>
          <w:rFonts w:hint="eastAsia" w:ascii="宋体" w:hAnsi="宋体"/>
          <w:sz w:val="32"/>
          <w:szCs w:val="24"/>
        </w:rPr>
        <w:t>辆，其他用车</w:t>
      </w:r>
      <w:r>
        <w:rPr>
          <w:rFonts w:hint="eastAsia" w:ascii="宋体" w:hAnsi="宋体"/>
          <w:sz w:val="32"/>
          <w:szCs w:val="24"/>
          <w:lang w:val="en-US" w:eastAsia="zh-CN"/>
        </w:rPr>
        <w:t>2</w:t>
      </w:r>
      <w:r>
        <w:rPr>
          <w:rFonts w:hint="eastAsia" w:ascii="宋体" w:hAnsi="宋体"/>
          <w:sz w:val="32"/>
          <w:szCs w:val="24"/>
        </w:rPr>
        <w:t>辆。单位价值50万元以上通用设备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台，单位价值100万元以上专用设备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台。</w:t>
      </w:r>
    </w:p>
    <w:p w14:paraId="5AE3FB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textAlignment w:val="auto"/>
        <w:rPr>
          <w:rFonts w:hint="default" w:ascii="宋体" w:hAnsi="宋体"/>
          <w:sz w:val="32"/>
          <w:szCs w:val="24"/>
          <w:lang w:val="en-US" w:eastAsia="zh-CN"/>
        </w:rPr>
      </w:pPr>
      <w:r>
        <w:rPr>
          <w:rFonts w:hint="eastAsia" w:ascii="宋体" w:hAnsi="宋体" w:eastAsia="宋体"/>
          <w:sz w:val="32"/>
          <w:szCs w:val="24"/>
        </w:rPr>
        <w:t>2026年拟报废处置车辆</w:t>
      </w:r>
      <w:r>
        <w:rPr>
          <w:rFonts w:hint="eastAsia" w:ascii="宋体" w:hAnsi="宋体"/>
          <w:sz w:val="32"/>
          <w:szCs w:val="24"/>
          <w:lang w:val="en-US" w:eastAsia="zh-CN"/>
        </w:rPr>
        <w:t>4</w:t>
      </w:r>
      <w:r>
        <w:rPr>
          <w:rFonts w:hint="eastAsia" w:ascii="宋体" w:hAnsi="宋体" w:eastAsia="宋体"/>
          <w:sz w:val="32"/>
          <w:szCs w:val="24"/>
        </w:rPr>
        <w:t>辆，</w:t>
      </w:r>
      <w:r>
        <w:rPr>
          <w:rFonts w:hint="eastAsia" w:ascii="宋体" w:hAnsi="宋体"/>
          <w:sz w:val="32"/>
          <w:szCs w:val="24"/>
          <w:lang w:eastAsia="zh-CN"/>
        </w:rPr>
        <w:t>其中：</w:t>
      </w:r>
      <w:r>
        <w:rPr>
          <w:rFonts w:hint="eastAsia" w:ascii="宋体" w:hAnsi="宋体"/>
          <w:sz w:val="32"/>
          <w:szCs w:val="24"/>
        </w:rPr>
        <w:t>报废处置领导干部用车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辆，报废处置一般公务用车</w:t>
      </w:r>
      <w:r>
        <w:rPr>
          <w:rFonts w:hint="eastAsia" w:ascii="宋体" w:hAnsi="宋体"/>
          <w:sz w:val="32"/>
          <w:szCs w:val="24"/>
          <w:lang w:val="en-US" w:eastAsia="zh-CN"/>
        </w:rPr>
        <w:t>4</w:t>
      </w:r>
      <w:r>
        <w:rPr>
          <w:rFonts w:hint="eastAsia" w:ascii="宋体" w:hAnsi="宋体"/>
          <w:sz w:val="32"/>
          <w:szCs w:val="24"/>
        </w:rPr>
        <w:t>辆，报废处置其他用车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辆，报废处置单位价值50万元以上通用设备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台，报废处置单位价值100万元以上通用设备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台。拟新增配置车辆</w:t>
      </w:r>
      <w:r>
        <w:rPr>
          <w:rFonts w:hint="eastAsia" w:ascii="宋体" w:hAnsi="宋体"/>
          <w:sz w:val="32"/>
          <w:szCs w:val="24"/>
          <w:lang w:val="en-US" w:eastAsia="zh-CN"/>
        </w:rPr>
        <w:t>4</w:t>
      </w:r>
      <w:r>
        <w:rPr>
          <w:rFonts w:hint="eastAsia" w:ascii="宋体" w:hAnsi="宋体"/>
          <w:sz w:val="32"/>
          <w:szCs w:val="24"/>
        </w:rPr>
        <w:t>辆，其中</w:t>
      </w:r>
      <w:r>
        <w:rPr>
          <w:rFonts w:hint="eastAsia" w:ascii="宋体" w:hAnsi="宋体"/>
          <w:sz w:val="32"/>
          <w:szCs w:val="24"/>
          <w:lang w:eastAsia="zh-CN"/>
        </w:rPr>
        <w:t>：</w:t>
      </w:r>
      <w:r>
        <w:rPr>
          <w:rFonts w:hint="eastAsia" w:ascii="宋体" w:hAnsi="宋体"/>
          <w:sz w:val="32"/>
          <w:szCs w:val="24"/>
        </w:rPr>
        <w:t>领导干部用车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辆，一般公务用车</w:t>
      </w:r>
      <w:r>
        <w:rPr>
          <w:rFonts w:hint="eastAsia" w:ascii="宋体" w:hAnsi="宋体"/>
          <w:sz w:val="32"/>
          <w:szCs w:val="24"/>
          <w:lang w:val="en-US" w:eastAsia="zh-CN"/>
        </w:rPr>
        <w:t>4</w:t>
      </w:r>
      <w:r>
        <w:rPr>
          <w:rFonts w:hint="eastAsia" w:ascii="宋体" w:hAnsi="宋体"/>
          <w:sz w:val="32"/>
          <w:szCs w:val="24"/>
        </w:rPr>
        <w:t>辆，其他用车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辆，主要用于</w:t>
      </w:r>
      <w:r>
        <w:rPr>
          <w:rFonts w:hint="eastAsia" w:ascii="宋体" w:hAnsi="宋体"/>
          <w:sz w:val="32"/>
          <w:szCs w:val="24"/>
          <w:lang w:eastAsia="zh-CN"/>
        </w:rPr>
        <w:t>执法执勤车辆更新</w:t>
      </w:r>
      <w:r>
        <w:rPr>
          <w:rFonts w:hint="eastAsia" w:ascii="宋体" w:hAnsi="宋体"/>
          <w:sz w:val="32"/>
          <w:szCs w:val="24"/>
        </w:rPr>
        <w:t>，资金来源为</w:t>
      </w:r>
      <w:r>
        <w:rPr>
          <w:rFonts w:hint="eastAsia" w:ascii="宋体" w:hAnsi="宋体"/>
          <w:sz w:val="32"/>
          <w:szCs w:val="24"/>
          <w:lang w:val="en-US" w:eastAsia="zh-CN"/>
        </w:rPr>
        <w:t>上级专项经费补助、</w:t>
      </w:r>
      <w:r>
        <w:rPr>
          <w:rFonts w:hint="eastAsia" w:ascii="宋体" w:hAnsi="宋体"/>
          <w:sz w:val="32"/>
          <w:szCs w:val="24"/>
          <w:lang w:eastAsia="zh-CN"/>
        </w:rPr>
        <w:t>自筹资金</w:t>
      </w:r>
      <w:r>
        <w:rPr>
          <w:rFonts w:hint="eastAsia" w:ascii="宋体" w:hAnsi="宋体"/>
          <w:sz w:val="32"/>
          <w:szCs w:val="24"/>
          <w:lang w:val="en-US" w:eastAsia="zh-CN"/>
        </w:rPr>
        <w:t>。</w:t>
      </w:r>
    </w:p>
    <w:p w14:paraId="174231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textAlignment w:val="auto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2026年</w:t>
      </w:r>
      <w:r>
        <w:rPr>
          <w:rFonts w:hint="eastAsia" w:ascii="宋体" w:hAnsi="宋体"/>
          <w:sz w:val="32"/>
          <w:szCs w:val="24"/>
        </w:rPr>
        <w:t>拟新增配备领导干部用车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辆，一般公务用车</w:t>
      </w:r>
      <w:r>
        <w:rPr>
          <w:rFonts w:hint="eastAsia" w:ascii="宋体" w:hAnsi="宋体"/>
          <w:sz w:val="32"/>
          <w:szCs w:val="24"/>
          <w:lang w:val="en-US" w:eastAsia="zh-CN"/>
        </w:rPr>
        <w:t>4</w:t>
      </w:r>
      <w:r>
        <w:rPr>
          <w:rFonts w:hint="eastAsia" w:ascii="宋体" w:hAnsi="宋体"/>
          <w:sz w:val="32"/>
          <w:szCs w:val="24"/>
        </w:rPr>
        <w:t>辆，其他用车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辆，新增配备单位价值50万元以上通用设备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台，单位价值100万元以上专用设备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台。</w:t>
      </w:r>
    </w:p>
    <w:p w14:paraId="18D806C8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="0" w:leftChars="0" w:firstLine="640" w:firstLineChars="200"/>
        <w:textAlignment w:val="auto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预算绩效目标说明</w:t>
      </w:r>
    </w:p>
    <w:p w14:paraId="340AEF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textAlignment w:val="auto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本单位所有支出实行绩效目标管理。纳入2026年单位整体支出绩效目标的金额为3287.38万元，其中，基本支出2951.81万元，项目支出335.57万元，详见文尾附表中单位预算公开表格的表21-22。</w:t>
      </w:r>
    </w:p>
    <w:p w14:paraId="46B420FD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="0" w:leftChars="0" w:firstLine="640" w:firstLineChars="200"/>
        <w:textAlignment w:val="auto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名词解释</w:t>
      </w:r>
    </w:p>
    <w:p w14:paraId="5944AFB1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textAlignment w:val="auto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21DDF5B9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="0" w:leftChars="0" w:firstLine="640" w:firstLineChars="200"/>
        <w:textAlignment w:val="auto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“三公”经费：纳入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等支出。</w:t>
      </w:r>
    </w:p>
    <w:p w14:paraId="5616CA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/>
        <w:textAlignment w:val="auto"/>
        <w:rPr>
          <w:rFonts w:hint="eastAsia" w:ascii="宋体" w:hAnsi="宋体" w:eastAsia="宋体"/>
          <w:sz w:val="32"/>
          <w:szCs w:val="24"/>
        </w:rPr>
      </w:pPr>
    </w:p>
    <w:p w14:paraId="259468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/>
        <w:textAlignment w:val="auto"/>
        <w:rPr>
          <w:rFonts w:hint="eastAsia" w:ascii="宋体" w:hAnsi="宋体" w:eastAsia="宋体"/>
          <w:sz w:val="32"/>
          <w:szCs w:val="24"/>
        </w:rPr>
      </w:pPr>
    </w:p>
    <w:p w14:paraId="4BA58C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/>
        <w:textAlignment w:val="auto"/>
        <w:rPr>
          <w:rFonts w:hint="eastAsia" w:ascii="宋体" w:hAnsi="宋体" w:eastAsia="宋体"/>
          <w:sz w:val="32"/>
          <w:szCs w:val="24"/>
        </w:rPr>
      </w:pPr>
    </w:p>
    <w:p w14:paraId="6AA7C0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/>
        <w:textAlignment w:val="auto"/>
        <w:rPr>
          <w:rFonts w:hint="eastAsia" w:ascii="宋体" w:hAnsi="宋体" w:eastAsia="宋体"/>
          <w:sz w:val="32"/>
          <w:szCs w:val="24"/>
        </w:rPr>
      </w:pPr>
    </w:p>
    <w:p w14:paraId="0FED1F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/>
        <w:textAlignment w:val="auto"/>
        <w:rPr>
          <w:rFonts w:hint="eastAsia" w:ascii="宋体" w:hAnsi="宋体" w:eastAsia="宋体"/>
          <w:sz w:val="32"/>
          <w:szCs w:val="24"/>
        </w:rPr>
      </w:pPr>
    </w:p>
    <w:p w14:paraId="10D3C9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/>
        <w:textAlignment w:val="auto"/>
        <w:rPr>
          <w:rFonts w:hint="eastAsia" w:ascii="宋体" w:hAnsi="宋体" w:eastAsia="宋体"/>
          <w:sz w:val="32"/>
          <w:szCs w:val="24"/>
        </w:rPr>
      </w:pPr>
    </w:p>
    <w:p w14:paraId="7DDC4D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/>
        <w:textAlignment w:val="auto"/>
        <w:rPr>
          <w:rFonts w:hint="eastAsia" w:ascii="宋体" w:hAnsi="宋体" w:eastAsia="宋体"/>
          <w:sz w:val="32"/>
          <w:szCs w:val="24"/>
        </w:rPr>
      </w:pPr>
    </w:p>
    <w:p w14:paraId="1D7548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/>
        <w:textAlignment w:val="auto"/>
        <w:rPr>
          <w:rFonts w:hint="eastAsia" w:ascii="宋体" w:hAnsi="宋体" w:eastAsia="宋体"/>
          <w:sz w:val="32"/>
          <w:szCs w:val="24"/>
        </w:rPr>
      </w:pPr>
    </w:p>
    <w:p w14:paraId="5C614E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/>
        <w:textAlignment w:val="auto"/>
        <w:rPr>
          <w:rFonts w:hint="eastAsia" w:ascii="宋体" w:hAnsi="宋体" w:eastAsia="宋体"/>
          <w:sz w:val="32"/>
          <w:szCs w:val="24"/>
        </w:rPr>
      </w:pPr>
    </w:p>
    <w:p w14:paraId="3F06DB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/>
        <w:textAlignment w:val="auto"/>
        <w:rPr>
          <w:rFonts w:hint="eastAsia" w:ascii="宋体" w:hAnsi="宋体" w:eastAsia="宋体"/>
          <w:sz w:val="32"/>
          <w:szCs w:val="24"/>
        </w:rPr>
      </w:pPr>
    </w:p>
    <w:p w14:paraId="794B9E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/>
        <w:textAlignment w:val="auto"/>
        <w:rPr>
          <w:rFonts w:hint="eastAsia" w:ascii="宋体" w:hAnsi="宋体" w:eastAsia="宋体"/>
          <w:sz w:val="32"/>
          <w:szCs w:val="24"/>
        </w:rPr>
      </w:pPr>
    </w:p>
    <w:p w14:paraId="1D9DFE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/>
        <w:textAlignment w:val="auto"/>
        <w:rPr>
          <w:rFonts w:hint="eastAsia" w:ascii="宋体" w:hAnsi="宋体" w:eastAsia="宋体"/>
          <w:sz w:val="32"/>
          <w:szCs w:val="24"/>
        </w:rPr>
      </w:pPr>
    </w:p>
    <w:p w14:paraId="3ABE5A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/>
        <w:textAlignment w:val="auto"/>
        <w:rPr>
          <w:rFonts w:hint="eastAsia" w:ascii="宋体" w:hAnsi="宋体" w:eastAsia="宋体"/>
          <w:sz w:val="32"/>
          <w:szCs w:val="24"/>
        </w:rPr>
      </w:pPr>
    </w:p>
    <w:p w14:paraId="12F11C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/>
        <w:textAlignment w:val="auto"/>
        <w:rPr>
          <w:rFonts w:hint="eastAsia" w:ascii="宋体" w:hAnsi="宋体" w:eastAsia="宋体"/>
          <w:sz w:val="32"/>
          <w:szCs w:val="24"/>
        </w:rPr>
      </w:pPr>
    </w:p>
    <w:p w14:paraId="33911C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/>
        <w:textAlignment w:val="auto"/>
        <w:rPr>
          <w:rFonts w:hint="eastAsia" w:ascii="宋体" w:hAnsi="宋体" w:eastAsia="宋体"/>
          <w:sz w:val="32"/>
          <w:szCs w:val="24"/>
        </w:rPr>
      </w:pPr>
    </w:p>
    <w:p w14:paraId="3F5ABF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/>
        <w:textAlignment w:val="auto"/>
        <w:rPr>
          <w:rFonts w:hint="eastAsia" w:ascii="宋体" w:hAnsi="宋体" w:eastAsia="宋体"/>
          <w:sz w:val="32"/>
          <w:szCs w:val="24"/>
        </w:rPr>
      </w:pPr>
    </w:p>
    <w:p w14:paraId="746E77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/>
        <w:textAlignment w:val="auto"/>
        <w:rPr>
          <w:rFonts w:hint="eastAsia" w:ascii="宋体" w:hAnsi="宋体" w:eastAsia="宋体"/>
          <w:sz w:val="32"/>
          <w:szCs w:val="24"/>
        </w:rPr>
      </w:pPr>
    </w:p>
    <w:p w14:paraId="08ABBC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/>
        <w:textAlignment w:val="auto"/>
        <w:rPr>
          <w:rFonts w:hint="eastAsia" w:ascii="宋体" w:hAnsi="宋体" w:eastAsia="宋体"/>
          <w:sz w:val="32"/>
          <w:szCs w:val="24"/>
        </w:rPr>
      </w:pPr>
    </w:p>
    <w:p w14:paraId="083596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/>
        <w:textAlignment w:val="auto"/>
        <w:rPr>
          <w:rFonts w:hint="eastAsia" w:ascii="宋体" w:hAnsi="宋体" w:eastAsia="宋体"/>
          <w:sz w:val="32"/>
          <w:szCs w:val="24"/>
        </w:rPr>
      </w:pPr>
    </w:p>
    <w:p w14:paraId="701FC697">
      <w:pPr>
        <w:widowControl w:val="0"/>
        <w:numPr>
          <w:ilvl w:val="0"/>
          <w:numId w:val="0"/>
        </w:numPr>
        <w:autoSpaceDE w:val="0"/>
        <w:autoSpaceDN w:val="0"/>
        <w:adjustRightInd w:val="0"/>
        <w:spacing w:beforeLines="0" w:afterLines="0"/>
        <w:rPr>
          <w:rFonts w:hint="eastAsia" w:ascii="宋体" w:hAnsi="宋体" w:eastAsia="宋体"/>
          <w:sz w:val="32"/>
          <w:szCs w:val="24"/>
        </w:rPr>
      </w:pPr>
    </w:p>
    <w:p w14:paraId="7A44AE40">
      <w:pPr>
        <w:numPr>
          <w:ilvl w:val="0"/>
          <w:numId w:val="3"/>
        </w:numPr>
        <w:ind w:left="0" w:leftChars="0" w:firstLine="0" w:firstLineChars="0"/>
        <w:jc w:val="center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2026年单位预算公开表格</w:t>
      </w:r>
    </w:p>
    <w:p w14:paraId="380279B2">
      <w:pPr>
        <w:numPr>
          <w:ilvl w:val="0"/>
          <w:numId w:val="10"/>
        </w:numPr>
        <w:ind w:left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收支总表</w:t>
      </w:r>
    </w:p>
    <w:p w14:paraId="7172297A">
      <w:pPr>
        <w:numPr>
          <w:ilvl w:val="0"/>
          <w:numId w:val="10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收入总表</w:t>
      </w:r>
    </w:p>
    <w:p w14:paraId="0113B20B">
      <w:pPr>
        <w:numPr>
          <w:ilvl w:val="0"/>
          <w:numId w:val="10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支出总表</w:t>
      </w:r>
    </w:p>
    <w:p w14:paraId="50F3097A">
      <w:pPr>
        <w:numPr>
          <w:ilvl w:val="0"/>
          <w:numId w:val="10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支出预算分类汇总表（按政府预算经济分类）</w:t>
      </w:r>
    </w:p>
    <w:p w14:paraId="7884C883">
      <w:pPr>
        <w:numPr>
          <w:ilvl w:val="0"/>
          <w:numId w:val="10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支出预算分类汇总表（按部门预算经济分类）</w:t>
      </w:r>
    </w:p>
    <w:p w14:paraId="3D7C88A3">
      <w:pPr>
        <w:numPr>
          <w:ilvl w:val="0"/>
          <w:numId w:val="10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财政拨款收支总表</w:t>
      </w:r>
    </w:p>
    <w:p w14:paraId="072496B4">
      <w:pPr>
        <w:numPr>
          <w:ilvl w:val="0"/>
          <w:numId w:val="10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一般公共预算支出表</w:t>
      </w:r>
    </w:p>
    <w:p w14:paraId="7CE52BF0">
      <w:pPr>
        <w:numPr>
          <w:ilvl w:val="0"/>
          <w:numId w:val="10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一般公共预算基本支出表-人员经费（工资福利支出）（按政府预算经济分类）</w:t>
      </w:r>
    </w:p>
    <w:p w14:paraId="3878EA53">
      <w:pPr>
        <w:numPr>
          <w:ilvl w:val="0"/>
          <w:numId w:val="10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  <w:lang w:eastAsia="zh-CN"/>
        </w:rPr>
      </w:pPr>
      <w:r>
        <w:rPr>
          <w:rFonts w:hint="eastAsia" w:ascii="宋体" w:hAnsi="宋体" w:eastAsia="宋体"/>
          <w:sz w:val="32"/>
          <w:szCs w:val="24"/>
        </w:rPr>
        <w:t>一般公共预算基本支出表-人员经费（工资福利支出）（按部门预算经济分类）</w:t>
      </w:r>
    </w:p>
    <w:p w14:paraId="40BDA778">
      <w:pPr>
        <w:numPr>
          <w:ilvl w:val="0"/>
          <w:numId w:val="10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一般公共预算基本支出表-人员经费（对个人和家庭的补助）（按政府预算经济分类）</w:t>
      </w:r>
    </w:p>
    <w:p w14:paraId="58756882">
      <w:pPr>
        <w:numPr>
          <w:ilvl w:val="0"/>
          <w:numId w:val="10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一般公共预算基本支出表-人员经费（对个人和家庭的补助）（按部门预算经济分类）</w:t>
      </w:r>
    </w:p>
    <w:p w14:paraId="6FF75CA8">
      <w:pPr>
        <w:numPr>
          <w:ilvl w:val="0"/>
          <w:numId w:val="10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一般公共预算基本支出表-公用经费（商品和服务支出）（按政府预算经济分类）</w:t>
      </w:r>
    </w:p>
    <w:p w14:paraId="1670E215">
      <w:pPr>
        <w:numPr>
          <w:ilvl w:val="0"/>
          <w:numId w:val="10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一般公共预算基本支出表-公用经费（商品和服务支出）（按部门预算经济分类）</w:t>
      </w:r>
    </w:p>
    <w:p w14:paraId="25BB447C">
      <w:pPr>
        <w:numPr>
          <w:ilvl w:val="0"/>
          <w:numId w:val="10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一般公共预算“三公”经费支出表</w:t>
      </w:r>
    </w:p>
    <w:p w14:paraId="79639B7C">
      <w:pPr>
        <w:numPr>
          <w:ilvl w:val="0"/>
          <w:numId w:val="10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政府性基金预算支出表</w:t>
      </w:r>
    </w:p>
    <w:p w14:paraId="03F8B027">
      <w:pPr>
        <w:numPr>
          <w:ilvl w:val="0"/>
          <w:numId w:val="10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政府性基金预算支出分类汇总表（按政府预算经济分类）</w:t>
      </w:r>
    </w:p>
    <w:p w14:paraId="54748624">
      <w:pPr>
        <w:numPr>
          <w:ilvl w:val="0"/>
          <w:numId w:val="10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政府性基金预算支出分类汇总表（按部门预算经济分类）</w:t>
      </w:r>
    </w:p>
    <w:p w14:paraId="2BDA8DFD">
      <w:pPr>
        <w:numPr>
          <w:ilvl w:val="0"/>
          <w:numId w:val="0"/>
        </w:numPr>
        <w:ind w:left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18、国有资本经营预算支出表</w:t>
      </w:r>
    </w:p>
    <w:p w14:paraId="05BFE81A">
      <w:pPr>
        <w:numPr>
          <w:ilvl w:val="0"/>
          <w:numId w:val="0"/>
        </w:numPr>
        <w:ind w:left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19、财政专户管理资金预算支出表</w:t>
      </w:r>
    </w:p>
    <w:p w14:paraId="6F3DC90F">
      <w:pPr>
        <w:numPr>
          <w:ilvl w:val="0"/>
          <w:numId w:val="0"/>
        </w:numPr>
        <w:ind w:left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20、专项资金预算汇总表</w:t>
      </w:r>
    </w:p>
    <w:p w14:paraId="17C7DFEB">
      <w:pPr>
        <w:numPr>
          <w:ilvl w:val="0"/>
          <w:numId w:val="0"/>
        </w:numPr>
        <w:ind w:left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21、项目支出绩效目标表</w:t>
      </w:r>
    </w:p>
    <w:p w14:paraId="7E25DD4D">
      <w:pPr>
        <w:numPr>
          <w:ilvl w:val="0"/>
          <w:numId w:val="0"/>
        </w:numPr>
        <w:ind w:left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22、单位整体支出绩效目标表</w:t>
      </w:r>
    </w:p>
    <w:p w14:paraId="60E563CB">
      <w:pPr>
        <w:numPr>
          <w:ilvl w:val="0"/>
          <w:numId w:val="0"/>
        </w:numPr>
        <w:ind w:left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23、一般公共预算基本支出表</w:t>
      </w:r>
    </w:p>
    <w:p w14:paraId="6228296E">
      <w:pPr>
        <w:numPr>
          <w:ilvl w:val="0"/>
          <w:numId w:val="0"/>
        </w:numPr>
        <w:ind w:leftChars="0"/>
        <w:rPr>
          <w:rFonts w:hint="eastAsia" w:ascii="宋体" w:hAnsi="宋体" w:eastAsia="宋体"/>
          <w:sz w:val="32"/>
          <w:szCs w:val="24"/>
          <w:lang w:eastAsia="zh-CN"/>
        </w:rPr>
      </w:pPr>
      <w:r>
        <w:rPr>
          <w:rFonts w:hint="eastAsia" w:ascii="宋体" w:hAnsi="宋体" w:eastAsia="宋体"/>
          <w:b/>
          <w:color w:val="FF0000"/>
          <w:sz w:val="32"/>
          <w:szCs w:val="24"/>
        </w:rPr>
        <w:t>注：以上单位预算公开报表中，空表表示本单位无相关收支情况。</w:t>
      </w:r>
    </w:p>
    <w:p w14:paraId="1C09C2AC">
      <w:pPr>
        <w:numPr>
          <w:ilvl w:val="0"/>
          <w:numId w:val="0"/>
        </w:numPr>
        <w:ind w:leftChars="0"/>
        <w:rPr>
          <w:rFonts w:hint="eastAsia" w:ascii="Dialog" w:hAnsi="Dialog"/>
          <w:sz w:val="32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Dialog">
    <w:altName w:val="Times New Roman"/>
    <w:panose1 w:val="00000000000000000000"/>
    <w:charset w:val="86"/>
    <w:family w:val="roma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1ADA85"/>
    <w:multiLevelType w:val="singleLevel"/>
    <w:tmpl w:val="8D1ADA8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95ABF3D7"/>
    <w:multiLevelType w:val="singleLevel"/>
    <w:tmpl w:val="95ABF3D7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2">
    <w:nsid w:val="9E960CCE"/>
    <w:multiLevelType w:val="singleLevel"/>
    <w:tmpl w:val="9E960CC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C31D3A85"/>
    <w:multiLevelType w:val="singleLevel"/>
    <w:tmpl w:val="C31D3A8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C3FBC408"/>
    <w:multiLevelType w:val="singleLevel"/>
    <w:tmpl w:val="C3FBC408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C418D015"/>
    <w:multiLevelType w:val="singleLevel"/>
    <w:tmpl w:val="C418D015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6">
    <w:nsid w:val="FFDD2F87"/>
    <w:multiLevelType w:val="singleLevel"/>
    <w:tmpl w:val="FFDD2F8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7">
    <w:nsid w:val="096C9962"/>
    <w:multiLevelType w:val="singleLevel"/>
    <w:tmpl w:val="096C9962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4A79FB24"/>
    <w:multiLevelType w:val="singleLevel"/>
    <w:tmpl w:val="4A79FB2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7DAC3C54"/>
    <w:multiLevelType w:val="singleLevel"/>
    <w:tmpl w:val="7DAC3C5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8"/>
  </w:num>
  <w:num w:numId="5">
    <w:abstractNumId w:val="6"/>
  </w:num>
  <w:num w:numId="6">
    <w:abstractNumId w:val="3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12F48"/>
    <w:rsid w:val="026F60F2"/>
    <w:rsid w:val="05F9459B"/>
    <w:rsid w:val="06BC4567"/>
    <w:rsid w:val="0A6B4B80"/>
    <w:rsid w:val="0B92789F"/>
    <w:rsid w:val="0E6A0B28"/>
    <w:rsid w:val="104B32E0"/>
    <w:rsid w:val="17620966"/>
    <w:rsid w:val="1E965458"/>
    <w:rsid w:val="246151B3"/>
    <w:rsid w:val="29E76F0E"/>
    <w:rsid w:val="3D6A7D83"/>
    <w:rsid w:val="41992E5E"/>
    <w:rsid w:val="42BA3081"/>
    <w:rsid w:val="43360E4D"/>
    <w:rsid w:val="444945D6"/>
    <w:rsid w:val="4AEA0146"/>
    <w:rsid w:val="4E9C13FD"/>
    <w:rsid w:val="576227F5"/>
    <w:rsid w:val="64B14D8B"/>
    <w:rsid w:val="6BEB5FA0"/>
    <w:rsid w:val="6CC927BB"/>
    <w:rsid w:val="72F12F48"/>
    <w:rsid w:val="74E11291"/>
    <w:rsid w:val="77DB6D1E"/>
    <w:rsid w:val="78CB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99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color w:val="000000"/>
      <w:sz w:val="24"/>
      <w:szCs w:val="24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3672</Words>
  <Characters>4047</Characters>
  <Lines>0</Lines>
  <Paragraphs>0</Paragraphs>
  <TotalTime>6</TotalTime>
  <ScaleCrop>false</ScaleCrop>
  <LinksUpToDate>false</LinksUpToDate>
  <CharactersWithSpaces>4053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2026-04-14T02:42:00Z</dcterms:created>
  <dc:creator>Administrator</dc:creator>
  <cp:lastModifiedBy>Administrator</cp:lastModifiedBy>
  <dcterms:modified xsi:type="dcterms:W3CDTF">2026-04-17T03:16:23Z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0FE36451117E4AD28C2C3A7D9D43DDF2_11</vt:lpwstr>
  </property>
  <property fmtid="{D5CDD505-2E9C-101B-9397-08002B2CF9AE}" pid="4" name="KSOTemplateDocerSaveRecord">
    <vt:lpwstr>eyJoZGlkIjoiOTZlYjhhYjE1MTNlYjg0MTJlMzgxN2U1NjI5NTliNzUifQ==</vt:lpwstr>
  </property>
</Properties>
</file>