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83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98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E11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48F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年度水产品加工和</w:t>
      </w:r>
    </w:p>
    <w:p w14:paraId="1E64B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仓储保鲜能力建设项目实施方案</w:t>
      </w:r>
    </w:p>
    <w:p w14:paraId="57A31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33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为持续深化我区渔业供给侧结构性改革，推进现代渔业绿色高质量发展和现代化建设，实施好我区</w:t>
      </w:r>
      <w:r>
        <w:rPr>
          <w:rFonts w:hint="eastAsia" w:ascii="仿宋_GB2312" w:hAnsi="仿宋_GB2312" w:eastAsia="仿宋_GB2312" w:cs="仿宋_GB2312"/>
          <w:sz w:val="30"/>
          <w:szCs w:val="30"/>
        </w:rPr>
        <w:t>水产品加工和仓储保鲜能力建设项目，根据省农业农村厅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关于印发〈</w:t>
      </w:r>
      <w:r>
        <w:rPr>
          <w:rFonts w:hint="eastAsia" w:ascii="仿宋_GB2312" w:hAnsi="仿宋_GB2312" w:eastAsia="仿宋_GB2312" w:cs="仿宋_GB2312"/>
          <w:sz w:val="30"/>
          <w:szCs w:val="30"/>
        </w:rPr>
        <w:t>湖南省水产品加工和仓储保鲜能力建设项目建设实施方案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》(湘农办发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0"/>
          <w:szCs w:val="30"/>
        </w:rPr>
        <w:t>2022〕3号)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0"/>
          <w:szCs w:val="30"/>
        </w:rPr>
        <w:t>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财政厅下发的</w:t>
      </w:r>
      <w:r>
        <w:rPr>
          <w:rFonts w:hint="eastAsia" w:ascii="仿宋_GB2312" w:hAnsi="仿宋_GB2312" w:eastAsia="仿宋_GB2312" w:cs="仿宋_GB2312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关于提前下达2026年中央农业产业发展资金（渔业发展）的通知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》(湘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财预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〕3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号)文件精神，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</w:rPr>
        <w:t>结合我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实际，特制定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本实施</w:t>
      </w:r>
      <w:r>
        <w:rPr>
          <w:rFonts w:hint="eastAsia" w:ascii="仿宋_GB2312" w:hAnsi="仿宋_GB2312" w:eastAsia="仿宋_GB2312" w:cs="仿宋_GB2312"/>
          <w:sz w:val="30"/>
          <w:szCs w:val="30"/>
        </w:rPr>
        <w:t>方案。</w:t>
      </w:r>
    </w:p>
    <w:p w14:paraId="56BC7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一、指导思想</w:t>
      </w:r>
    </w:p>
    <w:p w14:paraId="2004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习近平新时代中国特色社会主义思想为指导，深入贯彻党的二十大及后续相关会议精神，落实党中央、国务院关于“三农”工作的决策部署，立足君山区“生态渔业+科技赋能+品牌引领”的发展基础，聚焦水产品精深加工和仓储保鲜能力，推动产业从“规模扩张”向“质量效益”转型，构建“生态筑基、科技驱动、三产融合”的现代渔业发展新格局。</w:t>
      </w:r>
    </w:p>
    <w:p w14:paraId="32DE02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项目目标</w:t>
      </w:r>
    </w:p>
    <w:p w14:paraId="69967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通过水产品加工和仓储保鲜能力建设项目建设实施，深入推进我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渔业供给侧结构性改革，推动水产品提质增效和渔业绿色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sz w:val="30"/>
          <w:szCs w:val="30"/>
        </w:rPr>
        <w:t>发展，打造现代渔业全产业链，提升水产品加工仓储现代化水平，提高水产品加工率、流通率和副产品利用率，促进一二三产业融合发展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</w:rPr>
        <w:t>力争到202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年，新增培育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0"/>
          <w:szCs w:val="30"/>
        </w:rPr>
        <w:t>市级水产品加工龙头企业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家。</w:t>
      </w:r>
    </w:p>
    <w:p w14:paraId="3645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三、实施原则</w:t>
      </w:r>
    </w:p>
    <w:p w14:paraId="11F5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1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坚持先建后补原则。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项目采取“先建后补”的拨付方式，项目补助资金仅对于上一年和本年的建设内容予以补助，此前建设的不予支持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也不计入完成的项目任务量。</w:t>
      </w:r>
    </w:p>
    <w:p w14:paraId="75F65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2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坚持示范引领原则。</w:t>
      </w:r>
      <w:r>
        <w:rPr>
          <w:rFonts w:hint="eastAsia" w:ascii="仿宋_GB2312" w:hAnsi="仿宋_GB2312" w:eastAsia="仿宋_GB2312" w:cs="仿宋_GB2312"/>
          <w:sz w:val="30"/>
          <w:szCs w:val="30"/>
        </w:rPr>
        <w:t>优先支持提升潜力大、建设条件成熟、示范引领能力强、科技含量高的市级以上水产品加工龙头企业。</w:t>
      </w:r>
    </w:p>
    <w:p w14:paraId="399F0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3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坚持公平公正原则。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全程公开申报流程，</w:t>
      </w:r>
      <w:r>
        <w:rPr>
          <w:rFonts w:hint="eastAsia" w:ascii="仿宋_GB2312" w:hAnsi="仿宋_GB2312" w:eastAsia="仿宋_GB2312" w:cs="仿宋_GB2312"/>
          <w:sz w:val="30"/>
          <w:szCs w:val="30"/>
        </w:rPr>
        <w:t>明确补助对象、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内容及标准</w:t>
      </w:r>
      <w:r>
        <w:rPr>
          <w:rFonts w:hint="eastAsia" w:ascii="仿宋_GB2312" w:hAnsi="仿宋_GB2312" w:eastAsia="仿宋_GB2312" w:cs="仿宋_GB2312"/>
          <w:sz w:val="30"/>
          <w:szCs w:val="30"/>
        </w:rPr>
        <w:t>，组织专班对具备条件的单位进行现场调研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实施监督及验收报告，接受社会监督，确保项目公平公正、高效实施，以及资金使用规范。</w:t>
      </w:r>
    </w:p>
    <w:p w14:paraId="19BBA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四、补助对象、内容及标准</w:t>
      </w:r>
    </w:p>
    <w:p w14:paraId="47D9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pacing w:val="-6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0"/>
          <w:szCs w:val="30"/>
        </w:rPr>
        <w:t>下达资金总额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与项目目标</w:t>
      </w:r>
      <w:r>
        <w:rPr>
          <w:rFonts w:hint="eastAsia" w:ascii="仿宋_GB2312" w:hAnsi="仿宋_GB2312" w:eastAsia="仿宋_GB2312" w:cs="仿宋_GB2312"/>
          <w:sz w:val="30"/>
          <w:szCs w:val="30"/>
        </w:rPr>
        <w:t>，确定年度项目扶持单位，并予以公示，公示无异议后组织申报单位制定项目实施方案，并组织专家对项目实施方案进行评审。评审通过后，正式行文报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省市两级备案，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  <w:t>通过后再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启动项目实施。</w:t>
      </w:r>
    </w:p>
    <w:p w14:paraId="6A928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1.补助对象</w:t>
      </w:r>
    </w:p>
    <w:p w14:paraId="48DED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依法登记注册、具备独立法人资格的水产品加工仓储能力的企业、合作社或家庭渔场等，且持有《食品生产许可证》，近三年无产品质量安全事件。</w:t>
      </w:r>
    </w:p>
    <w:p w14:paraId="014B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拥有固定生产场所并已落实加工生产用地指标，原材料以君山区本地养殖或捕捞为主，优先支持龙头企业上下游配套主体。</w:t>
      </w:r>
    </w:p>
    <w:p w14:paraId="5327B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具备一定产业带动能力，优先聘用退捕渔民、带动农户增收成效显著，或在品牌创建、数字化转型方面有突出表现的主体。</w:t>
      </w:r>
    </w:p>
    <w:p w14:paraId="524E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2.补助内容</w:t>
      </w:r>
    </w:p>
    <w:p w14:paraId="69115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重点支持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暂养净化、</w:t>
      </w:r>
      <w:r>
        <w:rPr>
          <w:rFonts w:hint="eastAsia" w:ascii="仿宋_GB2312" w:hAnsi="仿宋_GB2312" w:eastAsia="仿宋_GB2312" w:cs="仿宋_GB2312"/>
          <w:sz w:val="30"/>
          <w:szCs w:val="30"/>
        </w:rPr>
        <w:t>冷藏冷冻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、生态环保等设施建设和原料处理、</w:t>
      </w:r>
      <w:r>
        <w:rPr>
          <w:rFonts w:hint="eastAsia" w:ascii="仿宋_GB2312" w:hAnsi="仿宋_GB2312" w:eastAsia="仿宋_GB2312" w:cs="仿宋_GB2312"/>
          <w:sz w:val="30"/>
          <w:szCs w:val="30"/>
        </w:rPr>
        <w:t>分级分割、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灭菌</w:t>
      </w:r>
      <w:r>
        <w:rPr>
          <w:rFonts w:hint="eastAsia" w:ascii="仿宋_GB2312" w:hAnsi="仿宋_GB2312" w:eastAsia="仿宋_GB2312" w:cs="仿宋_GB2312"/>
          <w:sz w:val="30"/>
          <w:szCs w:val="30"/>
        </w:rPr>
        <w:t>包装等设备购置。</w:t>
      </w:r>
    </w:p>
    <w:p w14:paraId="51DA5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3.补助标准</w:t>
      </w:r>
    </w:p>
    <w:p w14:paraId="53C1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补助下限不低于10万元，上限不超过设施设备总造价的30%，单个主体累计补助金额不超过300万元。</w:t>
      </w:r>
    </w:p>
    <w:p w14:paraId="6970A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项目补助资金仅对于上一年和本年的建设内容予以补助，此前建设的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0"/>
          <w:szCs w:val="30"/>
        </w:rPr>
        <w:t>不予支持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也不计入完成的项目任务量。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已享受省级以上财政资金支持的同一建设内容，不重复补助。</w:t>
      </w:r>
    </w:p>
    <w:p w14:paraId="20D7B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五、实施程序</w:t>
      </w:r>
    </w:p>
    <w:p w14:paraId="74E4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1.项目申报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：区</w:t>
      </w:r>
      <w:r>
        <w:rPr>
          <w:rFonts w:hint="eastAsia" w:ascii="仿宋_GB2312" w:hAnsi="仿宋_GB2312" w:eastAsia="仿宋_GB2312" w:cs="仿宋_GB2312"/>
          <w:sz w:val="30"/>
          <w:szCs w:val="30"/>
        </w:rPr>
        <w:t>农业农村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按照公开、公平、公正和企业自愿的原则，对申报单位的资格、条件进行审核，并对水产品加工和仓储保鲜设施设备建设需求情况进行汇总。</w:t>
      </w:r>
    </w:p>
    <w:p w14:paraId="2C403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2.遴选公示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：区</w:t>
      </w:r>
      <w:r>
        <w:rPr>
          <w:rFonts w:hint="eastAsia" w:ascii="仿宋_GB2312" w:hAnsi="仿宋_GB2312" w:eastAsia="仿宋_GB2312" w:cs="仿宋_GB2312"/>
          <w:sz w:val="30"/>
          <w:szCs w:val="30"/>
        </w:rPr>
        <w:t>农业农村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</w:rPr>
        <w:t>统筹考虑产业链完整、建设条件好、带动范围广、提升潜力大等方面，根据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需求情况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商同级财政部门筛选确定项目扶持单位，</w:t>
      </w:r>
      <w:r>
        <w:rPr>
          <w:rFonts w:hint="eastAsia" w:ascii="仿宋_GB2312" w:hAnsi="仿宋_GB2312" w:eastAsia="仿宋_GB2312" w:cs="仿宋_GB2312"/>
          <w:sz w:val="30"/>
          <w:szCs w:val="30"/>
        </w:rPr>
        <w:t>并予以公示，公示无异议后组织申报单位制定项目实施方案，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</w:rPr>
        <w:t>组织专家对实施方案进行评审。实施方案评审通过后，正式行文报送至省市两级备案，启动项目实施。</w:t>
      </w:r>
    </w:p>
    <w:p w14:paraId="1BCF3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3.项目实施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该项目实施周期为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从项目资金下达之日起计算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，即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需在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底</w:t>
      </w:r>
      <w:r>
        <w:rPr>
          <w:rFonts w:hint="eastAsia" w:ascii="仿宋_GB2312" w:hAnsi="仿宋_GB2312" w:eastAsia="仿宋_GB2312" w:cs="仿宋_GB2312"/>
          <w:sz w:val="30"/>
          <w:szCs w:val="30"/>
        </w:rPr>
        <w:t>前完成项目建设。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项目实施单位必须按批准的方案推进建设，并定期报送进度报告，区农业农村局组织人员开展1-2次中期督导。</w:t>
      </w:r>
    </w:p>
    <w:p w14:paraId="64CE9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4.验收拨付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0"/>
          <w:szCs w:val="30"/>
        </w:rPr>
        <w:t>完成后，由项目实施单位向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sz w:val="30"/>
          <w:szCs w:val="30"/>
        </w:rPr>
        <w:t>提出验收申请。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sz w:val="30"/>
          <w:szCs w:val="30"/>
        </w:rPr>
        <w:t>负责组织财务、水产加工等方面的专家对项目进行初验，并形成验收报告，报市级进行复验。市级农业农村部门将复验情况形成报告后报省级备案。</w:t>
      </w:r>
    </w:p>
    <w:p w14:paraId="5AB54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市级复验合格后，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sz w:val="30"/>
          <w:szCs w:val="30"/>
        </w:rPr>
        <w:t>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0"/>
          <w:szCs w:val="30"/>
        </w:rPr>
        <w:t>财政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0"/>
          <w:szCs w:val="30"/>
        </w:rPr>
        <w:t>提出资金拨付申请，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区财政局</w:t>
      </w:r>
      <w:r>
        <w:rPr>
          <w:rFonts w:hint="eastAsia" w:ascii="仿宋_GB2312" w:hAnsi="仿宋_GB2312" w:eastAsia="仿宋_GB2312" w:cs="仿宋_GB2312"/>
          <w:sz w:val="30"/>
          <w:szCs w:val="30"/>
        </w:rPr>
        <w:t>按照要求将补助资金拨付至项目实施单位。</w:t>
      </w:r>
    </w:p>
    <w:p w14:paraId="5225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5.绩效管理：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项目完成后，由</w:t>
      </w:r>
      <w:r>
        <w:rPr>
          <w:rFonts w:hint="eastAsia" w:ascii="仿宋_GB2312" w:hAnsi="仿宋_GB2312" w:eastAsia="仿宋_GB2312" w:cs="仿宋_GB2312"/>
          <w:sz w:val="30"/>
          <w:szCs w:val="30"/>
        </w:rPr>
        <w:t>实施单位按照项目实施方案，开展绩效自评，撰写自评报告。绩效自评报告连同证明材料逐级报送至省农业农村厅。</w:t>
      </w:r>
    </w:p>
    <w:p w14:paraId="19342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六、保障措施</w:t>
      </w:r>
    </w:p>
    <w:p w14:paraId="6ADD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1.加强组织协调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：区农业农村局实行“一把手”负责制，</w:t>
      </w:r>
      <w:r>
        <w:rPr>
          <w:rFonts w:hint="eastAsia" w:ascii="仿宋_GB2312" w:hAnsi="仿宋_GB2312" w:eastAsia="仿宋_GB2312" w:cs="仿宋_GB2312"/>
          <w:sz w:val="30"/>
          <w:szCs w:val="30"/>
        </w:rPr>
        <w:t>分管领导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畜牧兽医和渔业渔政管理</w:t>
      </w:r>
      <w:r>
        <w:rPr>
          <w:rFonts w:hint="eastAsia" w:ascii="仿宋_GB2312" w:hAnsi="仿宋_GB2312" w:eastAsia="仿宋_GB2312" w:cs="仿宋_GB2312"/>
          <w:sz w:val="30"/>
          <w:szCs w:val="30"/>
        </w:rPr>
        <w:t>股具体组织实施，严格落实国家和省、市农业主管部门有关要求，加强组织领导，明确职责分工，形成工作合力。项目实施方案报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区政府</w:t>
      </w:r>
      <w:r>
        <w:rPr>
          <w:rFonts w:hint="eastAsia" w:ascii="仿宋_GB2312" w:hAnsi="仿宋_GB2312" w:eastAsia="仿宋_GB2312" w:cs="仿宋_GB2312"/>
          <w:sz w:val="30"/>
          <w:szCs w:val="30"/>
        </w:rPr>
        <w:t>分管副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区长</w:t>
      </w:r>
      <w:r>
        <w:rPr>
          <w:rFonts w:hint="eastAsia" w:ascii="仿宋_GB2312" w:hAnsi="仿宋_GB2312" w:eastAsia="仿宋_GB2312" w:cs="仿宋_GB2312"/>
          <w:sz w:val="30"/>
          <w:szCs w:val="30"/>
        </w:rPr>
        <w:t>审批实施，确保规范用好渔业发展补助资金。</w:t>
      </w:r>
    </w:p>
    <w:p w14:paraId="409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2.强化项目实施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区农业农村局强化项目监督管理，在项目实施前，严格对申报单位相应资质、建设能力和项目实施方案进行审核把关。在项目实施过程中，加强对项目实施单位的监督检查和业务指导，确保项目按期竣工验收，并严格落实财务管理制度，确保项目实施合法合规。</w:t>
      </w:r>
    </w:p>
    <w:p w14:paraId="1FE99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3.严格资金监管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：严格遵守财务财政资金管理有关规定，切实加强资金管理。对于中央补助资金，实行专账管理、独立核算、专款专用，严禁滞留、挪用。定期开展资金使用专项检查，对违规行为依法依规处理。</w:t>
      </w:r>
    </w:p>
    <w:p w14:paraId="58A8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4.做好宣传引导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：切实做好政策解读与宣传推广工作，紧扣政策导向，第一时间公开公示补助资金使用明细，主动接受社会各界和群众监督，全面提升资金使用透明度。以此放大政策红利效应，凝聚各方共识，营造全社会关心支持、积极参与渔业高质量发展的浓厚氛围。</w:t>
      </w:r>
    </w:p>
    <w:p w14:paraId="68624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BB35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岳阳市君山区农业农村局</w:t>
      </w:r>
    </w:p>
    <w:p w14:paraId="0FAD0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4500" w:firstLineChars="15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 1 月 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B95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FDB2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FDB2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94B0D"/>
    <w:multiLevelType w:val="singleLevel"/>
    <w:tmpl w:val="5C894B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F4782"/>
    <w:rsid w:val="0E8209E6"/>
    <w:rsid w:val="36476D2D"/>
    <w:rsid w:val="4B37472C"/>
    <w:rsid w:val="547A2728"/>
    <w:rsid w:val="579A5557"/>
    <w:rsid w:val="74CF367C"/>
    <w:rsid w:val="75BF4782"/>
    <w:rsid w:val="75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2235</Words>
  <Characters>2283</Characters>
  <Lines>0</Lines>
  <Paragraphs>0</Paragraphs>
  <TotalTime>37</TotalTime>
  <ScaleCrop>false</ScaleCrop>
  <LinksUpToDate>false</LinksUpToDate>
  <CharactersWithSpaces>2287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2026-01-05T14:16:00Z</dcterms:created>
  <dc:creator>tombo12</dc:creator>
  <cp:lastModifiedBy>nyj</cp:lastModifiedBy>
  <cp:lastPrinted>2026-01-06T15:48:00Z</cp:lastPrinted>
  <dcterms:modified xsi:type="dcterms:W3CDTF">2026-02-10T16:57:40Z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E0EA2420E95D4F799781B4F9C59F70E8_11</vt:lpwstr>
  </property>
  <property fmtid="{D5CDD505-2E9C-101B-9397-08002B2CF9AE}" pid="4" name="KSOTemplateDocerSaveRecord">
    <vt:lpwstr>eyJoZGlkIjoiYzQxODE0YTI5NzIwYzYzYTFkZjM0ZmZkMTZhYTg3YzQiLCJ1c2VySWQiOiIyMTk1NDg4MiJ9</vt:lpwstr>
  </property>
</Properties>
</file>