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0AC84234">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岳阳市公安局君山分局</w:t>
      </w:r>
    </w:p>
    <w:p w14:paraId="6934EBE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3A699C16">
      <w:pPr>
        <w:pStyle w:val="13"/>
        <w:jc w:val="center"/>
        <w:rPr>
          <w:rFonts w:hint="eastAsia" w:ascii="方正小标宋_GBK" w:hAnsi="方正小标宋_GBK" w:eastAsia="方正小标宋_GBK" w:cs="方正小标宋_GBK"/>
          <w:sz w:val="56"/>
          <w:szCs w:val="56"/>
        </w:rPr>
      </w:pPr>
    </w:p>
    <w:p w14:paraId="72C8FB58">
      <w:pPr>
        <w:pStyle w:val="13"/>
        <w:jc w:val="center"/>
        <w:rPr>
          <w:sz w:val="56"/>
          <w:szCs w:val="56"/>
        </w:rPr>
      </w:pP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459C483D">
      <w:pPr>
        <w:pStyle w:val="13"/>
        <w:spacing w:line="500" w:lineRule="exact"/>
        <w:jc w:val="both"/>
        <w:rPr>
          <w:b/>
          <w:sz w:val="36"/>
          <w:szCs w:val="28"/>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lang w:eastAsia="zh-CN"/>
        </w:rPr>
        <w:t>岳阳市公安局君山分局</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69497B70">
      <w:pPr>
        <w:pStyle w:val="13"/>
        <w:jc w:val="center"/>
        <w:rPr>
          <w:rFonts w:hint="eastAsia"/>
          <w:sz w:val="84"/>
          <w:szCs w:val="84"/>
          <w:lang w:eastAsia="zh-CN"/>
        </w:rPr>
      </w:pPr>
      <w:r>
        <w:rPr>
          <w:rFonts w:hint="eastAsia"/>
          <w:sz w:val="84"/>
          <w:szCs w:val="84"/>
          <w:lang w:eastAsia="zh-CN"/>
        </w:rPr>
        <w:t>岳阳市公安局</w:t>
      </w:r>
    </w:p>
    <w:p w14:paraId="35A3798C">
      <w:pPr>
        <w:pStyle w:val="13"/>
        <w:jc w:val="center"/>
        <w:rPr>
          <w:rFonts w:hint="eastAsia" w:ascii="方正小标宋_GBK" w:hAnsi="方正小标宋_GBK" w:eastAsia="方正小标宋_GBK" w:cs="方正小标宋_GBK"/>
          <w:sz w:val="84"/>
          <w:szCs w:val="84"/>
        </w:rPr>
      </w:pPr>
      <w:r>
        <w:rPr>
          <w:rFonts w:hint="eastAsia"/>
          <w:sz w:val="84"/>
          <w:szCs w:val="84"/>
          <w:lang w:eastAsia="zh-CN"/>
        </w:rPr>
        <w:t>君山分局</w:t>
      </w:r>
      <w:r>
        <w:rPr>
          <w:rFonts w:hint="eastAsia"/>
          <w:sz w:val="84"/>
          <w:szCs w:val="84"/>
        </w:rPr>
        <w:t>单位概况</w:t>
      </w:r>
    </w:p>
    <w:p w14:paraId="397AC3FB">
      <w:pPr>
        <w:pStyle w:val="4"/>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8"/>
        <w:rPr>
          <w:rFonts w:hint="eastAsia" w:ascii="方正小标宋_GBK" w:hAnsi="方正小标宋_GBK" w:eastAsia="方正小标宋_GBK" w:cs="方正小标宋_GBK"/>
          <w:sz w:val="84"/>
          <w:szCs w:val="84"/>
        </w:rPr>
      </w:pPr>
    </w:p>
    <w:p w14:paraId="1469560B">
      <w:pPr>
        <w:pStyle w:val="4"/>
        <w:rPr>
          <w:rFonts w:hint="eastAsia" w:ascii="方正小标宋_GBK" w:hAnsi="方正小标宋_GBK" w:eastAsia="方正小标宋_GBK" w:cs="方正小标宋_GBK"/>
          <w:sz w:val="84"/>
          <w:szCs w:val="84"/>
        </w:rPr>
      </w:pPr>
    </w:p>
    <w:p w14:paraId="55E857AF">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564CDD69">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（一）预防制止和侦查违法犯罪活动；</w:t>
      </w:r>
    </w:p>
    <w:p w14:paraId="7BBB8B52">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（二）维护社会治安秩序，制止危害社会治安秩序的行为；</w:t>
      </w:r>
    </w:p>
    <w:p w14:paraId="3309C48C">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（三）组织实施消防工作，实行消防监督；</w:t>
      </w:r>
    </w:p>
    <w:p w14:paraId="67D2ED53">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（四）管理枪支弹药、控制刀具和易燃易爆、剧毒、放射等危险物品；对法律、法规指定的特种行业进行管理；</w:t>
      </w:r>
    </w:p>
    <w:p w14:paraId="66451002">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（五）警卫国家规定的特定人员，守卫重要的场所和设施；管理集会、游行、示威活动；</w:t>
      </w:r>
    </w:p>
    <w:p w14:paraId="29CEF847">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（六）管理户政、国籍、出入境事务和外国人在中国境内居留、旅行的有关事务；</w:t>
      </w:r>
    </w:p>
    <w:p w14:paraId="483FCF82">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（七）维护国边境地区的治安秩序；管理监督计算机信息系统的安全保卫工作；</w:t>
      </w:r>
    </w:p>
    <w:p w14:paraId="2C08A42B">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（八）指导监督国家机关、社会团体、企业事业组织和重点建设工程的治安保卫工作，指导治安保卫委员会等群众性组织的治安防范工作；</w:t>
      </w:r>
    </w:p>
    <w:p w14:paraId="613A2AE5">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（九）法律法规规定的其他职责。</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68C31DE">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岳阳市公安局君山分局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lang w:eastAsia="zh-CN"/>
        </w:rPr>
        <w:t>政工室、警务保障室、纪委检查室、办公室、法制大队、国保大队、刑事侦查大队、经侦大队、治安大队、拘留所等</w:t>
      </w:r>
      <w:r>
        <w:rPr>
          <w:rFonts w:hint="eastAsia" w:ascii="Times New Roman" w:hAnsi="Times New Roman" w:eastAsia="仿宋_GB2312" w:cs="仿宋_GB2312"/>
          <w:bCs/>
          <w:kern w:val="0"/>
          <w:sz w:val="32"/>
          <w:szCs w:val="32"/>
          <w:lang w:val="en-US" w:eastAsia="zh-CN"/>
        </w:rPr>
        <w:t>16个内设机构，下属</w:t>
      </w:r>
      <w:r>
        <w:rPr>
          <w:rFonts w:hint="eastAsia" w:ascii="Times New Roman" w:hAnsi="Times New Roman" w:eastAsia="仿宋_GB2312" w:cs="仿宋_GB2312"/>
          <w:bCs/>
          <w:kern w:val="0"/>
          <w:sz w:val="32"/>
          <w:szCs w:val="32"/>
          <w:lang w:eastAsia="zh-CN"/>
        </w:rPr>
        <w:t>林角佬派出所、君山派出所、柳林洲派出所、广兴洲派出所、许市派出所、采桑湖派出所、钱粮湖派出所、良心堡派出所等</w:t>
      </w:r>
      <w:r>
        <w:rPr>
          <w:rFonts w:hint="eastAsia" w:ascii="Times New Roman" w:hAnsi="Times New Roman" w:eastAsia="仿宋_GB2312" w:cs="仿宋_GB2312"/>
          <w:bCs/>
          <w:kern w:val="0"/>
          <w:sz w:val="32"/>
          <w:szCs w:val="32"/>
          <w:lang w:val="en-US" w:eastAsia="zh-CN"/>
        </w:rPr>
        <w:t>8个派出所</w:t>
      </w:r>
      <w:r>
        <w:rPr>
          <w:rFonts w:hint="eastAsia" w:ascii="Times New Roman" w:hAnsi="Times New Roman" w:eastAsia="仿宋_GB2312" w:cs="仿宋_GB2312"/>
          <w:bCs/>
          <w:kern w:val="0"/>
          <w:sz w:val="32"/>
          <w:szCs w:val="32"/>
          <w:lang w:eastAsia="zh-CN"/>
        </w:rPr>
        <w:t>。</w:t>
      </w:r>
    </w:p>
    <w:p w14:paraId="3D9EF3E2">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38F8B787">
      <w:pPr>
        <w:ind w:firstLine="640" w:firstLineChars="200"/>
        <w:jc w:val="left"/>
        <w:rPr>
          <w:rFonts w:ascii="仿宋_GB2312" w:eastAsia="仿宋_GB2312" w:hAnsiTheme="minorEastAsia"/>
          <w:sz w:val="28"/>
          <w:szCs w:val="32"/>
        </w:rPr>
      </w:pP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lang w:eastAsia="zh-CN"/>
        </w:rPr>
        <w:t>岳阳市公安局君山分局本级。</w:t>
      </w:r>
    </w:p>
    <w:p w14:paraId="38152785"/>
    <w:p w14:paraId="3CE56614">
      <w:pPr>
        <w:pStyle w:val="8"/>
      </w:pPr>
    </w:p>
    <w:p w14:paraId="70B4D569">
      <w:pPr>
        <w:pStyle w:val="4"/>
      </w:pPr>
    </w:p>
    <w:p w14:paraId="5B1D6CBC"/>
    <w:p w14:paraId="7D6C31E4">
      <w:pPr>
        <w:pStyle w:val="8"/>
      </w:pPr>
    </w:p>
    <w:p w14:paraId="056E4ECA">
      <w:pPr>
        <w:pStyle w:val="4"/>
      </w:pPr>
    </w:p>
    <w:p w14:paraId="3288C9C5"/>
    <w:p w14:paraId="14507043">
      <w:pPr>
        <w:pStyle w:val="8"/>
      </w:pPr>
    </w:p>
    <w:p w14:paraId="465EA8BD">
      <w:pPr>
        <w:pStyle w:val="4"/>
      </w:pPr>
    </w:p>
    <w:p w14:paraId="49E51758"/>
    <w:p w14:paraId="3DC8C6CD">
      <w:pPr>
        <w:pStyle w:val="8"/>
      </w:pPr>
    </w:p>
    <w:p w14:paraId="36E702E5">
      <w:pPr>
        <w:pStyle w:val="4"/>
      </w:pPr>
    </w:p>
    <w:p w14:paraId="0416550A"/>
    <w:p w14:paraId="5267F12B">
      <w:pPr>
        <w:pStyle w:val="8"/>
      </w:pPr>
    </w:p>
    <w:p w14:paraId="28828498">
      <w:pPr>
        <w:pStyle w:val="4"/>
      </w:pPr>
    </w:p>
    <w:p w14:paraId="04E62672"/>
    <w:p w14:paraId="1D6D7A8B">
      <w:pPr>
        <w:pStyle w:val="8"/>
      </w:pPr>
    </w:p>
    <w:p w14:paraId="2B49F2B7">
      <w:pPr>
        <w:pStyle w:val="13"/>
        <w:jc w:val="both"/>
        <w:rPr>
          <w:rFonts w:hint="eastAsia" w:ascii="方正小标宋_GBK" w:hAnsi="方正小标宋_GBK" w:eastAsia="方正小标宋_GBK" w:cs="方正小标宋_GBK"/>
          <w:sz w:val="84"/>
          <w:szCs w:val="84"/>
        </w:rPr>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5C65B646">
      <w:pPr>
        <w:pStyle w:val="13"/>
        <w:jc w:val="center"/>
        <w:rPr>
          <w:rFonts w:hint="eastAsia" w:ascii="仿宋_GB2312" w:hAnsi="仿宋_GB2312" w:eastAsia="仿宋_GB2312" w:cs="仿宋_GB2312"/>
          <w:b w:val="0"/>
          <w:bCs w:val="0"/>
          <w:sz w:val="72"/>
          <w:szCs w:val="72"/>
          <w:lang w:eastAsia="zh-CN"/>
        </w:rPr>
      </w:pPr>
    </w:p>
    <w:p w14:paraId="603C04A7">
      <w:pPr>
        <w:pStyle w:val="13"/>
        <w:jc w:val="both"/>
        <w:rPr>
          <w:rFonts w:hint="eastAsia" w:ascii="方正小标宋_GBK" w:hAnsi="方正小标宋_GBK" w:eastAsia="方正小标宋_GBK" w:cs="方正小标宋_GBK"/>
          <w:sz w:val="72"/>
          <w:szCs w:val="72"/>
        </w:rPr>
      </w:pPr>
    </w:p>
    <w:p w14:paraId="7A44A82E">
      <w:pPr>
        <w:pStyle w:val="13"/>
        <w:jc w:val="center"/>
        <w:rPr>
          <w:rFonts w:hint="eastAsia" w:ascii="方正小标宋_GBK" w:hAnsi="方正小标宋_GBK" w:eastAsia="方正小标宋_GBK" w:cs="方正小标宋_GBK"/>
          <w:sz w:val="72"/>
          <w:szCs w:val="72"/>
        </w:rPr>
      </w:pPr>
    </w:p>
    <w:p w14:paraId="06211665">
      <w:pPr>
        <w:pStyle w:val="13"/>
        <w:jc w:val="both"/>
        <w:rPr>
          <w:rFonts w:hint="eastAsia" w:ascii="方正小标宋_GBK" w:hAnsi="方正小标宋_GBK" w:eastAsia="方正小标宋_GBK" w:cs="方正小标宋_GBK"/>
          <w:sz w:val="72"/>
          <w:szCs w:val="72"/>
        </w:rPr>
      </w:pPr>
    </w:p>
    <w:p w14:paraId="5A6BAF39">
      <w:pPr>
        <w:pStyle w:val="13"/>
        <w:jc w:val="center"/>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3"/>
        <w:jc w:val="center"/>
        <w:rPr>
          <w:rFonts w:hint="eastAsia" w:ascii="方正小标宋_GBK" w:hAnsi="方正小标宋_GBK" w:eastAsia="方正小标宋_GBK" w:cs="方正小标宋_GBK"/>
          <w:sz w:val="70"/>
          <w:szCs w:val="70"/>
        </w:rPr>
      </w:pPr>
    </w:p>
    <w:p w14:paraId="6EEC30AB">
      <w:pPr>
        <w:pStyle w:val="13"/>
        <w:jc w:val="center"/>
        <w:rPr>
          <w:rFonts w:hint="eastAsia" w:ascii="方正小标宋_GBK" w:hAnsi="方正小标宋_GBK" w:eastAsia="方正小标宋_GBK" w:cs="方正小标宋_GBK"/>
          <w:sz w:val="70"/>
          <w:szCs w:val="70"/>
        </w:rPr>
      </w:pPr>
    </w:p>
    <w:p w14:paraId="417367C1">
      <w:pPr>
        <w:pStyle w:val="13"/>
        <w:jc w:val="center"/>
        <w:rPr>
          <w:rFonts w:hint="eastAsia" w:ascii="方正小标宋_GBK" w:hAnsi="方正小标宋_GBK" w:eastAsia="方正小标宋_GBK" w:cs="方正小标宋_GBK"/>
          <w:sz w:val="70"/>
          <w:szCs w:val="70"/>
        </w:rPr>
      </w:pPr>
    </w:p>
    <w:p w14:paraId="5EF1049C">
      <w:pPr>
        <w:pStyle w:val="13"/>
        <w:jc w:val="center"/>
        <w:rPr>
          <w:rFonts w:hint="eastAsia" w:ascii="方正小标宋_GBK" w:hAnsi="方正小标宋_GBK" w:eastAsia="方正小标宋_GBK" w:cs="方正小标宋_GBK"/>
          <w:sz w:val="70"/>
          <w:szCs w:val="70"/>
        </w:rPr>
      </w:pPr>
    </w:p>
    <w:p w14:paraId="2871E38E">
      <w:pPr>
        <w:widowControl/>
        <w:jc w:val="left"/>
        <w:rPr>
          <w:rFonts w:hint="eastAsia" w:ascii="仿宋_GB2312" w:hAnsi="仿宋_GB2312" w:eastAsia="仿宋_GB2312" w:cs="仿宋_GB2312"/>
          <w:sz w:val="32"/>
          <w:szCs w:val="32"/>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7960700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年度收、支总计6535.76万元。与上年相比，增加</w:t>
      </w:r>
      <w:r>
        <w:rPr>
          <w:rFonts w:hint="eastAsia" w:ascii="仿宋_GB2312" w:hAnsi="仿宋_GB2312" w:eastAsia="仿宋_GB2312" w:cs="仿宋_GB2312"/>
          <w:sz w:val="32"/>
          <w:szCs w:val="32"/>
          <w:highlight w:val="none"/>
          <w:lang w:val="en-US" w:eastAsia="zh-CN"/>
        </w:rPr>
        <w:t>185.58</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2.92%</w:t>
      </w:r>
      <w:r>
        <w:rPr>
          <w:rFonts w:hint="eastAsia" w:ascii="仿宋_GB2312" w:hAnsi="仿宋_GB2312" w:eastAsia="仿宋_GB2312" w:cs="仿宋_GB2312"/>
          <w:sz w:val="32"/>
          <w:szCs w:val="32"/>
          <w:highlight w:val="none"/>
        </w:rPr>
        <w:t>，</w:t>
      </w:r>
      <w:r>
        <w:rPr>
          <w:rFonts w:hint="eastAsia" w:ascii="Times New Roman" w:hAnsi="Times New Roman" w:eastAsia="仿宋_GB2312" w:cs="黑体"/>
          <w:color w:val="000000"/>
          <w:kern w:val="0"/>
          <w:sz w:val="32"/>
          <w:szCs w:val="32"/>
          <w:highlight w:val="none"/>
          <w:lang w:val="en-US" w:eastAsia="zh-CN" w:bidi="ar-SA"/>
        </w:rPr>
        <w:t>主</w:t>
      </w:r>
      <w:r>
        <w:rPr>
          <w:rFonts w:hint="eastAsia" w:ascii="Times New Roman" w:hAnsi="Times New Roman" w:eastAsia="仿宋_GB2312" w:cs="黑体"/>
          <w:color w:val="000000"/>
          <w:kern w:val="0"/>
          <w:sz w:val="32"/>
          <w:szCs w:val="32"/>
          <w:lang w:val="en-US" w:eastAsia="zh-CN" w:bidi="ar-SA"/>
        </w:rPr>
        <w:t>要是因为防汛救灾，维护社会治安以及项目</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eastAsia="zh-CN"/>
        </w:rPr>
        <w:t>。</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年度收入合计6535.76万元，其中：财政拨款收入4842.16万元，占</w:t>
      </w:r>
      <w:r>
        <w:rPr>
          <w:rFonts w:hint="eastAsia" w:ascii="仿宋_GB2312" w:hAnsi="仿宋_GB2312" w:eastAsia="仿宋_GB2312" w:cs="仿宋_GB2312"/>
          <w:sz w:val="32"/>
          <w:szCs w:val="32"/>
          <w:lang w:val="en-US" w:eastAsia="zh-CN"/>
        </w:rPr>
        <w:t>74.09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%；其他收入1693.6万元，占</w:t>
      </w:r>
      <w:r>
        <w:rPr>
          <w:rFonts w:hint="eastAsia" w:ascii="仿宋_GB2312" w:hAnsi="仿宋_GB2312" w:eastAsia="仿宋_GB2312" w:cs="仿宋_GB2312"/>
          <w:sz w:val="32"/>
          <w:szCs w:val="32"/>
          <w:lang w:val="en-US" w:eastAsia="zh-CN"/>
        </w:rPr>
        <w:t>25.91</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年度支出合计6535.76万元，其中：基本支出2668.03万元，占</w:t>
      </w:r>
      <w:r>
        <w:rPr>
          <w:rFonts w:hint="eastAsia" w:ascii="仿宋_GB2312" w:hAnsi="仿宋_GB2312" w:eastAsia="仿宋_GB2312" w:cs="仿宋_GB2312"/>
          <w:sz w:val="32"/>
          <w:szCs w:val="32"/>
          <w:lang w:val="en-US" w:eastAsia="zh-CN"/>
        </w:rPr>
        <w:t>40.82</w:t>
      </w:r>
      <w:r>
        <w:rPr>
          <w:rFonts w:hint="eastAsia" w:ascii="仿宋_GB2312" w:hAnsi="仿宋_GB2312" w:eastAsia="仿宋_GB2312" w:cs="仿宋_GB2312"/>
          <w:sz w:val="32"/>
          <w:szCs w:val="32"/>
        </w:rPr>
        <w:t>%；项目支出3867.73万元，占</w:t>
      </w:r>
      <w:r>
        <w:rPr>
          <w:rFonts w:hint="eastAsia" w:ascii="仿宋_GB2312" w:hAnsi="仿宋_GB2312" w:eastAsia="仿宋_GB2312" w:cs="仿宋_GB2312"/>
          <w:sz w:val="32"/>
          <w:szCs w:val="32"/>
          <w:lang w:val="en-US" w:eastAsia="zh-CN"/>
        </w:rPr>
        <w:t>59.18</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F471CFC">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年度财政拨款收、支总计4842.16万元，与上年相比，减少</w:t>
      </w:r>
      <w:r>
        <w:rPr>
          <w:rFonts w:hint="eastAsia" w:ascii="仿宋_GB2312" w:hAnsi="仿宋_GB2312" w:eastAsia="仿宋_GB2312" w:cs="仿宋_GB2312"/>
          <w:sz w:val="32"/>
          <w:szCs w:val="32"/>
          <w:lang w:val="en-US" w:eastAsia="zh-CN"/>
        </w:rPr>
        <w:t>136.58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2.74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基建项目支出减少</w:t>
      </w:r>
      <w:r>
        <w:rPr>
          <w:rFonts w:hint="eastAsia" w:ascii="宋体" w:hAnsi="Times New Roman" w:eastAsia="宋体" w:cs="宋体"/>
          <w:sz w:val="32"/>
          <w:szCs w:val="32"/>
          <w:lang w:eastAsia="zh-CN"/>
        </w:rPr>
        <w:t>。</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default" w:ascii="仿宋_GB2312" w:hAnsi="仿宋_GB2312" w:eastAsia="仿宋_GB2312" w:cs="仿宋_GB2312"/>
          <w:i/>
          <w:iCs/>
          <w:color w:val="FF0000"/>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年度财政拨款支出4842.16万元，占本年支出合计的</w:t>
      </w:r>
      <w:r>
        <w:rPr>
          <w:rFonts w:hint="eastAsia" w:ascii="仿宋_GB2312" w:hAnsi="仿宋_GB2312" w:eastAsia="仿宋_GB2312" w:cs="仿宋_GB2312"/>
          <w:sz w:val="32"/>
          <w:szCs w:val="32"/>
          <w:lang w:val="en-US" w:eastAsia="zh-CN"/>
        </w:rPr>
        <w:t>74.09</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136.58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2.74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基建项目支出减少。</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年度财政拨款支出4842.16万元，主要用于以下方面：公共安全</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支出4424.79</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91.38</w:t>
      </w:r>
      <w:r>
        <w:rPr>
          <w:rFonts w:hint="eastAsia" w:ascii="仿宋_GB2312" w:hAnsi="仿宋_GB2312" w:eastAsia="仿宋_GB2312" w:cs="仿宋_GB2312"/>
          <w:sz w:val="32"/>
          <w:szCs w:val="32"/>
        </w:rPr>
        <w:t>%；社会保障和就业</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支出249.58万元，占</w:t>
      </w:r>
      <w:r>
        <w:rPr>
          <w:rFonts w:hint="eastAsia" w:ascii="仿宋_GB2312" w:hAnsi="仿宋_GB2312" w:eastAsia="仿宋_GB2312" w:cs="仿宋_GB2312"/>
          <w:sz w:val="32"/>
          <w:szCs w:val="32"/>
          <w:lang w:val="en-US" w:eastAsia="zh-CN"/>
        </w:rPr>
        <w:t>5.15</w:t>
      </w:r>
      <w:r>
        <w:rPr>
          <w:rFonts w:hint="eastAsia" w:ascii="仿宋_GB2312" w:hAnsi="仿宋_GB2312" w:eastAsia="仿宋_GB2312" w:cs="仿宋_GB2312"/>
          <w:sz w:val="32"/>
          <w:szCs w:val="32"/>
        </w:rPr>
        <w:t>%;住房保障</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支出167.8</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3.47%。</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3164.95</w:t>
      </w:r>
      <w:r>
        <w:rPr>
          <w:rFonts w:hint="eastAsia" w:ascii="仿宋_GB2312" w:hAnsi="仿宋_GB2312" w:eastAsia="仿宋_GB2312" w:cs="仿宋_GB2312"/>
          <w:sz w:val="32"/>
          <w:szCs w:val="32"/>
        </w:rPr>
        <w:t>万元，支出决算数为4842.16万元，完成年初预算的</w:t>
      </w:r>
      <w:r>
        <w:rPr>
          <w:rFonts w:hint="eastAsia" w:ascii="仿宋_GB2312" w:hAnsi="仿宋_GB2312" w:eastAsia="仿宋_GB2312" w:cs="仿宋_GB2312"/>
          <w:sz w:val="32"/>
          <w:szCs w:val="32"/>
          <w:lang w:val="en-US" w:eastAsia="zh-CN"/>
        </w:rPr>
        <w:t>153</w:t>
      </w:r>
      <w:r>
        <w:rPr>
          <w:rFonts w:hint="eastAsia" w:ascii="仿宋_GB2312" w:hAnsi="仿宋_GB2312" w:eastAsia="仿宋_GB2312" w:cs="仿宋_GB2312"/>
          <w:sz w:val="32"/>
          <w:szCs w:val="32"/>
        </w:rPr>
        <w:t>%，其中：</w:t>
      </w:r>
    </w:p>
    <w:p w14:paraId="237A4D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公共安全支出（类）公安（款）行政运行（项）</w:t>
      </w:r>
      <w:r>
        <w:rPr>
          <w:rFonts w:hint="eastAsia" w:ascii="仿宋_GB2312" w:hAnsi="仿宋_GB2312" w:eastAsia="仿宋_GB2312" w:cs="仿宋_GB2312"/>
          <w:sz w:val="32"/>
          <w:szCs w:val="32"/>
        </w:rPr>
        <w:t>。</w:t>
      </w:r>
    </w:p>
    <w:p w14:paraId="7523608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2250.81</w:t>
      </w:r>
      <w:r>
        <w:rPr>
          <w:rFonts w:hint="eastAsia" w:ascii="仿宋_GB2312" w:hAnsi="仿宋_GB2312" w:eastAsia="仿宋_GB2312" w:cs="仿宋_GB2312"/>
          <w:sz w:val="32"/>
          <w:szCs w:val="32"/>
        </w:rPr>
        <w:t>万元，支出决算为2342.39万元，完成年初预算的</w:t>
      </w:r>
      <w:r>
        <w:rPr>
          <w:rFonts w:hint="eastAsia" w:ascii="仿宋_GB2312" w:hAnsi="仿宋_GB2312" w:eastAsia="仿宋_GB2312" w:cs="仿宋_GB2312"/>
          <w:sz w:val="32"/>
          <w:szCs w:val="32"/>
          <w:lang w:val="en-US" w:eastAsia="zh-CN"/>
        </w:rPr>
        <w:t>104.07</w:t>
      </w:r>
      <w:r>
        <w:rPr>
          <w:rFonts w:hint="eastAsia" w:ascii="仿宋_GB2312" w:hAnsi="仿宋_GB2312" w:eastAsia="仿宋_GB2312" w:cs="仿宋_GB2312"/>
          <w:sz w:val="32"/>
          <w:szCs w:val="32"/>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决算数大于年初预算数的主要原因是：人员工资调标、医保铺底等。</w:t>
      </w:r>
    </w:p>
    <w:p w14:paraId="3443D2A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公共安全支出（类）公安（款）一般行政管理事务（项）</w:t>
      </w:r>
      <w:r>
        <w:rPr>
          <w:rFonts w:hint="eastAsia" w:ascii="仿宋_GB2312" w:hAnsi="仿宋_GB2312" w:eastAsia="仿宋_GB2312" w:cs="仿宋_GB2312"/>
          <w:sz w:val="32"/>
          <w:szCs w:val="32"/>
        </w:rPr>
        <w:t>。</w:t>
      </w:r>
    </w:p>
    <w:p w14:paraId="5640ED8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518.11</w:t>
      </w:r>
      <w:r>
        <w:rPr>
          <w:rFonts w:hint="eastAsia" w:ascii="仿宋_GB2312" w:hAnsi="仿宋_GB2312" w:eastAsia="仿宋_GB2312" w:cs="仿宋_GB2312"/>
          <w:sz w:val="32"/>
          <w:szCs w:val="32"/>
        </w:rPr>
        <w:t>万元，支出决算为1127.15万元，完成年初预算的</w:t>
      </w:r>
      <w:r>
        <w:rPr>
          <w:rFonts w:hint="eastAsia" w:ascii="仿宋_GB2312" w:hAnsi="仿宋_GB2312" w:eastAsia="仿宋_GB2312" w:cs="仿宋_GB2312"/>
          <w:sz w:val="32"/>
          <w:szCs w:val="32"/>
          <w:lang w:val="en-US" w:eastAsia="zh-CN"/>
        </w:rPr>
        <w:t>217.55</w:t>
      </w:r>
      <w:r>
        <w:rPr>
          <w:rFonts w:hint="eastAsia" w:ascii="仿宋_GB2312" w:hAnsi="仿宋_GB2312" w:eastAsia="仿宋_GB2312" w:cs="仿宋_GB2312"/>
          <w:sz w:val="32"/>
          <w:szCs w:val="32"/>
        </w:rPr>
        <w:t>%，</w:t>
      </w:r>
      <w:r>
        <w:rPr>
          <w:rFonts w:hint="eastAsia" w:ascii="Times New Roman" w:hAnsi="Times New Roman" w:eastAsia="仿宋_GB2312"/>
          <w:color w:val="000000" w:themeColor="text1"/>
          <w:sz w:val="32"/>
          <w:szCs w:val="32"/>
          <w:lang w:val="en-US" w:eastAsia="zh-CN"/>
          <w14:textFill>
            <w14:solidFill>
              <w14:schemeClr w14:val="tx1"/>
            </w14:solidFill>
          </w14:textFill>
        </w:rPr>
        <w:t>决算数大于年初预算数的主要原因是：财政追加在职民警和退休人员年终先进单位奖金、基础绩效奖，转移支付公安装备的投入等。</w:t>
      </w:r>
    </w:p>
    <w:p w14:paraId="54EF31D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公安安全</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公安</w:t>
      </w:r>
      <w:r>
        <w:rPr>
          <w:rFonts w:hint="eastAsia" w:ascii="仿宋_GB2312" w:hAnsi="仿宋_GB2312" w:eastAsia="仿宋_GB2312" w:cs="仿宋_GB2312"/>
          <w:sz w:val="32"/>
          <w:szCs w:val="32"/>
        </w:rPr>
        <w:t>（款）执法办案</w:t>
      </w:r>
      <w:r>
        <w:rPr>
          <w:rFonts w:hint="eastAsia" w:ascii="仿宋_GB2312" w:hAnsi="仿宋_GB2312" w:eastAsia="仿宋_GB2312" w:cs="仿宋_GB2312"/>
          <w:sz w:val="32"/>
          <w:szCs w:val="32"/>
          <w:lang w:eastAsia="zh-CN"/>
        </w:rPr>
        <w:t>（项）。</w:t>
      </w:r>
    </w:p>
    <w:p w14:paraId="3F2A49E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支出决算为11.48元，年初预算为0万元，决算数大于年初预算数的主要原因是：办案执法费用增加。</w:t>
      </w:r>
    </w:p>
    <w:p w14:paraId="5889A20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4、公安安全（类）公安（款）其他公安支出（项）</w:t>
      </w:r>
    </w:p>
    <w:p w14:paraId="0F68968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支出决算为943.77元，年初预算为0万元，决算数大于年初预算数的主要原因是：非税收入超收返回的办案经费及财政追加公安工作经费和基建项目支出。</w:t>
      </w:r>
    </w:p>
    <w:p w14:paraId="0EF718B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5、社会保障和就业支出（类）行政事业单位养老支出（款）机关事业单位基本养老保险缴费支出（项）</w:t>
      </w:r>
    </w:p>
    <w:p w14:paraId="522AC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年初预算为228.23万元，支出决算为228.23元，完成年初预算的100%，决算数等于年初预算数的主要原因是：支出按年初预算精准落实。</w:t>
      </w:r>
    </w:p>
    <w:p w14:paraId="0A56143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6、社会保障和就业支出（类）抚恤（款）其他优抚支出（项）</w:t>
      </w:r>
    </w:p>
    <w:p w14:paraId="12366EF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支出决算为4.97万元，年初预算安排0万元，决算数大于年初预算数的主要原因是：抚恤金支出。</w:t>
      </w:r>
    </w:p>
    <w:p w14:paraId="686A585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7、住房保障支出（类）住房保障支出（款）住房公积金（项）</w:t>
      </w:r>
    </w:p>
    <w:p w14:paraId="602562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olor w:val="000000" w:themeColor="text1"/>
          <w:sz w:val="32"/>
          <w:szCs w:val="32"/>
          <w:lang w:val="en-US" w:eastAsia="zh-CN"/>
          <w14:textFill>
            <w14:solidFill>
              <w14:schemeClr w14:val="tx1"/>
            </w14:solidFill>
          </w14:textFill>
        </w:rPr>
        <w:t>年初预算为167.8万元，支出决算为167.8元，完成年初预算的100%，决算数等于年初预算数的主要原因是：支出按年初预算精准落实。</w:t>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2668.03</w:t>
      </w:r>
      <w:r>
        <w:rPr>
          <w:rFonts w:hint="eastAsia" w:ascii="仿宋_GB2312" w:hAnsi="仿宋_GB2312" w:eastAsia="仿宋_GB2312" w:cs="仿宋_GB2312"/>
          <w:sz w:val="32"/>
          <w:szCs w:val="32"/>
        </w:rPr>
        <w:t>万元，其中：</w:t>
      </w:r>
    </w:p>
    <w:p w14:paraId="38E73D3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2233.46万元，占基本支出的</w:t>
      </w:r>
      <w:r>
        <w:rPr>
          <w:rFonts w:hint="eastAsia" w:ascii="仿宋_GB2312" w:hAnsi="仿宋_GB2312" w:eastAsia="仿宋_GB2312" w:cs="仿宋_GB2312"/>
          <w:sz w:val="32"/>
          <w:szCs w:val="32"/>
          <w:lang w:val="en-US" w:eastAsia="zh-CN"/>
        </w:rPr>
        <w:t>83.71</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、职工基本医疗保险缴费、其他社会保障缴费、住房公积金、对个人和家庭的补助、生活补助、医疗费补助、其他对个人和家庭的补助。</w:t>
      </w:r>
    </w:p>
    <w:p w14:paraId="4A7CE8E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434.57万元，占基本支出的</w:t>
      </w:r>
      <w:r>
        <w:rPr>
          <w:rFonts w:hint="eastAsia" w:ascii="仿宋_GB2312" w:hAnsi="仿宋_GB2312" w:eastAsia="仿宋_GB2312" w:cs="仿宋_GB2312"/>
          <w:sz w:val="32"/>
          <w:szCs w:val="32"/>
          <w:lang w:val="en-US" w:eastAsia="zh-CN"/>
        </w:rPr>
        <w:t>16.29</w:t>
      </w:r>
      <w:r>
        <w:rPr>
          <w:rFonts w:hint="eastAsia" w:ascii="仿宋_GB2312" w:hAnsi="仿宋_GB2312" w:eastAsia="仿宋_GB2312" w:cs="仿宋_GB2312"/>
          <w:sz w:val="32"/>
          <w:szCs w:val="32"/>
        </w:rPr>
        <w:t>%，主要包括办公费、印刷费、咨询费、水费</w:t>
      </w:r>
      <w:r>
        <w:rPr>
          <w:rFonts w:hint="eastAsia" w:ascii="仿宋_GB2312" w:hAnsi="仿宋_GB2312" w:eastAsia="仿宋_GB2312" w:cs="仿宋_GB2312"/>
          <w:sz w:val="32"/>
          <w:szCs w:val="32"/>
          <w:lang w:eastAsia="zh-CN"/>
        </w:rPr>
        <w:t>、电费、邮电费、物业管理费、差旅费、维修（护）费、租赁费、培训费、被装购置费、劳务费、工会经费、福利费、公务用车运行维护费、其他交通费用、其他商品和服务支出</w:t>
      </w:r>
      <w:r>
        <w:rPr>
          <w:rFonts w:hint="eastAsia" w:ascii="仿宋_GB2312" w:hAnsi="仿宋_GB2312" w:eastAsia="仿宋_GB2312" w:cs="仿宋_GB2312"/>
          <w:sz w:val="32"/>
          <w:szCs w:val="32"/>
        </w:rPr>
        <w:t>。</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widowControl w:val="0"/>
        <w:autoSpaceDE w:val="0"/>
        <w:autoSpaceDN w:val="0"/>
        <w:adjustRightInd w:val="0"/>
        <w:ind w:firstLine="640" w:firstLineChars="200"/>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 xml:space="preserve"> 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67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55.15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w:t>
      </w:r>
      <w:r>
        <w:rPr>
          <w:rFonts w:hint="eastAsia" w:ascii="Times New Roman" w:hAnsi="Times New Roman" w:eastAsia="仿宋_GB2312"/>
          <w:sz w:val="32"/>
          <w:szCs w:val="32"/>
          <w:lang w:eastAsia="zh-CN"/>
        </w:rPr>
        <w:t>算数</w:t>
      </w:r>
      <w:r>
        <w:rPr>
          <w:rFonts w:ascii="Times New Roman" w:hAnsi="Times New Roman" w:eastAsia="仿宋_GB2312" w:cs="Times New Roman"/>
          <w:sz w:val="32"/>
          <w:szCs w:val="32"/>
        </w:rPr>
        <w:t>小于</w:t>
      </w:r>
      <w:r>
        <w:rPr>
          <w:rFonts w:hint="eastAsia" w:ascii="Times New Roman" w:hAnsi="Times New Roman" w:eastAsia="仿宋_GB2312"/>
          <w:sz w:val="32"/>
          <w:szCs w:val="32"/>
          <w:lang w:eastAsia="zh-CN"/>
        </w:rPr>
        <w:t>预算数，</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按有关政策厉行节约，严控“三公经费”支出</w:t>
      </w:r>
      <w:r>
        <w:rPr>
          <w:rFonts w:ascii="Times New Roman" w:hAnsi="Times New Roman" w:eastAsia="仿宋_GB2312" w:cs="Times New Roman"/>
          <w:sz w:val="32"/>
          <w:szCs w:val="32"/>
        </w:rPr>
        <w:t>；与上年相比与上年相比减少</w:t>
      </w:r>
      <w:r>
        <w:rPr>
          <w:rFonts w:hint="eastAsia" w:ascii="Times New Roman" w:hAnsi="Times New Roman" w:eastAsia="仿宋_GB2312" w:cs="Times New Roman"/>
          <w:sz w:val="32"/>
          <w:szCs w:val="32"/>
          <w:lang w:val="en-US" w:eastAsia="zh-CN"/>
        </w:rPr>
        <w:t>116.26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67.83</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按有关政策厉行节约，严控“三公经费”支出</w:t>
      </w:r>
      <w:r>
        <w:rPr>
          <w:rFonts w:ascii="Times New Roman" w:hAnsi="Times New Roman" w:eastAsia="仿宋_GB2312" w:cs="Times New Roman"/>
          <w:sz w:val="32"/>
          <w:szCs w:val="32"/>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5480AB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决算数等于预算数，主要原因是我单位严格按预算执行决算；与上年一致，无增减变动，主要原因是未安排因公出国（境）活动。</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66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55.15</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决算数</w:t>
      </w:r>
      <w:r>
        <w:rPr>
          <w:rFonts w:ascii="Times New Roman" w:hAnsi="Times New Roman" w:eastAsia="仿宋_GB2312" w:cs="Times New Roman"/>
          <w:sz w:val="32"/>
          <w:szCs w:val="32"/>
        </w:rPr>
        <w:t>小于</w:t>
      </w:r>
      <w:r>
        <w:rPr>
          <w:rFonts w:hint="eastAsia" w:ascii="Times New Roman" w:hAnsi="Times New Roman" w:eastAsia="仿宋_GB2312"/>
          <w:sz w:val="32"/>
          <w:szCs w:val="32"/>
          <w:lang w:eastAsia="zh-CN"/>
        </w:rPr>
        <w:t>预算数</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116.26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67.83</w:t>
      </w:r>
      <w:r>
        <w:rPr>
          <w:rFonts w:ascii="Times New Roman" w:hAnsi="Times New Roman" w:eastAsia="仿宋_GB2312" w:cs="Times New Roman"/>
          <w:sz w:val="32"/>
          <w:szCs w:val="32"/>
        </w:rPr>
        <w:t>%。其中：</w:t>
      </w:r>
    </w:p>
    <w:p w14:paraId="26F4667C">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决算数等于预算数</w:t>
      </w:r>
      <w:r>
        <w:rPr>
          <w:rFonts w:ascii="Times New Roman" w:hAnsi="Times New Roman" w:eastAsia="仿宋_GB2312" w:cs="Times New Roman"/>
          <w:sz w:val="32"/>
          <w:szCs w:val="32"/>
        </w:rPr>
        <w:t>；与上年相比减少</w:t>
      </w:r>
      <w:r>
        <w:rPr>
          <w:rFonts w:hint="eastAsia" w:ascii="仿宋_GB2312" w:hAnsi="仿宋_GB2312" w:eastAsia="仿宋_GB2312" w:cs="仿宋_GB2312"/>
          <w:sz w:val="32"/>
          <w:szCs w:val="32"/>
        </w:rPr>
        <w:t>104.26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75A272CE">
      <w:pPr>
        <w:pStyle w:val="13"/>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66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55.15</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公务用车的维修（保养）、保险购置、加油等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83.56</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17.87</w:t>
      </w:r>
      <w:r>
        <w:rPr>
          <w:rFonts w:ascii="Times New Roman" w:hAnsi="Times New Roman" w:eastAsia="仿宋_GB2312" w:cs="Times New Roman"/>
          <w:sz w:val="32"/>
          <w:szCs w:val="32"/>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小于</w:t>
      </w:r>
      <w:r>
        <w:rPr>
          <w:rFonts w:hint="eastAsia" w:ascii="Times New Roman" w:hAnsi="Times New Roman" w:eastAsia="仿宋_GB2312"/>
          <w:sz w:val="32"/>
          <w:szCs w:val="32"/>
        </w:rPr>
        <w:t>预算数</w:t>
      </w:r>
      <w:r>
        <w:rPr>
          <w:rFonts w:hint="eastAsia" w:ascii="Times New Roman" w:hAnsi="Times New Roman" w:eastAsia="仿宋_GB2312"/>
          <w:sz w:val="32"/>
          <w:szCs w:val="32"/>
          <w:lang w:eastAsia="zh-CN"/>
        </w:rPr>
        <w:t>，主要原因是：</w:t>
      </w:r>
      <w:r>
        <w:rPr>
          <w:rFonts w:hint="eastAsia" w:ascii="Times New Roman" w:hAnsi="Times New Roman" w:eastAsia="仿宋_GB2312"/>
          <w:sz w:val="32"/>
          <w:szCs w:val="32"/>
        </w:rPr>
        <w:t>加强公车管理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严控费用</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sz w:val="32"/>
          <w:szCs w:val="32"/>
        </w:rPr>
        <w:t>加强公车管理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严控费用</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22</w:t>
      </w:r>
      <w:r>
        <w:rPr>
          <w:rFonts w:ascii="Times New Roman" w:hAnsi="Times New Roman" w:eastAsia="仿宋_GB2312" w:cs="Times New Roman"/>
          <w:sz w:val="32"/>
          <w:szCs w:val="32"/>
        </w:rPr>
        <w:t>辆。</w:t>
      </w:r>
    </w:p>
    <w:p w14:paraId="039328FA">
      <w:pPr>
        <w:pStyle w:val="13"/>
        <w:overflowPunct w:val="0"/>
        <w:autoSpaceDE/>
        <w:autoSpaceDN/>
        <w:spacing w:line="600" w:lineRule="exact"/>
        <w:ind w:firstLine="640" w:firstLineChars="200"/>
        <w:jc w:val="both"/>
        <w:rPr>
          <w:rFonts w:hint="eastAsia" w:ascii="Times New Roman" w:hAnsi="Times New Roman" w:eastAsia="仿宋_GB2312"/>
          <w:b/>
          <w:color w:val="auto"/>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决算数小于预算数，主要原因是严格执行中央八项规定；与上年一致，无增减变动，主要原因是按有关政策厉行节约，严控公务接待支出。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3"/>
        <w:ind w:firstLine="640" w:firstLineChars="200"/>
        <w:rPr>
          <w:rFonts w:hint="eastAsia" w:ascii="Times New Roman" w:hAnsi="Times New Roman" w:eastAsia="仿宋_GB2312"/>
          <w:sz w:val="32"/>
          <w:szCs w:val="32"/>
          <w:highlight w:val="none"/>
          <w:lang w:eastAsia="zh-CN"/>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年度机关运行经费支出434.57万元，比</w:t>
      </w:r>
      <w:r>
        <w:rPr>
          <w:rFonts w:hint="eastAsia" w:ascii="Times New Roman" w:hAnsi="Times New Roman" w:eastAsia="仿宋_GB2312"/>
          <w:sz w:val="32"/>
          <w:szCs w:val="32"/>
          <w:highlight w:val="none"/>
        </w:rPr>
        <w:t>年初预算数</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lang w:val="en-US" w:eastAsia="zh-CN"/>
        </w:rPr>
        <w:t>28.68</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6.6</w:t>
      </w:r>
      <w:r>
        <w:rPr>
          <w:rFonts w:hint="eastAsia" w:ascii="仿宋_GB2312" w:hAnsi="仿宋_GB2312" w:eastAsia="仿宋_GB2312" w:cs="仿宋_GB2312"/>
          <w:sz w:val="32"/>
          <w:szCs w:val="32"/>
          <w:highlight w:val="none"/>
        </w:rPr>
        <w:t>%。主要原因是：</w:t>
      </w:r>
      <w:r>
        <w:rPr>
          <w:rFonts w:hint="eastAsia" w:ascii="Times New Roman" w:hAnsi="Times New Roman" w:eastAsia="仿宋_GB2312" w:cs="黑体"/>
          <w:color w:val="000000"/>
          <w:kern w:val="0"/>
          <w:sz w:val="32"/>
          <w:szCs w:val="32"/>
          <w:highlight w:val="none"/>
          <w:lang w:val="en-US" w:eastAsia="zh-CN" w:bidi="ar-SA"/>
        </w:rPr>
        <w:t>因为防汛救灾，维护社会治安</w:t>
      </w:r>
      <w:r>
        <w:rPr>
          <w:rFonts w:hint="eastAsia" w:ascii="仿宋_GB2312" w:hAnsi="仿宋_GB2312" w:eastAsia="仿宋_GB2312" w:cs="仿宋_GB2312"/>
          <w:sz w:val="32"/>
          <w:szCs w:val="32"/>
          <w:highlight w:val="none"/>
          <w:lang w:eastAsia="zh-CN"/>
        </w:rPr>
        <w:t>，导致相关业务费用增加。</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年度，会议费年初预算0.5万元，支出决算为0万元，</w:t>
      </w:r>
      <w:r>
        <w:rPr>
          <w:rFonts w:hint="eastAsia" w:ascii="Times New Roman" w:hAnsi="Times New Roman" w:eastAsia="仿宋_GB2312"/>
          <w:sz w:val="32"/>
          <w:szCs w:val="32"/>
          <w:lang w:eastAsia="zh-CN"/>
        </w:rPr>
        <w:t>决算数小于预算数</w:t>
      </w:r>
      <w:r>
        <w:rPr>
          <w:rFonts w:hint="eastAsia" w:ascii="仿宋_GB2312" w:hAnsi="仿宋_GB2312" w:eastAsia="仿宋_GB2312" w:cs="仿宋_GB2312"/>
          <w:sz w:val="32"/>
          <w:szCs w:val="32"/>
          <w:lang w:val="en-US" w:eastAsia="zh-CN"/>
        </w:rPr>
        <w:t>。主要原因是本单位无会议费的支出决算数</w:t>
      </w:r>
      <w:r>
        <w:rPr>
          <w:rFonts w:hint="eastAsia" w:ascii="仿宋_GB2312" w:hAnsi="仿宋_GB2312" w:eastAsia="仿宋_GB2312" w:cs="仿宋_GB2312"/>
          <w:sz w:val="32"/>
          <w:szCs w:val="32"/>
          <w:lang w:eastAsia="zh-CN"/>
        </w:rPr>
        <w:t>。</w:t>
      </w:r>
      <w:bookmarkStart w:id="0" w:name="_GoBack"/>
      <w:bookmarkEnd w:id="0"/>
    </w:p>
    <w:p w14:paraId="0FCFEB74">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培训费年初预算10万元，支出决算为10万元，完成年初预算的100%。用于开展</w:t>
      </w:r>
      <w:r>
        <w:rPr>
          <w:rFonts w:hint="eastAsia" w:ascii="Times New Roman" w:hAnsi="Times New Roman" w:eastAsia="仿宋_GB2312"/>
          <w:sz w:val="32"/>
          <w:szCs w:val="32"/>
          <w:lang w:val="en-US" w:eastAsia="zh-CN"/>
        </w:rPr>
        <w:t>开展新警培训、人民警察晋衔培训、警察专业技术培训，人数68人，内容为警察职业技能、心理危机干预、舆论引导等</w:t>
      </w:r>
      <w:r>
        <w:rPr>
          <w:rFonts w:hint="eastAsia" w:ascii="仿宋_GB2312" w:hAnsi="仿宋_GB2312" w:eastAsia="仿宋_GB2312" w:cs="仿宋_GB2312"/>
          <w:color w:val="000000"/>
          <w:kern w:val="0"/>
          <w:sz w:val="32"/>
          <w:szCs w:val="32"/>
          <w:lang w:val="en-US" w:eastAsia="zh-CN" w:bidi="ar-SA"/>
        </w:rPr>
        <w:t>。</w:t>
      </w:r>
    </w:p>
    <w:p w14:paraId="39C2EAB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val="en-US" w:eastAsia="zh-CN"/>
        </w:rPr>
        <w:t>年初预算0万元，支出决算为0万元，主要原因是</w:t>
      </w: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年度政府采购支出总额2152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27万元，其中：政府采购货物支出393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52万元、政府采购工程支出923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万元、政府采购服务支出834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92万元。授予中小企业合同金额1717</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79.78</w:t>
      </w:r>
      <w:r>
        <w:rPr>
          <w:rFonts w:hint="eastAsia" w:ascii="仿宋_GB2312" w:hAnsi="仿宋_GB2312" w:eastAsia="仿宋_GB2312" w:cs="仿宋_GB2312"/>
          <w:sz w:val="32"/>
          <w:szCs w:val="32"/>
          <w:highlight w:val="none"/>
        </w:rPr>
        <w:t>%，其中：授予小微企业合同金额1717</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47.88</w:t>
      </w:r>
      <w:r>
        <w:rPr>
          <w:rFonts w:hint="eastAsia" w:ascii="仿宋_GB2312" w:hAnsi="仿宋_GB2312" w:eastAsia="仿宋_GB2312" w:cs="仿宋_GB2312"/>
          <w:color w:val="auto"/>
          <w:sz w:val="32"/>
          <w:szCs w:val="32"/>
          <w:highlight w:val="none"/>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4527CC5">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324.41</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324.41</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14.92</w:t>
      </w:r>
      <w:r>
        <w:rPr>
          <w:rFonts w:ascii="Times New Roman" w:hAnsi="Times New Roman" w:eastAsia="仿宋_GB2312" w:cs="Times New Roman"/>
          <w:kern w:val="0"/>
          <w:sz w:val="32"/>
          <w:szCs w:val="32"/>
        </w:rPr>
        <w:t>%；</w:t>
      </w:r>
      <w:r>
        <w:rPr>
          <w:rFonts w:hint="eastAsia" w:ascii="仿宋_GB2312" w:hAnsi="仿宋_GB2312" w:eastAsia="仿宋_GB2312" w:cs="仿宋_GB2312"/>
          <w:b w:val="0"/>
          <w:bCs w:val="0"/>
          <w:color w:val="000000"/>
          <w:kern w:val="0"/>
          <w:sz w:val="32"/>
          <w:szCs w:val="32"/>
          <w:highlight w:val="none"/>
          <w:lang w:val="en-US" w:eastAsia="zh-CN" w:bidi="ar-SA"/>
        </w:rPr>
        <w:t>组织对政府性基金预算项目支出开展绩效自评，项目0个，共涉及资金0万元，由于政府性基金预算项目支出总额为0，故无法计算占政府性基金预算项目支出总额的比重。</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组织对国有资本经营预算项目支出开展绩效自评，项目0个，共涉及资金0万元，由于国有资本经营预算项目支出总额为0，故无法计算占国有资本经营预算项目支出总额的比重。</w:t>
      </w:r>
    </w:p>
    <w:p w14:paraId="6A3373B5">
      <w:pPr>
        <w:numPr>
          <w:ilvl w:val="0"/>
          <w:numId w:val="0"/>
        </w:numPr>
        <w:overflowPunct w:val="0"/>
        <w:spacing w:line="600" w:lineRule="exact"/>
        <w:ind w:firstLine="640" w:firstLineChars="200"/>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本单位为二级预算单位，部门评价开展情况可详见上级部门决算公开说明。</w:t>
      </w:r>
    </w:p>
    <w:p w14:paraId="79CCBF3C">
      <w:pPr>
        <w:numPr>
          <w:ilvl w:val="0"/>
          <w:numId w:val="0"/>
        </w:numPr>
        <w:overflowPunct w:val="0"/>
        <w:spacing w:line="600" w:lineRule="exact"/>
        <w:ind w:firstLine="640" w:firstLineChars="200"/>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w:t>
      </w:r>
    </w:p>
    <w:p w14:paraId="6FC8205B">
      <w:pPr>
        <w:overflowPunct w:val="0"/>
        <w:spacing w:line="600" w:lineRule="exact"/>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0A3A92B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kern w:val="0"/>
          <w:sz w:val="32"/>
          <w:szCs w:val="32"/>
          <w:lang w:val="en-US" w:eastAsia="zh-CN"/>
        </w:rPr>
        <w:t>8299.21</w:t>
      </w:r>
      <w:r>
        <w:rPr>
          <w:rFonts w:ascii="Times New Roman" w:hAnsi="Times New Roman" w:eastAsia="仿宋_GB2312" w:cs="Times New Roman"/>
          <w:kern w:val="0"/>
          <w:sz w:val="32"/>
          <w:szCs w:val="32"/>
        </w:rPr>
        <w:t>万元，执行数</w:t>
      </w:r>
      <w:r>
        <w:rPr>
          <w:rFonts w:hint="eastAsia" w:ascii="Times New Roman" w:hAnsi="Times New Roman" w:eastAsia="仿宋_GB2312" w:cs="Times New Roman"/>
          <w:kern w:val="0"/>
          <w:sz w:val="32"/>
          <w:szCs w:val="32"/>
          <w:lang w:val="en-US" w:eastAsia="zh-CN"/>
        </w:rPr>
        <w:t>6535.76</w:t>
      </w:r>
      <w:r>
        <w:rPr>
          <w:rFonts w:ascii="Times New Roman" w:hAnsi="Times New Roman" w:eastAsia="仿宋_GB2312" w:cs="Times New Roman"/>
          <w:kern w:val="0"/>
          <w:sz w:val="32"/>
          <w:szCs w:val="32"/>
        </w:rPr>
        <w:t>万元，完成预算的</w:t>
      </w:r>
      <w:r>
        <w:rPr>
          <w:rFonts w:hint="eastAsia" w:ascii="Times New Roman" w:hAnsi="Times New Roman" w:eastAsia="仿宋_GB2312" w:cs="Times New Roman"/>
          <w:kern w:val="0"/>
          <w:sz w:val="32"/>
          <w:szCs w:val="32"/>
          <w:lang w:val="en-US" w:eastAsia="zh-CN"/>
        </w:rPr>
        <w:t>78.75%，</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78.8</w:t>
      </w:r>
      <w:r>
        <w:rPr>
          <w:rFonts w:ascii="Times New Roman" w:hAnsi="Times New Roman" w:eastAsia="仿宋_GB2312" w:cs="Times New Roman"/>
          <w:kern w:val="0"/>
          <w:sz w:val="32"/>
          <w:szCs w:val="32"/>
        </w:rPr>
        <w:t>分，评价等级为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良</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b w:val="0"/>
          <w:bCs w:val="0"/>
          <w:color w:val="000000"/>
          <w:kern w:val="0"/>
          <w:sz w:val="32"/>
          <w:szCs w:val="32"/>
          <w:highlight w:val="none"/>
          <w:lang w:val="en-US" w:eastAsia="zh-CN" w:bidi="ar-SA"/>
        </w:rPr>
        <w:t>一是维护君山区良好的社会环境，确保2024年破案率持续增长；二是开展了一系列打击违法犯罪、禁毒等专项行动，有效地打击了各类违法犯罪活动，维护了全区治安大局稳定；三是</w:t>
      </w:r>
      <w:r>
        <w:rPr>
          <w:rFonts w:hint="default" w:ascii="仿宋_GB2312" w:hAnsi="仿宋_GB2312" w:eastAsia="仿宋_GB2312" w:cs="仿宋_GB2312"/>
          <w:b w:val="0"/>
          <w:bCs w:val="0"/>
          <w:color w:val="000000"/>
          <w:kern w:val="0"/>
          <w:sz w:val="32"/>
          <w:szCs w:val="32"/>
          <w:highlight w:val="none"/>
          <w:lang w:val="en-US" w:eastAsia="zh-CN" w:bidi="ar-SA"/>
        </w:rPr>
        <w:t>配备了先进、实用的警用装备，基本实现了装备配备的标准化与现代化，有效提升了民警的执法执勤能力与安全防护水平</w:t>
      </w:r>
      <w:r>
        <w:rPr>
          <w:rFonts w:hint="eastAsia" w:ascii="仿宋_GB2312" w:hAnsi="仿宋_GB2312" w:eastAsia="仿宋_GB2312" w:cs="仿宋_GB2312"/>
          <w:b w:val="0"/>
          <w:bCs w:val="0"/>
          <w:color w:val="000000"/>
          <w:kern w:val="0"/>
          <w:sz w:val="32"/>
          <w:szCs w:val="32"/>
          <w:highlight w:val="none"/>
          <w:lang w:val="en-US" w:eastAsia="zh-CN" w:bidi="ar-SA"/>
        </w:rPr>
        <w:t>；四是</w:t>
      </w:r>
      <w:r>
        <w:rPr>
          <w:rFonts w:hint="default" w:ascii="仿宋_GB2312" w:hAnsi="仿宋_GB2312" w:eastAsia="仿宋_GB2312" w:cs="仿宋_GB2312"/>
          <w:b w:val="0"/>
          <w:bCs w:val="0"/>
          <w:color w:val="000000"/>
          <w:kern w:val="0"/>
          <w:sz w:val="32"/>
          <w:szCs w:val="32"/>
          <w:highlight w:val="none"/>
          <w:lang w:val="en-US" w:eastAsia="zh-CN" w:bidi="ar-SA"/>
        </w:rPr>
        <w:t>应急预案完善化。结合分局工作实际，明确了应急指挥体系、处置流程与保障措施，确保在突发事件发生时能够迅速响应、高效处置。</w:t>
      </w:r>
      <w:r>
        <w:rPr>
          <w:rFonts w:hint="eastAsia" w:ascii="仿宋_GB2312" w:hAnsi="仿宋_GB2312" w:eastAsia="仿宋_GB2312" w:cs="仿宋_GB2312"/>
          <w:b w:val="0"/>
          <w:bCs w:val="0"/>
          <w:color w:val="000000"/>
          <w:kern w:val="0"/>
          <w:sz w:val="32"/>
          <w:szCs w:val="32"/>
          <w:highlight w:val="none"/>
          <w:lang w:val="en-US" w:eastAsia="zh-CN" w:bidi="ar-SA"/>
        </w:rPr>
        <w:t>发现的主要问题及原因：（一）保障需求与资源有限性矛盾突出。现有保障资源相对有限，难以充分满足一线实战需求，一定程度上制约了公安工作的高效开展。</w:t>
      </w:r>
    </w:p>
    <w:p w14:paraId="0376F3B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（二）保障信息化水平有待提高。警务保障工作的信息化建设仍显滞后，物资管理、装备调配、经费使用等环节的信息化应用程度不高，信息共享不畅，导致工作效率低下、管理成本增加。</w:t>
      </w:r>
    </w:p>
    <w:p w14:paraId="16601BB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（三）后勤队伍专业化素质参差不齐。警务保障工作涉及财务、装备、基建、后勤等多个领域，要求工作人员具备较高的专业素质与综合能力。</w:t>
      </w:r>
    </w:p>
    <w:p w14:paraId="5B5612E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（四）社会化保障机制尚不完善。在与社会企业合作过程中，存在合同管理不规范、服务质量监督不到位、风险防控机制不完善等问题。</w:t>
      </w:r>
    </w:p>
    <w:p w14:paraId="0125FE7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下一步改进措施：（一）优化资源配置，提升保障效能。加强需求调研与分析。深入基层一线，广泛开展警务保障需求调研活动，全面了解各部门在不同业务场景下的物资、装备、经费等需求情况，建立需求数据库，为科学合理配置保障资源提供依据。完善资源统筹调配机制。进一步整合内部保障资源，打破部门之间的壁垒，建立健全资源共享、统筹调配机制。</w:t>
      </w:r>
    </w:p>
    <w:p w14:paraId="465AA5B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（二）推进信息化管理，创新保障模式。加大对警务保障信息化管理的投入力度，争取将物资管理、装备调配、经费使用、应急保障等功能实现信息化。创新信息化保障服务模式。依托各类信息化平台，积极探索 “互联网 + 警务保障” 服务模式，拓展保障服务的广度与深度。</w:t>
      </w:r>
    </w:p>
    <w:p w14:paraId="120B24DC">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（三）加强队伍建设，提高专业素质。强化业务培训与学习交流，优化队伍结构与人才引进。</w:t>
      </w:r>
    </w:p>
    <w:p w14:paraId="44013E9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bidi="ar-SA"/>
        </w:rPr>
      </w:pPr>
      <w:r>
        <w:rPr>
          <w:rFonts w:hint="eastAsia" w:ascii="仿宋_GB2312" w:hAnsi="仿宋_GB2312" w:eastAsia="仿宋_GB2312" w:cs="仿宋_GB2312"/>
          <w:b w:val="0"/>
          <w:bCs w:val="0"/>
          <w:color w:val="000000"/>
          <w:kern w:val="0"/>
          <w:sz w:val="32"/>
          <w:szCs w:val="32"/>
          <w:highlight w:val="none"/>
          <w:lang w:val="en-US" w:eastAsia="zh-CN" w:bidi="ar-SA"/>
        </w:rPr>
        <w:t>（四）完善社会化保障体系，提升保障质量。规范社会化保障项目管理，建立风险防控与应急处置机制。</w:t>
      </w:r>
    </w:p>
    <w:p w14:paraId="3A4DE204">
      <w:pPr>
        <w:overflowPunct w:val="0"/>
        <w:spacing w:line="600" w:lineRule="exact"/>
        <w:ind w:firstLine="640" w:firstLineChars="200"/>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仿宋" w:hAnsi="仿宋" w:eastAsia="仿宋" w:cs="仿宋"/>
          <w:b/>
          <w:bCs/>
          <w:i w:val="0"/>
          <w:iCs w:val="0"/>
          <w:caps w:val="0"/>
          <w:color w:val="000000"/>
          <w:spacing w:val="0"/>
          <w:kern w:val="0"/>
          <w:sz w:val="30"/>
          <w:szCs w:val="30"/>
          <w:shd w:val="clear" w:fill="FFFFFF"/>
          <w:lang w:val="en-US" w:eastAsia="zh-CN" w:bidi="ar"/>
        </w:rPr>
        <w:t>。</w:t>
      </w:r>
      <w:r>
        <w:rPr>
          <w:rFonts w:hint="eastAsia" w:ascii="仿宋" w:hAnsi="仿宋" w:eastAsia="仿宋" w:cs="仿宋"/>
          <w:i w:val="0"/>
          <w:iCs w:val="0"/>
          <w:caps w:val="0"/>
          <w:color w:val="000000"/>
          <w:spacing w:val="0"/>
          <w:kern w:val="0"/>
          <w:sz w:val="30"/>
          <w:szCs w:val="30"/>
          <w:shd w:val="clear" w:fill="FFFFFF"/>
          <w:lang w:val="en-US" w:eastAsia="zh-CN" w:bidi="ar"/>
        </w:rPr>
        <w:t>本单位为二级预算单位，部门评价结果可详见上级部门决算公开说明。</w:t>
      </w:r>
    </w:p>
    <w:p w14:paraId="5DC4775D">
      <w:pPr>
        <w:overflowPunct w:val="0"/>
        <w:spacing w:line="600" w:lineRule="exact"/>
        <w:ind w:firstLine="640" w:firstLineChars="200"/>
        <w:rPr>
          <w:rFonts w:hint="eastAsia" w:ascii="仿宋" w:hAnsi="仿宋" w:eastAsia="仿宋" w:cs="仿宋"/>
          <w:i w:val="0"/>
          <w:iCs w:val="0"/>
          <w:caps w:val="0"/>
          <w:color w:val="000000"/>
          <w:spacing w:val="0"/>
          <w:kern w:val="0"/>
          <w:sz w:val="30"/>
          <w:szCs w:val="30"/>
          <w:shd w:val="clear" w:fill="FFFFFF"/>
          <w:lang w:val="en-US" w:eastAsia="zh-CN" w:bidi="ar"/>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仿宋" w:hAnsi="仿宋" w:eastAsia="仿宋" w:cs="仿宋"/>
          <w:i w:val="0"/>
          <w:iCs w:val="0"/>
          <w:caps w:val="0"/>
          <w:color w:val="000000"/>
          <w:spacing w:val="0"/>
          <w:kern w:val="0"/>
          <w:sz w:val="30"/>
          <w:szCs w:val="30"/>
          <w:shd w:val="clear" w:fill="FFFFFF"/>
          <w:lang w:val="en-US" w:eastAsia="zh-CN" w:bidi="ar"/>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628EDBA7">
      <w:pPr>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Times New Roman" w:hAnsi="Times New Roman" w:eastAsia="仿宋_GB2312" w:cs="Times New Roman"/>
          <w:color w:val="auto"/>
          <w:sz w:val="32"/>
          <w:szCs w:val="32"/>
          <w:highlight w:val="none"/>
          <w:lang w:eastAsia="zh-CN"/>
        </w:rPr>
      </w:pPr>
      <w:r>
        <w:rPr>
          <w:rFonts w:hint="eastAsia" w:ascii="仿宋" w:hAnsi="仿宋" w:eastAsia="仿宋" w:cs="仿宋"/>
          <w:i w:val="0"/>
          <w:iCs w:val="0"/>
          <w:caps w:val="0"/>
          <w:color w:val="000000"/>
          <w:spacing w:val="0"/>
          <w:kern w:val="0"/>
          <w:sz w:val="31"/>
          <w:szCs w:val="31"/>
          <w:shd w:val="clear" w:fill="FFFFFF"/>
          <w:lang w:val="en-US" w:eastAsia="zh-CN" w:bidi="ar"/>
        </w:rPr>
        <w:t>岳阳市公安局君山分局将结合今年绩效自评结果，加强绩效问责机制和奖惩机制的建立，将绩效评价结果与2025度预算铺排紧密挂钩，通过及时应用考核结果，提高评价结果的权威性，优化资金资源配置，持续提升财政资金使用的效益和效率。在部门预算经费的使用上，全面贯彻落实过“紧日子”的有关政策，压减一般性支出，量入为出，聚焦刚性支出、重点项目，全面提升资金使用效能，充分保障了各项工作的资金需求。</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8"/>
        <w:rPr>
          <w:rFonts w:hint="eastAsia"/>
          <w:lang w:val="en-US" w:eastAsia="zh-CN"/>
        </w:rPr>
      </w:pPr>
    </w:p>
    <w:p w14:paraId="47586AB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47E06D0">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475C1000">
      <w:pPr>
        <w:pStyle w:val="13"/>
        <w:jc w:val="center"/>
        <w:rPr>
          <w:rFonts w:hint="eastAsia" w:ascii="方正小标宋_GBK" w:hAnsi="方正小标宋_GBK" w:eastAsia="方正小标宋_GBK" w:cs="方正小标宋_GBK"/>
          <w:sz w:val="72"/>
          <w:szCs w:val="72"/>
        </w:rPr>
      </w:pPr>
    </w:p>
    <w:p w14:paraId="3BA4E1C4">
      <w:pPr>
        <w:pStyle w:val="13"/>
        <w:jc w:val="center"/>
        <w:rPr>
          <w:rFonts w:hint="eastAsia" w:ascii="方正小标宋_GBK" w:hAnsi="方正小标宋_GBK" w:eastAsia="方正小标宋_GBK" w:cs="方正小标宋_GBK"/>
          <w:sz w:val="72"/>
          <w:szCs w:val="72"/>
        </w:rPr>
      </w:pPr>
    </w:p>
    <w:p w14:paraId="31EE72F6">
      <w:pPr>
        <w:pStyle w:val="13"/>
        <w:jc w:val="center"/>
        <w:rPr>
          <w:rFonts w:hint="eastAsia" w:ascii="方正小标宋_GBK" w:hAnsi="方正小标宋_GBK" w:eastAsia="方正小标宋_GBK" w:cs="方正小标宋_GBK"/>
          <w:sz w:val="72"/>
          <w:szCs w:val="72"/>
        </w:rPr>
      </w:pPr>
    </w:p>
    <w:p w14:paraId="7AFE0373">
      <w:pPr>
        <w:pStyle w:val="13"/>
        <w:jc w:val="center"/>
        <w:rPr>
          <w:rFonts w:hint="eastAsia" w:ascii="方正小标宋_GBK" w:hAnsi="方正小标宋_GBK" w:eastAsia="方正小标宋_GBK" w:cs="方正小标宋_GBK"/>
          <w:sz w:val="72"/>
          <w:szCs w:val="72"/>
        </w:rPr>
      </w:pPr>
    </w:p>
    <w:p w14:paraId="53F7E0CC">
      <w:pPr>
        <w:pStyle w:val="13"/>
        <w:jc w:val="center"/>
        <w:rPr>
          <w:rFonts w:hint="eastAsia" w:ascii="方正小标宋_GBK" w:hAnsi="方正小标宋_GBK" w:eastAsia="方正小标宋_GBK" w:cs="方正小标宋_GBK"/>
          <w:sz w:val="72"/>
          <w:szCs w:val="72"/>
        </w:rPr>
      </w:pPr>
    </w:p>
    <w:p w14:paraId="3F56CD03">
      <w:pPr>
        <w:pStyle w:val="13"/>
        <w:jc w:val="center"/>
        <w:rPr>
          <w:rFonts w:hint="eastAsia" w:ascii="方正小标宋_GBK" w:hAnsi="方正小标宋_GBK" w:eastAsia="方正小标宋_GBK" w:cs="方正小标宋_GBK"/>
          <w:sz w:val="72"/>
          <w:szCs w:val="72"/>
        </w:rPr>
      </w:pPr>
    </w:p>
    <w:p w14:paraId="60F90897">
      <w:pPr>
        <w:pStyle w:val="13"/>
        <w:jc w:val="center"/>
        <w:rPr>
          <w:rFonts w:hint="eastAsia" w:ascii="方正小标宋_GBK" w:hAnsi="方正小标宋_GBK" w:eastAsia="方正小标宋_GBK" w:cs="方正小标宋_GBK"/>
          <w:sz w:val="72"/>
          <w:szCs w:val="72"/>
        </w:rPr>
      </w:pPr>
    </w:p>
    <w:p w14:paraId="61DC8C9E">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8"/>
      </w:pPr>
    </w:p>
    <w:p w14:paraId="5331F884">
      <w:pPr>
        <w:pStyle w:val="4"/>
      </w:pPr>
    </w:p>
    <w:p w14:paraId="2CCAD852"/>
    <w:p w14:paraId="440E89DF">
      <w:pPr>
        <w:pStyle w:val="8"/>
      </w:pPr>
    </w:p>
    <w:p w14:paraId="645B9B76">
      <w:pPr>
        <w:pStyle w:val="4"/>
      </w:pPr>
    </w:p>
    <w:p w14:paraId="539F25AC"/>
    <w:p w14:paraId="47AFAB8F">
      <w:pPr>
        <w:pStyle w:val="8"/>
      </w:pPr>
    </w:p>
    <w:p w14:paraId="479D6353">
      <w:pPr>
        <w:pStyle w:val="4"/>
      </w:pPr>
    </w:p>
    <w:p w14:paraId="648103ED"/>
    <w:p w14:paraId="08A5EA8F">
      <w:pPr>
        <w:pStyle w:val="8"/>
      </w:pPr>
    </w:p>
    <w:p w14:paraId="3FD0BAB6">
      <w:pPr>
        <w:pStyle w:val="4"/>
      </w:pPr>
    </w:p>
    <w:p w14:paraId="1CAE18D7"/>
    <w:p w14:paraId="5994BDDC">
      <w:pPr>
        <w:pStyle w:val="8"/>
      </w:pPr>
    </w:p>
    <w:p w14:paraId="51F60F8D">
      <w:pPr>
        <w:pStyle w:val="4"/>
      </w:pPr>
    </w:p>
    <w:p w14:paraId="715B8195"/>
    <w:p w14:paraId="3F608935">
      <w:pPr>
        <w:pStyle w:val="8"/>
      </w:pPr>
    </w:p>
    <w:p w14:paraId="274FE3C9">
      <w:pPr>
        <w:ind w:firstLine="640" w:firstLineChars="200"/>
        <w:jc w:val="left"/>
        <w:rPr>
          <w:rFonts w:hint="eastAsia" w:ascii="仿宋_GB2312" w:hAnsi="仿宋_GB2312" w:eastAsia="仿宋_GB2312" w:cs="仿宋_GB2312"/>
          <w:color w:val="000000"/>
          <w:kern w:val="0"/>
          <w:sz w:val="32"/>
          <w:szCs w:val="32"/>
        </w:rPr>
      </w:pPr>
    </w:p>
    <w:p w14:paraId="61CE71B9">
      <w:pPr>
        <w:pStyle w:val="8"/>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A323811">
      <w:pPr>
        <w:ind w:firstLine="640" w:firstLineChars="200"/>
        <w:jc w:val="left"/>
        <w:rPr>
          <w:rFonts w:hint="eastAsia" w:ascii="仿宋_GB2312" w:hAnsi="仿宋_GB2312" w:eastAsia="仿宋_GB2312" w:cs="仿宋_GB2312"/>
          <w:color w:val="000000"/>
          <w:kern w:val="0"/>
          <w:sz w:val="32"/>
          <w:szCs w:val="32"/>
        </w:rPr>
      </w:pPr>
    </w:p>
    <w:p w14:paraId="00E38582">
      <w:pPr>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3"/>
        <w:jc w:val="center"/>
        <w:rPr>
          <w:rFonts w:hint="eastAsia" w:ascii="仿宋_GB2312" w:hAnsi="仿宋_GB2312" w:eastAsia="仿宋_GB2312" w:cs="仿宋_GB2312"/>
          <w:sz w:val="32"/>
          <w:szCs w:val="32"/>
        </w:rPr>
      </w:pPr>
    </w:p>
    <w:p w14:paraId="1D47518A">
      <w:pPr>
        <w:pStyle w:val="4"/>
      </w:pPr>
    </w:p>
    <w:p w14:paraId="580CF8E4"/>
    <w:p w14:paraId="0C17744C">
      <w:pPr>
        <w:pStyle w:val="8"/>
      </w:pPr>
    </w:p>
    <w:p w14:paraId="7B8BABF4">
      <w:pPr>
        <w:pStyle w:val="4"/>
      </w:pPr>
    </w:p>
    <w:p w14:paraId="1942C0DC"/>
    <w:p w14:paraId="6E2D1EEF">
      <w:pPr>
        <w:pStyle w:val="8"/>
      </w:pPr>
    </w:p>
    <w:p w14:paraId="5F6ABC3B">
      <w:pPr>
        <w:pStyle w:val="4"/>
      </w:pPr>
    </w:p>
    <w:p w14:paraId="51BE6437"/>
    <w:p w14:paraId="05344CBA">
      <w:pPr>
        <w:pStyle w:val="8"/>
      </w:pPr>
    </w:p>
    <w:p w14:paraId="5C9170AD">
      <w:pPr>
        <w:pStyle w:val="4"/>
      </w:pPr>
    </w:p>
    <w:p w14:paraId="29D3A91E"/>
    <w:p w14:paraId="0D2A994E">
      <w:pPr>
        <w:pStyle w:val="8"/>
      </w:pPr>
    </w:p>
    <w:p w14:paraId="59CBCCA7">
      <w:pPr>
        <w:pStyle w:val="4"/>
      </w:pPr>
    </w:p>
    <w:p w14:paraId="67806EBD"/>
    <w:p w14:paraId="7C18BB03">
      <w:pPr>
        <w:pStyle w:val="8"/>
      </w:pPr>
    </w:p>
    <w:p w14:paraId="29230CAD">
      <w:pPr>
        <w:pStyle w:val="4"/>
      </w:pPr>
    </w:p>
    <w:p w14:paraId="724E0A54"/>
    <w:p w14:paraId="496F732E">
      <w:pPr>
        <w:pStyle w:val="8"/>
      </w:pPr>
    </w:p>
    <w:p w14:paraId="354ECFD8">
      <w:pPr>
        <w:pStyle w:val="4"/>
      </w:pPr>
    </w:p>
    <w:p w14:paraId="51C67B38"/>
    <w:p w14:paraId="4D131F3E"/>
    <w:p w14:paraId="7CFBCE3C">
      <w:pPr>
        <w:pStyle w:val="8"/>
      </w:pPr>
    </w:p>
    <w:p w14:paraId="5C3DE094">
      <w:pPr>
        <w:pStyle w:val="13"/>
        <w:jc w:val="both"/>
        <w:rPr>
          <w:rFonts w:hint="eastAsia" w:ascii="方正小标宋_GBK" w:hAnsi="方正小标宋_GBK" w:eastAsia="方正小标宋_GBK" w:cs="方正小标宋_GBK"/>
          <w:sz w:val="72"/>
          <w:szCs w:val="72"/>
        </w:rPr>
      </w:pPr>
    </w:p>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1579C3"/>
    <w:rsid w:val="05025063"/>
    <w:rsid w:val="059958AD"/>
    <w:rsid w:val="06C857E7"/>
    <w:rsid w:val="08C24A73"/>
    <w:rsid w:val="11944E2C"/>
    <w:rsid w:val="12583BA5"/>
    <w:rsid w:val="13BA5B9C"/>
    <w:rsid w:val="152A0109"/>
    <w:rsid w:val="1B3B16D0"/>
    <w:rsid w:val="1D97DEFF"/>
    <w:rsid w:val="1DFF72E5"/>
    <w:rsid w:val="1EFC6F07"/>
    <w:rsid w:val="1F0527A6"/>
    <w:rsid w:val="22AC03C2"/>
    <w:rsid w:val="23161D85"/>
    <w:rsid w:val="283B15FE"/>
    <w:rsid w:val="2FDF85B8"/>
    <w:rsid w:val="2FFFEE04"/>
    <w:rsid w:val="31C95635"/>
    <w:rsid w:val="34DF85B0"/>
    <w:rsid w:val="36707248"/>
    <w:rsid w:val="3B8F36BC"/>
    <w:rsid w:val="3FE00051"/>
    <w:rsid w:val="43EB5BA5"/>
    <w:rsid w:val="465C7C20"/>
    <w:rsid w:val="491FF225"/>
    <w:rsid w:val="49ED0BC3"/>
    <w:rsid w:val="4B9269B0"/>
    <w:rsid w:val="4EC310A1"/>
    <w:rsid w:val="4FFD214C"/>
    <w:rsid w:val="512D0DB5"/>
    <w:rsid w:val="518B67CC"/>
    <w:rsid w:val="5352765A"/>
    <w:rsid w:val="571E397E"/>
    <w:rsid w:val="5777D4F5"/>
    <w:rsid w:val="57F22B6F"/>
    <w:rsid w:val="58B0228F"/>
    <w:rsid w:val="59DD8326"/>
    <w:rsid w:val="5C4D78C5"/>
    <w:rsid w:val="5DA20AA5"/>
    <w:rsid w:val="5DEF592A"/>
    <w:rsid w:val="5FC6BB1E"/>
    <w:rsid w:val="5FF720F1"/>
    <w:rsid w:val="622964C1"/>
    <w:rsid w:val="635F6DAA"/>
    <w:rsid w:val="67FF5C0B"/>
    <w:rsid w:val="6BAA4A2F"/>
    <w:rsid w:val="6D902D70"/>
    <w:rsid w:val="6DDEC5C0"/>
    <w:rsid w:val="6EFC0924"/>
    <w:rsid w:val="6FB74722"/>
    <w:rsid w:val="6FEF8B7E"/>
    <w:rsid w:val="717FE77F"/>
    <w:rsid w:val="71A6591B"/>
    <w:rsid w:val="737D59BA"/>
    <w:rsid w:val="737F32B1"/>
    <w:rsid w:val="73BD3FCA"/>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6043</Words>
  <Characters>6575</Characters>
  <Lines>63</Lines>
  <Paragraphs>18</Paragraphs>
  <TotalTime>26</TotalTime>
  <ScaleCrop>false</ScaleCrop>
  <LinksUpToDate>false</LinksUpToDate>
  <CharactersWithSpaces>6592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Administrator</cp:lastModifiedBy>
  <cp:lastPrinted>2024-08-11T02:20:00Z</cp:lastPrinted>
  <dcterms:modified xsi:type="dcterms:W3CDTF">2025-09-28T01:45:40Z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eyJoZGlkIjoiOTZlYjhhYjE1MTNlYjg0MTJlMzgxN2U1NjI5NTliNzUifQ==</vt:lpwstr>
  </property>
</Properties>
</file>