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BA" w:rsidRDefault="004942B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</w:p>
    <w:p w:rsidR="004942BA" w:rsidRDefault="004942B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/>
          <w:sz w:val="32"/>
          <w:szCs w:val="32"/>
        </w:rPr>
        <w:t>1.2024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年度部门整体支出绩效评价基础数据表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4942BA" w:rsidRDefault="004942BA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4942BA" w:rsidRDefault="004942BA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4942BA" w:rsidRDefault="004942BA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年度市直预算部门整体支出绩效自评报告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（统一参考格式）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4942BA" w:rsidRDefault="004942BA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部门整体支出绩效自评工作考核评分表</w:t>
      </w: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942BA" w:rsidRDefault="004942BA" w:rsidP="00011782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4942BA" w:rsidRDefault="004942BA" w:rsidP="00011782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0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4942BA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4942BA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100%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1.59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1.59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35.08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14.99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4942BA" w:rsidTr="00605D84">
        <w:trPr>
          <w:trHeight w:val="778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Pr="00605D84" w:rsidRDefault="004942BA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  <w:p w:rsidR="004942BA" w:rsidRDefault="004942BA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Pr="00605D84" w:rsidRDefault="004942BA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  <w:p w:rsidR="004942BA" w:rsidRDefault="004942BA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、博达隆科技园新建大棚及配套设施工程款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10.01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Pr="00605D84" w:rsidRDefault="004942BA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  <w:p w:rsidR="004942BA" w:rsidRDefault="004942BA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Pr="00605D84" w:rsidRDefault="004942BA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  <w:p w:rsidR="004942BA" w:rsidRDefault="004942BA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、棚改三期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10.08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45.47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38.62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38.42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1.99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W w:w="1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55"/>
            </w:tblGrid>
            <w:tr w:rsidR="004942BA" w:rsidRPr="00605D84" w:rsidTr="00605D84">
              <w:trPr>
                <w:tblCellSpacing w:w="0" w:type="dxa"/>
              </w:trPr>
              <w:tc>
                <w:tcPr>
                  <w:tcW w:w="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F1FF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4942BA" w:rsidRPr="00605D84" w:rsidRDefault="004942BA" w:rsidP="00605D84">
                  <w:pPr>
                    <w:widowControl/>
                    <w:jc w:val="left"/>
                    <w:rPr>
                      <w:rFonts w:ascii="仿宋_GB2312" w:eastAsia="仿宋_GB2312" w:hAnsi="仿宋_GB2312" w:cs="仿宋_GB2312"/>
                      <w:sz w:val="20"/>
                      <w:szCs w:val="20"/>
                    </w:rPr>
                  </w:pPr>
                </w:p>
              </w:tc>
            </w:tr>
          </w:tbl>
          <w:p w:rsidR="004942BA" w:rsidRPr="00605D84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3.33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Pr="00605D84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/>
                <w:sz w:val="20"/>
                <w:szCs w:val="20"/>
              </w:rPr>
              <w:t>6.77</w:t>
            </w: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Pr="004A481E" w:rsidRDefault="004942BA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4A481E">
              <w:rPr>
                <w:rFonts w:ascii="宋体" w:cs="宋体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Pr="004A481E" w:rsidRDefault="004942BA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4A481E">
              <w:rPr>
                <w:rFonts w:ascii="宋体" w:cs="宋体"/>
                <w:color w:val="000000"/>
                <w:sz w:val="22"/>
                <w:szCs w:val="22"/>
              </w:rPr>
              <w:t>0.66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0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4.76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4.76</w:t>
            </w:r>
          </w:p>
        </w:tc>
      </w:tr>
      <w:tr w:rsidR="004942BA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部门基本支出预算调整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128.9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128.9</w:t>
            </w:r>
          </w:p>
        </w:tc>
      </w:tr>
      <w:tr w:rsidR="004942BA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2023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4942BA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4942B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</w:p>
        </w:tc>
      </w:tr>
    </w:tbl>
    <w:p w:rsidR="004942BA" w:rsidRDefault="004942BA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 w:hint="eastAsia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 w:hint="eastAsia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 w:hint="eastAsia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 w:hint="eastAsia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 w:hint="eastAsia"/>
          <w:sz w:val="22"/>
        </w:rPr>
        <w:t>填报基本支出中的一般商品和服务支出。</w:t>
      </w:r>
    </w:p>
    <w:p w:rsidR="004942BA" w:rsidRDefault="004942BA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4942BA" w:rsidRDefault="004942BA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hint="eastAsia"/>
          <w:sz w:val="22"/>
        </w:rPr>
        <w:t>填表人：吴朝霞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 w:hint="eastAsia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2025.5.15         </w:t>
      </w:r>
      <w:r>
        <w:rPr>
          <w:rFonts w:ascii="Times New Roman" w:eastAsia="仿宋_GB2312" w:hAnsi="Times New Roman" w:hint="eastAsia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13873063680            </w:t>
      </w:r>
      <w:r>
        <w:rPr>
          <w:rFonts w:ascii="Times New Roman" w:eastAsia="仿宋_GB2312" w:hAnsi="Times New Roman" w:hint="eastAsia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4942BA" w:rsidRDefault="004942BA" w:rsidP="00011782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158" w:type="dxa"/>
        <w:jc w:val="center"/>
        <w:tblLook w:val="00A0"/>
      </w:tblPr>
      <w:tblGrid>
        <w:gridCol w:w="1080"/>
        <w:gridCol w:w="1080"/>
        <w:gridCol w:w="1034"/>
        <w:gridCol w:w="1270"/>
        <w:gridCol w:w="1311"/>
        <w:gridCol w:w="1269"/>
        <w:gridCol w:w="773"/>
        <w:gridCol w:w="895"/>
        <w:gridCol w:w="1446"/>
      </w:tblGrid>
      <w:tr w:rsidR="004942BA" w:rsidTr="00605D8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岳阳市君山区农业科学研究所　</w:t>
            </w:r>
          </w:p>
        </w:tc>
      </w:tr>
      <w:tr w:rsidR="004942BA" w:rsidTr="004A481E">
        <w:trPr>
          <w:trHeight w:val="286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6"/>
                <w:szCs w:val="16"/>
                <w:shd w:val="clear" w:color="auto" w:fill="F5F7FA"/>
              </w:rPr>
              <w:t>124.28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6"/>
                <w:szCs w:val="16"/>
                <w:shd w:val="clear" w:color="auto" w:fill="F5F7FA"/>
              </w:rPr>
              <w:t>167.32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6"/>
                <w:szCs w:val="16"/>
                <w:shd w:val="clear" w:color="auto" w:fill="F5F7FA"/>
              </w:rPr>
              <w:t>167.32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一般公共预算</w:t>
            </w:r>
            <w:r>
              <w:rPr>
                <w:rFonts w:ascii="微软雅黑" w:eastAsia="微软雅黑" w:hAnsi="微软雅黑"/>
                <w:color w:val="000000"/>
                <w:sz w:val="16"/>
                <w:szCs w:val="16"/>
                <w:shd w:val="clear" w:color="auto" w:fill="F5F7FA"/>
              </w:rPr>
              <w:t>167.32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>
              <w:rPr>
                <w:rFonts w:ascii="微软雅黑" w:eastAsia="微软雅黑" w:hAnsi="微软雅黑"/>
                <w:color w:val="000000"/>
                <w:sz w:val="16"/>
                <w:szCs w:val="16"/>
                <w:shd w:val="clear" w:color="auto" w:fill="F5F7FA"/>
              </w:rPr>
              <w:t>167.32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4942BA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 w:rsidP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按照区委、政府、农业农村局、党委的具体要求，农科所支部齐心协力，克服困难，改进工作方法，转变工作作风，踏踏实实地完成了局党委交办的各项工作任务　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农科所支部按照区组织部的会议精神指示和布署，农科所支部在年初制定了党支部工作计划，认真落实到位，所支部开展了系列业余活动，每月组织一次党员生活会，对党员每月的进行考评工作，每月交纳党费，做到了每项工作不漏缺。组织党员每月参加党员日活动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,2023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年是全面建成小康社会关键之年，是决战脱贫攻坚克难的关键一年，扎实的工作，创新思路。用实际行动保证脱贫攻坚任务圆满完成。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农科所三分场七队桥头至种猪场前路段，经农科所积极扩建，由原先的破旧狭窄路段，变成焕然一新的宽敞路面，完善了农科所路面，拓展农民就业渠道，使农民群众真正成为农村发展的参与者、监督者和受益者，切实增强农民群众的获得感、幸福感。　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(50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每月组织一次党员生活会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对党员每月的进行考评工作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三分场七队桥头至种猪场前路段改扩建工程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　＝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4942BA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品种试验到位率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4942BA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党员参与率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　＝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4"/>
              </w:smartTagP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2024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年</w:t>
              </w: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12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月</w:t>
              </w: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31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日</w:t>
              </w:r>
            </w:smartTag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24"/>
              </w:smartTagP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2024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年</w:t>
              </w: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12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月</w:t>
              </w: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20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日</w:t>
              </w:r>
            </w:smartTag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前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</w:t>
            </w: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完成试种任务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ind w:firstLineChars="200" w:firstLine="40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有效推动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有试种任务未完成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</w:t>
            </w: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保存种质资源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ind w:firstLineChars="200" w:firstLine="40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有效提升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4942BA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</w:t>
            </w: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节能减碳，优化环境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有效加强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4942BA" w:rsidTr="00605D84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有利于可持续生产，提高农业效益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效果显著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效果显著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4942BA" w:rsidTr="00605D84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技术人员满意度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4942BA" w:rsidTr="00605D84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4942BA" w:rsidRDefault="004942BA" w:rsidP="0021744B">
      <w:pPr>
        <w:widowControl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hint="eastAsia"/>
          <w:sz w:val="22"/>
          <w:szCs w:val="22"/>
        </w:rPr>
        <w:t>填表人：吴朝霞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 w:hint="eastAsia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>2025</w:t>
      </w:r>
      <w:r>
        <w:rPr>
          <w:rFonts w:ascii="Times New Roman" w:eastAsia="仿宋_GB2312" w:hAnsi="Times New Roman" w:hint="eastAsia"/>
          <w:sz w:val="22"/>
          <w:szCs w:val="22"/>
        </w:rPr>
        <w:t>年</w:t>
      </w:r>
      <w:r>
        <w:rPr>
          <w:rFonts w:ascii="Times New Roman" w:eastAsia="仿宋_GB2312" w:hAnsi="Times New Roman"/>
          <w:sz w:val="22"/>
          <w:szCs w:val="22"/>
        </w:rPr>
        <w:t>5</w:t>
      </w:r>
      <w:r>
        <w:rPr>
          <w:rFonts w:ascii="Times New Roman" w:eastAsia="仿宋_GB2312" w:hAnsi="Times New Roman" w:hint="eastAsia"/>
          <w:sz w:val="22"/>
          <w:szCs w:val="22"/>
        </w:rPr>
        <w:t>月</w:t>
      </w:r>
      <w:r>
        <w:rPr>
          <w:rFonts w:ascii="Times New Roman" w:eastAsia="仿宋_GB2312" w:hAnsi="Times New Roman"/>
          <w:sz w:val="22"/>
          <w:szCs w:val="22"/>
        </w:rPr>
        <w:t>15</w:t>
      </w:r>
      <w:r>
        <w:rPr>
          <w:rFonts w:ascii="Times New Roman" w:eastAsia="仿宋_GB2312" w:hAnsi="Times New Roman" w:hint="eastAsia"/>
          <w:sz w:val="22"/>
          <w:szCs w:val="22"/>
        </w:rPr>
        <w:t>日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 w:hint="eastAsia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13873063680               </w:t>
      </w:r>
      <w:r>
        <w:rPr>
          <w:rFonts w:ascii="Times New Roman" w:eastAsia="仿宋_GB2312" w:hAnsi="Times New Roman" w:hint="eastAsia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</w:p>
    <w:p w:rsidR="004942BA" w:rsidRDefault="004942BA">
      <w:pPr>
        <w:rPr>
          <w:rFonts w:ascii="黑体" w:eastAsia="黑体" w:hAnsi="黑体" w:cs="黑体"/>
          <w:sz w:val="32"/>
          <w:szCs w:val="32"/>
        </w:rPr>
      </w:pPr>
      <w:r w:rsidRPr="00320D95">
        <w:rPr>
          <w:rFonts w:ascii="黑体" w:eastAsia="黑体" w:hAnsi="黑体" w:cs="黑体"/>
          <w:sz w:val="32"/>
          <w:szCs w:val="3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8pt" o:ole="">
            <v:imagedata r:id="rId7" o:title=""/>
          </v:shape>
          <o:OLEObject Type="Embed" ProgID="AcroExch.Document.7" ShapeID="_x0000_i1025" DrawAspect="Content" ObjectID="_1809328232" r:id="rId8"/>
        </w:object>
      </w:r>
    </w:p>
    <w:p w:rsidR="004942BA" w:rsidRDefault="004942B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4942BA" w:rsidRDefault="004942BA" w:rsidP="0021744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 w:rsidRPr="00DA7522"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年度岳阳市君山区农业科学研究所</w:t>
      </w:r>
    </w:p>
    <w:p w:rsidR="004942BA" w:rsidRDefault="004942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A7522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:rsidR="004942BA" w:rsidRDefault="004942B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4942BA" w:rsidRDefault="004942BA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部门（单位）基本情况</w:t>
      </w:r>
    </w:p>
    <w:p w:rsidR="004942BA" w:rsidRDefault="004942BA" w:rsidP="0021744B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 xml:space="preserve">     (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一</w:t>
      </w:r>
      <w:r>
        <w:rPr>
          <w:rFonts w:ascii="仿宋_GB2312" w:eastAsia="仿宋_GB2312" w:hAnsi="仿宋_GB2312" w:cs="仿宋_GB2312"/>
          <w:b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、单位职能</w:t>
      </w:r>
    </w:p>
    <w:p w:rsidR="004942BA" w:rsidRDefault="004942BA" w:rsidP="0021744B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1</w:t>
      </w:r>
      <w:r>
        <w:rPr>
          <w:rFonts w:eastAsia="仿宋_GB2312" w:hint="eastAsia"/>
          <w:sz w:val="32"/>
          <w:szCs w:val="32"/>
        </w:rPr>
        <w:t>、管理农业科技，促进农业发展。</w:t>
      </w:r>
    </w:p>
    <w:p w:rsidR="004942BA" w:rsidRDefault="004942BA" w:rsidP="0021744B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2</w:t>
      </w:r>
      <w:r>
        <w:rPr>
          <w:rFonts w:eastAsia="仿宋_GB2312" w:hint="eastAsia"/>
          <w:sz w:val="32"/>
          <w:szCs w:val="32"/>
        </w:rPr>
        <w:t>、农业科技成果开发管理、农业植物新品种保护管理、农业质量和技术市场管理。</w:t>
      </w:r>
    </w:p>
    <w:p w:rsidR="004942BA" w:rsidRDefault="004942BA" w:rsidP="00927469">
      <w:pPr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、机构设置</w:t>
      </w:r>
    </w:p>
    <w:p w:rsidR="004942BA" w:rsidRDefault="004942BA" w:rsidP="0021744B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岳阳市君山区农业科学研究室隶属于农业局二级机构。内设股室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个为综合办公室。</w:t>
      </w:r>
    </w:p>
    <w:p w:rsidR="004942BA" w:rsidRPr="0021744B" w:rsidRDefault="004942BA" w:rsidP="0021744B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本所有在职人员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人，其中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人为在编人员，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人为经费自理人员。退休人员共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人。</w:t>
      </w:r>
    </w:p>
    <w:p w:rsidR="004942BA" w:rsidRPr="0021744B" w:rsidRDefault="004942BA" w:rsidP="0021744B">
      <w:pPr>
        <w:pStyle w:val="NormalWeb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/>
          <w:color w:val="0000FF"/>
          <w:kern w:val="2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 xml:space="preserve">                                                                                              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二、一般公共预算支出情况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年部门预算资金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167.32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万元（基本支出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167.32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万元），全年实际支出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167.32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万元，其中基本支出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261.94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万元，预算执行率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。　　　　　　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（一）基本支出情况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年度全年预算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167.32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万元（工资福利支出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101.61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万元、商品和服务支出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7091.66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万元、对个人和家庭的补助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57.67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万元、资本性支出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0.17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万元），其中一般公共预算财政拨款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133.42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万元。本单位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年度基本支出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167.32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万元（工资福利支出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45.11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万元、商品和服务支出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38.42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万元、对个人和家庭的补助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83.79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万元、资本性支出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万元），其中人员经费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128.9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元，公用经费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38.42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</w:t>
      </w:r>
      <w:r>
        <w:rPr>
          <w:rFonts w:eastAsia="仿宋_GB2312" w:cs="仿宋_GB2312" w:hint="eastAsia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:rsidR="004942BA" w:rsidRDefault="004942BA" w:rsidP="00BE624E">
      <w:pPr>
        <w:pStyle w:val="ListParagraph"/>
        <w:widowControl/>
        <w:numPr>
          <w:ilvl w:val="0"/>
          <w:numId w:val="5"/>
        </w:numPr>
        <w:spacing w:line="560" w:lineRule="exact"/>
        <w:ind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项目支出情况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三、政府性基金预算支出情况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四、国有资本经营预算支出情况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五、社会保险基金预算支出情况</w:t>
      </w:r>
    </w:p>
    <w:p w:rsidR="004942BA" w:rsidRDefault="004942BA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4942BA" w:rsidRDefault="004942BA" w:rsidP="00BE624E">
      <w:pPr>
        <w:pStyle w:val="ListParagraph"/>
        <w:widowControl/>
        <w:spacing w:line="560" w:lineRule="exact"/>
        <w:ind w:leftChars="200" w:left="56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六、部门整体支出绩效情况</w:t>
      </w:r>
    </w:p>
    <w:p w:rsidR="004942BA" w:rsidRDefault="004942BA" w:rsidP="00BE624E">
      <w:pPr>
        <w:pStyle w:val="ListParagraph"/>
        <w:widowControl/>
        <w:spacing w:line="56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年，我单位积极履职，资金管理规范，资产管理到位，政策执行有力，较好地完成了年度工作目标，有效发挥了财政资金的使用效率。在人员经费支出上，严格执行上级的各项制度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在公用经费使用上，严格执行预算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°三公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±经费开支上，厉行节约，从严控制，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年度一般公共预算拨款中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°三公经费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±年初预算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万元，实际支出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万元，为年初预算的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。根据《部门整体支出绩效自评表》自评得分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 xml:space="preserve"> 98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分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详见附表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2)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，部门整体支出绩效为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°优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±</w:t>
      </w:r>
    </w:p>
    <w:p w:rsidR="004942BA" w:rsidRDefault="004942BA" w:rsidP="00BE624E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4942BA" w:rsidRDefault="004942BA" w:rsidP="00BE624E">
      <w:pPr>
        <w:pStyle w:val="NormalIndent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严格执行预算管理制度，切实降低运行成本。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我社严格预算管理，科学安排支出，实时把握支出进度，不断提高资金使用效益，将过“紧日子”贯穿全年，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预算执行率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100%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，切实降低运行成本，发挥了财政资金的最大效益。</w:t>
      </w:r>
    </w:p>
    <w:p w:rsidR="004942BA" w:rsidRDefault="004942BA" w:rsidP="00BE624E">
      <w:pPr>
        <w:pStyle w:val="NormalIndent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加强资产管理，确保资产保值增值。根据政府采购和资产管理要求，建立了资产实物管理台账，根据各股室的需求制订了采购计划，按国有资产配置、政府采购和有关规定按程序在电子卖场进行采购活动。</w:t>
      </w:r>
    </w:p>
    <w:p w:rsidR="004942BA" w:rsidRDefault="004942BA" w:rsidP="00BE624E">
      <w:pPr>
        <w:pStyle w:val="NormalIndent"/>
        <w:spacing w:line="560" w:lineRule="exact"/>
        <w:ind w:firstLine="640"/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履职产出效益方面</w:t>
      </w:r>
    </w:p>
    <w:p w:rsidR="004942BA" w:rsidRPr="00E3479E" w:rsidRDefault="004942BA" w:rsidP="003D720E">
      <w:pPr>
        <w:pStyle w:val="NormalIndent"/>
        <w:spacing w:line="560" w:lineRule="exact"/>
        <w:ind w:firstLine="60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sz w:val="30"/>
          <w:szCs w:val="30"/>
        </w:rPr>
        <w:t>2024</w:t>
      </w:r>
      <w:r>
        <w:rPr>
          <w:rFonts w:hint="eastAsia"/>
          <w:sz w:val="30"/>
          <w:szCs w:val="30"/>
        </w:rPr>
        <w:t>年农科所</w:t>
      </w:r>
      <w:r>
        <w:rPr>
          <w:rFonts w:hint="eastAsia"/>
          <w:b/>
          <w:bCs/>
          <w:sz w:val="30"/>
          <w:szCs w:val="30"/>
        </w:rPr>
        <w:t>三</w:t>
      </w:r>
      <w:r>
        <w:rPr>
          <w:rFonts w:hint="eastAsia"/>
          <w:sz w:val="30"/>
          <w:szCs w:val="30"/>
        </w:rPr>
        <w:t>分场七队桥头至种猪场前路段，经农科所积极扩建，由原先的破旧狭窄路段，变成焕然一新的宽敞路面，</w:t>
      </w:r>
      <w:r>
        <w:rPr>
          <w:rFonts w:ascii="宋体" w:hAnsi="宋体" w:cs="宋体" w:hint="eastAsia"/>
          <w:sz w:val="30"/>
          <w:szCs w:val="30"/>
        </w:rPr>
        <w:t>完善了农科所路面，使农民群众真正成为农村发展的受益者，切实增强农民群众的幸福感。</w:t>
      </w:r>
    </w:p>
    <w:p w:rsidR="004942BA" w:rsidRDefault="004942BA" w:rsidP="00E3479E">
      <w:pPr>
        <w:pStyle w:val="NormalIndent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七、</w:t>
      </w:r>
      <w:r>
        <w:rPr>
          <w:rFonts w:ascii="Times New Roman" w:eastAsia="黑体" w:hAnsi="Times New Roman" w:hint="eastAsia"/>
          <w:sz w:val="32"/>
          <w:szCs w:val="32"/>
        </w:rPr>
        <w:t>存在的问题及原因分析</w:t>
      </w:r>
    </w:p>
    <w:p w:rsidR="004942BA" w:rsidRDefault="004942BA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（一）预算精准性有待进一步提高</w:t>
      </w:r>
      <w:r>
        <w:rPr>
          <w:rFonts w:ascii="Times New Roman" w:eastAsia="楷体_GB2312" w:hAnsi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 w:rsidR="004942BA" w:rsidRDefault="004942BA" w:rsidP="00BE624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ascii="Times New Roman" w:eastAsia="仿宋_GB2312" w:hAnsi="Times New Roman" w:hint="eastAsia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:rsidR="004942BA" w:rsidRDefault="004942BA" w:rsidP="00BE624E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财务业务水平有待进一步提高。</w:t>
      </w:r>
      <w:r>
        <w:rPr>
          <w:rFonts w:ascii="Times New Roman" w:eastAsia="仿宋_GB2312" w:hAnsi="Times New Roman" w:hint="eastAsia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 w:rsidR="004942BA" w:rsidRDefault="004942BA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八、下一步改进措施</w:t>
      </w:r>
    </w:p>
    <w:p w:rsidR="004942BA" w:rsidRDefault="004942BA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（一）加强预算编制的前瞻性，提高预算编制水平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:rsidR="004942BA" w:rsidRDefault="004942BA" w:rsidP="00BE624E">
      <w:pPr>
        <w:widowControl/>
        <w:numPr>
          <w:ilvl w:val="0"/>
          <w:numId w:val="6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 w:rsidR="004942BA" w:rsidRDefault="004942BA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 w:rsidR="004942BA" w:rsidRDefault="004942BA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:rsidR="004942BA" w:rsidRDefault="004942BA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:rsidR="004942BA" w:rsidRDefault="004942BA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4942BA" w:rsidRDefault="004942BA" w:rsidP="00BE624E">
      <w:pPr>
        <w:widowControl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其他需要说明的情况</w:t>
      </w:r>
    </w:p>
    <w:p w:rsidR="004942BA" w:rsidRDefault="004942BA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4942BA" w:rsidRDefault="004942BA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报告需要以下附件：</w:t>
      </w:r>
    </w:p>
    <w:p w:rsidR="004942BA" w:rsidRDefault="004942BA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部门整体支出绩效评价基础数据表</w:t>
      </w:r>
    </w:p>
    <w:p w:rsidR="004942BA" w:rsidRDefault="004942BA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部门整体支出绩效自评表</w:t>
      </w:r>
    </w:p>
    <w:p w:rsidR="004942BA" w:rsidRDefault="004942BA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项目支出绩效自评表（一个一级项目支出一张表）</w:t>
      </w:r>
    </w:p>
    <w:p w:rsidR="004942BA" w:rsidRDefault="004942BA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4942BA" w:rsidRDefault="004942BA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国有资本经营预算支出情况表</w:t>
      </w:r>
    </w:p>
    <w:p w:rsidR="004942BA" w:rsidRDefault="004942BA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社会保险基金预算支出情况表</w:t>
      </w:r>
    </w:p>
    <w:p w:rsidR="004942BA" w:rsidRDefault="004942BA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5</w:t>
      </w:r>
    </w:p>
    <w:p w:rsidR="004942BA" w:rsidRDefault="004942BA" w:rsidP="00011782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绩效自评工作考核评分表</w:t>
      </w:r>
    </w:p>
    <w:tbl>
      <w:tblPr>
        <w:tblW w:w="9941" w:type="dxa"/>
        <w:jc w:val="center"/>
        <w:tblLayout w:type="fixed"/>
        <w:tblLook w:val="00A0"/>
      </w:tblPr>
      <w:tblGrid>
        <w:gridCol w:w="745"/>
        <w:gridCol w:w="1174"/>
        <w:gridCol w:w="5000"/>
        <w:gridCol w:w="3022"/>
      </w:tblGrid>
      <w:tr w:rsidR="004942BA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所需佐证材料</w:t>
            </w:r>
          </w:p>
        </w:tc>
      </w:tr>
      <w:tr w:rsidR="004942BA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布置工作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4942BA" w:rsidRDefault="004942BA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自评通知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分，否则不得分。</w:t>
            </w:r>
          </w:p>
          <w:p w:rsidR="004942BA" w:rsidRDefault="004942B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绩效自评通知盖章的电子版</w:t>
            </w:r>
          </w:p>
        </w:tc>
      </w:tr>
      <w:tr w:rsidR="004942BA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工作小组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绩效评价工作小组有关文件盖章的电子版</w:t>
            </w:r>
          </w:p>
        </w:tc>
      </w:tr>
      <w:tr w:rsidR="004942BA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实施评价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单位自查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市级预算部门本级和所属单位都要开展绩效自查，转移支付项目单位都要开展绩效自查，县、区级主管部门都要汇总本区域转移支付情况；以上各项每发现一个单位没有做相应工作的，扣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转移支付项目单位名称和资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金情况清单</w:t>
            </w:r>
          </w:p>
          <w:p w:rsidR="004942BA" w:rsidRDefault="004942BA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有转移支付资金的各县区主管部门汇总情况的盖章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版　</w:t>
            </w:r>
          </w:p>
        </w:tc>
      </w:tr>
      <w:tr w:rsidR="004942BA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提交报告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按时向市财政局报送报告的得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</w:tc>
      </w:tr>
      <w:tr w:rsidR="004942BA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自评报告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完整性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  <w:p w:rsidR="004942BA" w:rsidRDefault="004942BA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</w:tc>
      </w:tr>
      <w:tr w:rsidR="004942BA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绩效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自评表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、部门整体支出和项目支出绩效指标反映产出、效益、服务对象满意度方面的指标和预算执行率的权重符合《岳阳市市级预算部门绩效自评操作规程》要求的，得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分，否则按比例扣除相应的分数。</w:t>
            </w:r>
          </w:p>
          <w:p w:rsidR="004942BA" w:rsidRDefault="004942BA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分；部分细化的，酌情扣分；没有细化的，不得分。</w:t>
            </w:r>
          </w:p>
          <w:p w:rsidR="004942BA" w:rsidRDefault="004942BA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</w:tc>
      </w:tr>
      <w:tr w:rsidR="004942BA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jc w:val="center"/>
              <w:rPr>
                <w:rFonts w:ascii="Times New Roman" w:hAnsi="Times New Roman"/>
              </w:rPr>
            </w:pPr>
          </w:p>
          <w:p w:rsidR="004942BA" w:rsidRDefault="004942BA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反映问</w:t>
            </w:r>
          </w:p>
          <w:p w:rsidR="004942BA" w:rsidRDefault="004942BA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题情况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4942BA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建议情况</w:t>
            </w:r>
          </w:p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4942BA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2BA" w:rsidRDefault="004942B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94.48</w:t>
            </w:r>
          </w:p>
        </w:tc>
      </w:tr>
    </w:tbl>
    <w:p w:rsidR="004942BA" w:rsidRDefault="004942B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4942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BA" w:rsidRDefault="004942BA" w:rsidP="00605D84">
      <w:r>
        <w:separator/>
      </w:r>
    </w:p>
  </w:endnote>
  <w:endnote w:type="continuationSeparator" w:id="0">
    <w:p w:rsidR="004942BA" w:rsidRDefault="004942BA" w:rsidP="00605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2BA" w:rsidRDefault="004942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2BA" w:rsidRDefault="004942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2BA" w:rsidRDefault="004942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BA" w:rsidRDefault="004942BA" w:rsidP="00605D84">
      <w:r>
        <w:separator/>
      </w:r>
    </w:p>
  </w:footnote>
  <w:footnote w:type="continuationSeparator" w:id="0">
    <w:p w:rsidR="004942BA" w:rsidRDefault="004942BA" w:rsidP="00605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2BA" w:rsidRDefault="004942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2BA" w:rsidRDefault="004942BA" w:rsidP="0001178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2BA" w:rsidRDefault="004942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79156"/>
    <w:multiLevelType w:val="singleLevel"/>
    <w:tmpl w:val="B5C79156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C19E57AF"/>
    <w:multiLevelType w:val="singleLevel"/>
    <w:tmpl w:val="C19E57AF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2">
    <w:nsid w:val="DA81C459"/>
    <w:multiLevelType w:val="singleLevel"/>
    <w:tmpl w:val="DA81C459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3">
    <w:nsid w:val="FC3E8C2A"/>
    <w:multiLevelType w:val="singleLevel"/>
    <w:tmpl w:val="FC3E8C2A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4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5">
    <w:nsid w:val="169225C5"/>
    <w:multiLevelType w:val="singleLevel"/>
    <w:tmpl w:val="169225C5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6">
    <w:nsid w:val="2D643DA0"/>
    <w:multiLevelType w:val="singleLevel"/>
    <w:tmpl w:val="2D643DA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7">
    <w:nsid w:val="370163EB"/>
    <w:multiLevelType w:val="singleLevel"/>
    <w:tmpl w:val="370163EB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8">
    <w:nsid w:val="59CC8B3D"/>
    <w:multiLevelType w:val="singleLevel"/>
    <w:tmpl w:val="59CC8B3D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9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RhMjdlZjQ5YjRhZjNkYTU5MWJjNTdiM2YyYzk4OWIifQ=="/>
  </w:docVars>
  <w:rsids>
    <w:rsidRoot w:val="59886344"/>
    <w:rsid w:val="DFEF884A"/>
    <w:rsid w:val="F97F68A4"/>
    <w:rsid w:val="00011782"/>
    <w:rsid w:val="00045EB1"/>
    <w:rsid w:val="0021744B"/>
    <w:rsid w:val="00302698"/>
    <w:rsid w:val="00320D95"/>
    <w:rsid w:val="0032164D"/>
    <w:rsid w:val="003502E1"/>
    <w:rsid w:val="003D720E"/>
    <w:rsid w:val="004942BA"/>
    <w:rsid w:val="004A481E"/>
    <w:rsid w:val="004B742A"/>
    <w:rsid w:val="00520D1B"/>
    <w:rsid w:val="00587569"/>
    <w:rsid w:val="00605D84"/>
    <w:rsid w:val="006E5C8E"/>
    <w:rsid w:val="00927469"/>
    <w:rsid w:val="00994E1A"/>
    <w:rsid w:val="00AA6CB0"/>
    <w:rsid w:val="00BE624E"/>
    <w:rsid w:val="00C5279D"/>
    <w:rsid w:val="00D30B48"/>
    <w:rsid w:val="00DA7522"/>
    <w:rsid w:val="00E3479E"/>
    <w:rsid w:val="124C51EF"/>
    <w:rsid w:val="55CA39A4"/>
    <w:rsid w:val="57234B81"/>
    <w:rsid w:val="59886344"/>
    <w:rsid w:val="7FC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2E1"/>
    <w:pPr>
      <w:widowControl w:val="0"/>
      <w:jc w:val="both"/>
    </w:pPr>
    <w:rPr>
      <w:rFonts w:ascii="仿宋" w:hAnsi="仿宋"/>
      <w:kern w:val="0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3502E1"/>
    <w:pPr>
      <w:ind w:firstLineChars="200" w:firstLine="420"/>
    </w:pPr>
  </w:style>
  <w:style w:type="paragraph" w:styleId="BodyText">
    <w:name w:val="Body Text"/>
    <w:basedOn w:val="Normal"/>
    <w:link w:val="BodyTextChar"/>
    <w:uiPriority w:val="99"/>
    <w:semiHidden/>
    <w:rsid w:val="003502E1"/>
    <w:rPr>
      <w:rFonts w:eastAsia="仿宋" w:cs="仿宋"/>
      <w:sz w:val="31"/>
      <w:szCs w:val="31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仿宋" w:eastAsia="仿宋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3502E1"/>
    <w:pPr>
      <w:spacing w:before="100" w:beforeAutospacing="1" w:after="100" w:afterAutospacing="1"/>
      <w:jc w:val="left"/>
    </w:pPr>
    <w:rPr>
      <w:sz w:val="24"/>
    </w:rPr>
  </w:style>
  <w:style w:type="paragraph" w:customStyle="1" w:styleId="1">
    <w:name w:val="列出段落1"/>
    <w:basedOn w:val="Normal"/>
    <w:uiPriority w:val="99"/>
    <w:rsid w:val="003502E1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3502E1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样式2"/>
    <w:basedOn w:val="Normal"/>
    <w:autoRedefine/>
    <w:uiPriority w:val="99"/>
    <w:rsid w:val="003502E1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Header">
    <w:name w:val="header"/>
    <w:basedOn w:val="Normal"/>
    <w:link w:val="HeaderChar"/>
    <w:uiPriority w:val="99"/>
    <w:rsid w:val="00605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5D84"/>
    <w:rPr>
      <w:rFonts w:ascii="仿宋" w:eastAsia="仿宋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05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5D84"/>
    <w:rPr>
      <w:rFonts w:ascii="仿宋" w:eastAsia="仿宋" w:cs="Times New Roman"/>
      <w:sz w:val="18"/>
      <w:szCs w:val="18"/>
    </w:rPr>
  </w:style>
  <w:style w:type="character" w:customStyle="1" w:styleId="vxe-cell--label">
    <w:name w:val="vxe-cell--label"/>
    <w:basedOn w:val="DefaultParagraphFont"/>
    <w:uiPriority w:val="99"/>
    <w:rsid w:val="00605D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3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13</Pages>
  <Words>905</Words>
  <Characters>5160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7</cp:revision>
  <dcterms:created xsi:type="dcterms:W3CDTF">2025-05-08T07:37:00Z</dcterms:created>
  <dcterms:modified xsi:type="dcterms:W3CDTF">2025-05-21T02:24:00Z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9D8A51CD57DE4845AAA91C284D107D28_13</vt:lpwstr>
  </property>
</Properties>
</file>