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1F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5DE518B9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2"/>
        <w:gridCol w:w="1200"/>
        <w:gridCol w:w="859"/>
        <w:gridCol w:w="1140"/>
        <w:gridCol w:w="1125"/>
        <w:gridCol w:w="1092"/>
        <w:gridCol w:w="970"/>
      </w:tblGrid>
      <w:tr w14:paraId="495F9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656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B9B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45B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408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746EE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023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25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6人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AA9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E4A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C43F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31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D4483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AB291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A38E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0B864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7C7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6B3E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12B38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BBC0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9E25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0F4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B99D2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1FC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7C6A8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19BF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E3D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D720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6FF80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453A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B345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8C0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891A2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03CDA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947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26E0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9CC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EC57D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DD5A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743C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7BD8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F19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CEA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3F38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44809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2533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DE3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3108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232.39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AFBEE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281.42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B2C1C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282.33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7A9F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13B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F9E51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701D0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082F0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10F1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2D1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933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232.39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8C4D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281.42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2EA9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282.33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6A6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F9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5376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F2476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8456F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45C82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833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10D8B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B6952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7AF7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DF6A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D1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D3BD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452B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24E93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5213F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58A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0D47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3.71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48DD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888D1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5.98</w:t>
            </w:r>
          </w:p>
        </w:tc>
      </w:tr>
      <w:tr w14:paraId="0D0DC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689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7536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CD281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0EB35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0.52</w:t>
            </w:r>
          </w:p>
        </w:tc>
      </w:tr>
      <w:tr w14:paraId="00607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C26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CE94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8824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6D85A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0.16</w:t>
            </w:r>
          </w:p>
        </w:tc>
      </w:tr>
      <w:tr w14:paraId="45766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5D7A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08902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CABA8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CEE1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27DB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B2F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A98ED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122.36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20C7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110.3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CFD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114.47</w:t>
            </w:r>
          </w:p>
        </w:tc>
      </w:tr>
      <w:tr w14:paraId="634AC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C21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84067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2122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C843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8DC0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33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894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12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538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C86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289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72E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64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51BF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3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95E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EE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958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EAE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944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C72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A9C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3664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16A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9E523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19D07CEB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067CFA7A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21C76032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符爱群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2025.4.28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13507304191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79C6694C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"/>
        <w:tblW w:w="100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74"/>
        <w:gridCol w:w="1032"/>
        <w:gridCol w:w="1265"/>
        <w:gridCol w:w="1304"/>
        <w:gridCol w:w="1264"/>
        <w:gridCol w:w="711"/>
        <w:gridCol w:w="869"/>
        <w:gridCol w:w="1466"/>
      </w:tblGrid>
      <w:tr w14:paraId="427B1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364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11A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岳阳市君山区路灯事务所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AC95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9BB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29FC107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605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93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E3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E5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43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AB8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A23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59674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3D0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9A2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578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360.68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7EB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358.57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E3D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358.57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99F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56F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E0F98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42C33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443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45B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868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0010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624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71E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358.26</w:t>
            </w:r>
          </w:p>
        </w:tc>
        <w:tc>
          <w:tcPr>
            <w:tcW w:w="43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B2A0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76.24</w:t>
            </w:r>
          </w:p>
        </w:tc>
      </w:tr>
      <w:tr w14:paraId="590CA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839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E5DB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2918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282.33</w:t>
            </w:r>
          </w:p>
        </w:tc>
      </w:tr>
      <w:tr w14:paraId="46752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3A0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82C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075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91F1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BAA6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B2AC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0.31</w:t>
            </w:r>
          </w:p>
        </w:tc>
        <w:tc>
          <w:tcPr>
            <w:tcW w:w="43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FA5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6F4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90935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6D6DA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5B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3B6E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6575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CBE7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1.维修维护及时高效</w:t>
            </w:r>
          </w:p>
          <w:p w14:paraId="60F1F0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2.全力保障重大节日期间路灯的运行质量</w:t>
            </w:r>
          </w:p>
          <w:p w14:paraId="49DEB9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3.加强巡查管理，确保路灯设施安全运行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71C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保障全年路灯亮化率达到98％</w:t>
            </w:r>
          </w:p>
          <w:p w14:paraId="1BD58D0A">
            <w:pPr>
              <w:widowControl/>
              <w:spacing w:line="240" w:lineRule="exact"/>
              <w:ind w:firstLine="1080" w:firstLineChars="6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保障路灯维修率达到98％</w:t>
            </w:r>
          </w:p>
        </w:tc>
      </w:tr>
      <w:tr w14:paraId="72463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3A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616B47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590C73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70BA83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3D0D6E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87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F1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4C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58B1C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DB69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47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A23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F7AA0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B1E7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B11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E4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81F49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702B1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9006D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EDB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城区路灯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每周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巡灯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一次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735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98%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128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21CE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8B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BFD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82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F47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D24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09E5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DB1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路灯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维修维护管理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36C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5736盏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306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5736盏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BE00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F9D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A5C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E118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A1F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97D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67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F8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公众服务热线处理率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AC4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F02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2CCC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F317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794B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</w:tr>
      <w:tr w14:paraId="6B3DF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BF5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6FE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9A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38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作业流程规范率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5D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EA9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72D8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070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121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B674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757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FCE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6B5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A5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纠纷事件发生率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F29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4DF2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4D4FF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A74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B836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E4D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0A53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190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427A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BA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城区路灯亮灯时长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031D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7小时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6CF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6小时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B940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4CD0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43D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电费预算有限，仅保证主城区亮灯时长</w:t>
            </w:r>
          </w:p>
        </w:tc>
      </w:tr>
      <w:tr w14:paraId="40872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391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806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BF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1A8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路灯维护及时率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232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98%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E73A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96%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3C1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A7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A56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路灯维修面积大，有时维修不及时</w:t>
            </w:r>
          </w:p>
        </w:tc>
      </w:tr>
      <w:tr w14:paraId="489D6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59B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D12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9F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B6D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财政资金支出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60D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360.68万元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021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358.57万元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D985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EBC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952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预算资金执行不到位，今后加强预算执行</w:t>
            </w:r>
          </w:p>
        </w:tc>
      </w:tr>
      <w:tr w14:paraId="2CECE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2B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62E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2EA330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28E301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14D9FD8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73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2C87ECD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369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5F4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92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28807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91C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9E7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A083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E07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C2E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A1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69ED22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20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美化城市环境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37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定性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26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提升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0B13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36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5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重大节假日美化亮化项目标准有待提升。</w:t>
            </w:r>
          </w:p>
        </w:tc>
      </w:tr>
      <w:tr w14:paraId="091FF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205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D0F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12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637397C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19B5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优化生态环境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117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定性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1E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不断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优化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9284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2BC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0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优化生态环境有待提升，后期不断加强。</w:t>
            </w:r>
          </w:p>
        </w:tc>
      </w:tr>
      <w:tr w14:paraId="214C3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B8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06A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F6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68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提高群众生活质量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2DC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定性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B2E3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有效提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高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D9C5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694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86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7D84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613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525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391696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5C9750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812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7A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居民满意度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9D2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95%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97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95%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938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FD0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818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8280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6C8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EE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C43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945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349AB943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符爱群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2025.4.28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13507304191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4A158846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1"/>
        <w:gridCol w:w="1225"/>
        <w:gridCol w:w="1136"/>
        <w:gridCol w:w="1135"/>
        <w:gridCol w:w="828"/>
        <w:gridCol w:w="873"/>
        <w:gridCol w:w="1421"/>
      </w:tblGrid>
      <w:tr w14:paraId="4CB19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0F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6CBB6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8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路灯专项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DA11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1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2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岳阳市君山区城市管理局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E98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D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岳阳市君山区路灯事务所</w:t>
            </w:r>
          </w:p>
        </w:tc>
      </w:tr>
      <w:tr w14:paraId="3BEE2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C8E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D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C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3C030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9E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69C0A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A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57ED3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C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5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CE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7206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2EF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8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2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281.42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D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282.33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C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282.33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D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9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4002A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9D6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5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7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281.42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5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282.33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7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282.33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4B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41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0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3D7C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743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D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CD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E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9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B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B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7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11C3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82C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C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D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4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F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B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0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5DE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3EA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97B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E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62AB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5C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91B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1.维修维护及时高效；2.全力保障重大节日期间路灯的运行质量；3.加强巡查管理，确保路灯设施安全运行。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F15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保障全年路灯亮化率达到98％</w:t>
            </w:r>
          </w:p>
          <w:p w14:paraId="6FEFB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保障路灯维修达到98％</w:t>
            </w:r>
          </w:p>
        </w:tc>
      </w:tr>
      <w:tr w14:paraId="519F4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8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73D5A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156BC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6B8C4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E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7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9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70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162FC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F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68E8E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A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1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9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12C8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B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045F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2D556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2065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D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321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城区路灯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每周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巡灯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一次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6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52次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9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52次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C42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5E47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37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03E4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4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AFF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E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7835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路灯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维修维护管理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1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5774盏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7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5774盏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B19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C62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B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CE60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7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F94C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E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E44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作业流程规范率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37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C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EF0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C7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0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81C9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6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F4E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A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3C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城区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路灯亮灯率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E3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98%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E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31E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0DC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3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AE0F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7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9C3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E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C53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城区路灯亮灯时长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B4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95%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B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CA4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A0E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A5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电费预算有限，仅保证主城区亮灯时长</w:t>
            </w:r>
          </w:p>
        </w:tc>
      </w:tr>
      <w:tr w14:paraId="71093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5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07A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E45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时效指标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9C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路灯维护及时率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EF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7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651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E8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5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路灯维修面积大，有时维修不及时</w:t>
            </w:r>
          </w:p>
        </w:tc>
      </w:tr>
      <w:tr w14:paraId="359E2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9D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A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157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成本指标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9F3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财政资金支出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D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281.42万元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3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282.33万元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1F5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340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3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预算资金执行不到位，今后加强预算执行</w:t>
            </w:r>
          </w:p>
        </w:tc>
      </w:tr>
      <w:tr w14:paraId="4D486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8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9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33426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2C37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1AC48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A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798B3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05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5B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2B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0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A0EB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5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C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2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7D915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A6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改善市民出行环境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346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定性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1B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C6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568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0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重大节假日美化亮化项目标准有待提升。</w:t>
            </w:r>
          </w:p>
        </w:tc>
      </w:tr>
      <w:tr w14:paraId="4451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9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E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C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18F8C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1F7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美化、亮化城市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0DD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定性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D7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不断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0C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5E5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3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优化生态环境有待提升，后期不断加强。</w:t>
            </w:r>
          </w:p>
        </w:tc>
      </w:tr>
      <w:tr w14:paraId="3F4C4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E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5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2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CBA5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提升群众生活指数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EAA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定性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B3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有效提升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A83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AD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3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5180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C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4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6561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FA65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2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8DD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市民满意度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7B3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98%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F3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0D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01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8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2D17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6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42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D1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A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91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7A367788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6D482166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197D0FFE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符爱群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2025.4.28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13507304191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7699FEC2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3C0CB04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岳阳市君山区路灯事务所</w:t>
      </w:r>
    </w:p>
    <w:p w14:paraId="5AFF4B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6BA447A1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371CAF4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311DFA5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D0D133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045AFD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D01064D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A059EC9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79D9B5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E31580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F3EDCB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BA1F514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0D1FE1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1E8220D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DB0CAC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EAFD5E3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1945FA0B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 w14:paraId="5BEBC456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0C27A5C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年度岳阳市君山区路灯事务所</w:t>
      </w:r>
    </w:p>
    <w:p w14:paraId="6B7AD68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575224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07CF1A7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61E4B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区路灯事务所</w:t>
      </w:r>
      <w:r>
        <w:rPr>
          <w:rFonts w:hint="eastAsia" w:eastAsia="仿宋" w:cs="仿宋"/>
          <w:color w:val="000000"/>
          <w:sz w:val="30"/>
          <w:szCs w:val="30"/>
          <w:lang w:val="en-US" w:eastAsia="zh-CN"/>
        </w:rPr>
        <w:t>隶属区城市管理局独立核算二级机构，主要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负责全区城市照明的统一规划、统一管理</w:t>
      </w:r>
      <w:r>
        <w:rPr>
          <w:rFonts w:hint="eastAsia" w:eastAsia="仿宋" w:cs="仿宋"/>
          <w:color w:val="000000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负责辖区范围内的公共城市照明设施的维护管养工作。</w:t>
      </w:r>
    </w:p>
    <w:p w14:paraId="1E58F13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58E66CC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5640A39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2024年本单位基本支出合计76.24万元，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主要是为保障单位正常运转、完成日常工作任务而发生的各项支出，包括用于基本工资、津贴补贴等人员经费以及办公费、印刷费、水电费、办公设备购置等公用经费。</w:t>
      </w:r>
    </w:p>
    <w:p w14:paraId="18E83545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69784E7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2024年本单位项目支出合计282.33万元，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主要是本单位为完成特定工作任务或事业发展目标而发生的支出，包括路灯</w:t>
      </w:r>
      <w:r>
        <w:rPr>
          <w:rFonts w:hint="eastAsia" w:eastAsia="仿宋_GB2312"/>
          <w:sz w:val="32"/>
          <w:szCs w:val="32"/>
          <w:lang w:eastAsia="zh-CN"/>
        </w:rPr>
        <w:t>运行维护经费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支出；春节路灯亮化、美化项目支出等。</w:t>
      </w:r>
    </w:p>
    <w:p w14:paraId="1927DA5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3DC2287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bookmarkStart w:id="0" w:name="OLE_LINK2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2024年本单位无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政府性基金预算支出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。</w:t>
      </w:r>
      <w:bookmarkEnd w:id="0"/>
    </w:p>
    <w:p w14:paraId="5A0EC09B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3A11AFF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2024年本单位无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国有资本经营预算支出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。</w:t>
      </w:r>
    </w:p>
    <w:p w14:paraId="73737F20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1EEC538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2024年本单位无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社会保险基金预算支出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。</w:t>
      </w:r>
    </w:p>
    <w:p w14:paraId="1FA779B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 w14:paraId="5DE4EA1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2024年路灯事务所主要完成春节亮化氛围营造以及国庆节氛围营造工作；对“六区”考评路灯专业考评组所提出的问题及时整改；完成六届区委第五轮巡察第二巡察组反馈问题整改落实工作以及2024岳阳马拉松赛事用电及照明保障工作。对冰冻灾害受损的路灯设施进行维修以及完成7次中心城区全路段维修，共维修架空线路3010米、维修及更换led路灯702盏，维修更换路灯电源控制设备89个，维修电缆184米。清理城区牛皮癣1900多处；及时处理12345路灯投诉18次，12345牛皮癣投诉1次；辖区内全路段夜间巡灯52次，并建立巡查登记制度。</w:t>
      </w:r>
    </w:p>
    <w:p w14:paraId="062EFFC7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存在的问题及原因分析</w:t>
      </w:r>
    </w:p>
    <w:p w14:paraId="06839610">
      <w:pPr>
        <w:ind w:left="0" w:leftChars="0" w:firstLine="558" w:firstLineChars="186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目前城区路灯管理存在的主要问题是：1、目前城区路灯管理主要存在的问题就是地下管线年久老化比较严重，线路故障频出，修复难度大。2、首批2017年安装的路灯控制系统设备老化，无法达到智能控制的需求，需要进行升级换代。</w:t>
      </w:r>
    </w:p>
    <w:p w14:paraId="62642FD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3BD24F28">
      <w:pPr>
        <w:ind w:left="0" w:leftChars="0" w:firstLine="558" w:firstLineChars="186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1、将已使用</w:t>
      </w:r>
      <w:r>
        <w:rPr>
          <w:rFonts w:hint="eastAsia" w:eastAsia="仿宋" w:cs="仿宋"/>
          <w:color w:val="000000"/>
          <w:kern w:val="0"/>
          <w:sz w:val="30"/>
          <w:szCs w:val="30"/>
          <w:lang w:val="en-US" w:eastAsia="zh-CN" w:bidi="ar-SA"/>
        </w:rPr>
        <w:t>年代较久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未升级的路灯智能控制系统进行升级</w:t>
      </w:r>
      <w:r>
        <w:rPr>
          <w:rFonts w:hint="eastAsia" w:eastAsia="仿宋" w:cs="仿宋"/>
          <w:color w:val="000000"/>
          <w:kern w:val="0"/>
          <w:sz w:val="30"/>
          <w:szCs w:val="30"/>
          <w:lang w:val="en-US" w:eastAsia="zh-CN" w:bidi="ar-SA"/>
        </w:rPr>
        <w:t>改造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。</w:t>
      </w:r>
    </w:p>
    <w:p w14:paraId="4D7018CB">
      <w:pPr>
        <w:ind w:left="0" w:leftChars="0" w:firstLine="558" w:firstLineChars="186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2、逐步将超过安全使用年限（5年）的路灯专用变压器进行检修。</w:t>
      </w:r>
    </w:p>
    <w:p w14:paraId="0DAFA58B">
      <w:pPr>
        <w:ind w:left="0" w:leftChars="0" w:firstLine="558" w:firstLineChars="186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eastAsia="仿宋" w:cs="仿宋"/>
          <w:color w:val="000000"/>
          <w:kern w:val="0"/>
          <w:sz w:val="30"/>
          <w:szCs w:val="30"/>
          <w:lang w:val="en-US" w:eastAsia="zh-CN" w:bidi="ar-SA"/>
        </w:rPr>
        <w:t>3、</w:t>
      </w:r>
      <w:r>
        <w:rPr>
          <w:rFonts w:hint="eastAsia" w:eastAsia="仿宋" w:cs="仿宋"/>
          <w:color w:val="000000"/>
          <w:kern w:val="0"/>
          <w:sz w:val="30"/>
          <w:szCs w:val="30"/>
          <w:highlight w:val="none"/>
          <w:lang w:val="en-US" w:eastAsia="zh-CN" w:bidi="ar-SA"/>
        </w:rPr>
        <w:t>不断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-SA"/>
        </w:rPr>
        <w:t>提高绩效评价意识和管理水平。在以后年度编制绩效指标时应根据绩效目标、并结合项目特点编制完整、明确的绩效指标。逐步建立管理规范，运行有序的管理机制。</w:t>
      </w:r>
    </w:p>
    <w:p w14:paraId="17DE454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 w14:paraId="5A3C62EB">
      <w:pPr>
        <w:ind w:left="0" w:leftChars="0" w:firstLine="558" w:firstLineChars="186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1" w:name="OLE_LINK34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该项目决策科学，依据充分，项目管理较为规范，项目完成效果好，实施后达到了预期目的，满足了群众的实际需求。经过对202</w:t>
      </w:r>
      <w:r>
        <w:rPr>
          <w:rFonts w:hint="eastAsia" w:eastAsia="仿宋" w:cs="仿宋"/>
          <w:color w:val="000000"/>
          <w:kern w:val="0"/>
          <w:sz w:val="30"/>
          <w:szCs w:val="30"/>
          <w:lang w:val="en-US" w:eastAsia="zh-CN" w:bidi="ar-SA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年度灯运行维护经费项目在决策、管理、绩效等方面的综合评价，根据本次评价指标体系测算，总得分为</w:t>
      </w:r>
      <w:r>
        <w:rPr>
          <w:rFonts w:hint="eastAsia" w:eastAsia="仿宋" w:cs="仿宋"/>
          <w:color w:val="000000"/>
          <w:kern w:val="0"/>
          <w:sz w:val="30"/>
          <w:szCs w:val="30"/>
          <w:highlight w:val="none"/>
          <w:lang w:val="en-US" w:eastAsia="zh-CN" w:bidi="ar-SA"/>
        </w:rPr>
        <w:t>92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-SA"/>
        </w:rPr>
        <w:t>分，评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价等次为“优秀”。</w:t>
      </w:r>
    </w:p>
    <w:bookmarkEnd w:id="1"/>
    <w:p w14:paraId="5F115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15B73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无。</w:t>
      </w:r>
    </w:p>
    <w:p w14:paraId="43487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1BB74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457B6D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0F302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6B16BD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 w14:paraId="431BA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 w14:paraId="1F3C3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 w14:paraId="792BD9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7A7D55F3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3"/>
        <w:tblW w:w="99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78"/>
        <w:gridCol w:w="5019"/>
        <w:gridCol w:w="3033"/>
      </w:tblGrid>
      <w:tr w14:paraId="026A4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7BF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5E4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75E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85F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69D70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ABE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341A5FB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23360007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FA3163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633FBC9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E5DC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73330A1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63A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07103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FC6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02A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7F25EAC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AA8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34E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49918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305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1100F34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500C0C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98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5987CCA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804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985AC"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61ACD521"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29AB3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AD2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D54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1D96926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3BF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7D676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A85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076C0DE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75CAEFF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467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73A9CED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131A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443946B7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4F265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71F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0B56E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2129BD1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59E0E25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23BB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4C3E9C62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11243D83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70D85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54C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7CB2E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7E347AE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7096263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5A17D59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558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689D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377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450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62B2E44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5983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142DF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86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79F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046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6B2BC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6F9279-7724-44BA-BBD4-218FC1865D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3B9563-F4E7-4333-95AC-3D89475B50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1076742-76DE-44C4-AD54-855B5CBC37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B0D1139-C538-4B99-822E-DD9E3F918280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158FF7FF-C35A-47DA-B0FA-4C1F9265663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630F1242-03A1-44FD-B4D0-BB8B3140AE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85F0E"/>
    <w:multiLevelType w:val="singleLevel"/>
    <w:tmpl w:val="9DE85F0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7CC111"/>
    <w:multiLevelType w:val="singleLevel"/>
    <w:tmpl w:val="007CC11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EAAD6C1"/>
    <w:multiLevelType w:val="singleLevel"/>
    <w:tmpl w:val="0EAAD6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OTFhYzcwNGE2NDE2OTk5NzJmOWVkNDIxNzIxZTIifQ=="/>
  </w:docVars>
  <w:rsids>
    <w:rsidRoot w:val="59886344"/>
    <w:rsid w:val="0009075B"/>
    <w:rsid w:val="059D2BFD"/>
    <w:rsid w:val="071E0371"/>
    <w:rsid w:val="07A07BF6"/>
    <w:rsid w:val="08AB6853"/>
    <w:rsid w:val="093C56FD"/>
    <w:rsid w:val="0A345CBC"/>
    <w:rsid w:val="0B293ED8"/>
    <w:rsid w:val="0C7F42A9"/>
    <w:rsid w:val="0E5A23FB"/>
    <w:rsid w:val="0ED14B39"/>
    <w:rsid w:val="0EEE0525"/>
    <w:rsid w:val="0F7F70DC"/>
    <w:rsid w:val="121D340B"/>
    <w:rsid w:val="13AB6E65"/>
    <w:rsid w:val="145E4837"/>
    <w:rsid w:val="173363A9"/>
    <w:rsid w:val="17F72186"/>
    <w:rsid w:val="1937410E"/>
    <w:rsid w:val="1A862C7C"/>
    <w:rsid w:val="1A9058A9"/>
    <w:rsid w:val="1D646B79"/>
    <w:rsid w:val="20D52267"/>
    <w:rsid w:val="22325497"/>
    <w:rsid w:val="2273658F"/>
    <w:rsid w:val="27F86521"/>
    <w:rsid w:val="2818512F"/>
    <w:rsid w:val="2BA51DE4"/>
    <w:rsid w:val="2F6FB257"/>
    <w:rsid w:val="30A47560"/>
    <w:rsid w:val="3159290B"/>
    <w:rsid w:val="315F3FCE"/>
    <w:rsid w:val="32D11119"/>
    <w:rsid w:val="330D3AE3"/>
    <w:rsid w:val="33FFBE2A"/>
    <w:rsid w:val="34637732"/>
    <w:rsid w:val="358677E9"/>
    <w:rsid w:val="36722213"/>
    <w:rsid w:val="3BFB1E49"/>
    <w:rsid w:val="3E3208A1"/>
    <w:rsid w:val="3F4FB0A1"/>
    <w:rsid w:val="3F8F0D71"/>
    <w:rsid w:val="3FF9F499"/>
    <w:rsid w:val="4AC9433B"/>
    <w:rsid w:val="4C9149E5"/>
    <w:rsid w:val="4C942727"/>
    <w:rsid w:val="4D5819A6"/>
    <w:rsid w:val="4EFECE83"/>
    <w:rsid w:val="50FA7915"/>
    <w:rsid w:val="51F25E67"/>
    <w:rsid w:val="52642B9B"/>
    <w:rsid w:val="55E95892"/>
    <w:rsid w:val="56705FB3"/>
    <w:rsid w:val="57760143"/>
    <w:rsid w:val="57980FBE"/>
    <w:rsid w:val="57E722A5"/>
    <w:rsid w:val="59793D78"/>
    <w:rsid w:val="59886344"/>
    <w:rsid w:val="59C867CF"/>
    <w:rsid w:val="5A8738CB"/>
    <w:rsid w:val="5BC63799"/>
    <w:rsid w:val="64155AA4"/>
    <w:rsid w:val="675D7E8D"/>
    <w:rsid w:val="6861368C"/>
    <w:rsid w:val="689A2A1B"/>
    <w:rsid w:val="6C2216A6"/>
    <w:rsid w:val="6F63000B"/>
    <w:rsid w:val="6F7963E8"/>
    <w:rsid w:val="718524BB"/>
    <w:rsid w:val="72575D91"/>
    <w:rsid w:val="73EED203"/>
    <w:rsid w:val="74A7710B"/>
    <w:rsid w:val="74B82BA7"/>
    <w:rsid w:val="76A4001E"/>
    <w:rsid w:val="774C8B3D"/>
    <w:rsid w:val="77EF572D"/>
    <w:rsid w:val="77F37940"/>
    <w:rsid w:val="77F6871E"/>
    <w:rsid w:val="77FFCF44"/>
    <w:rsid w:val="782C432F"/>
    <w:rsid w:val="78A74F3B"/>
    <w:rsid w:val="79FA85E1"/>
    <w:rsid w:val="7AFD1F09"/>
    <w:rsid w:val="7B310FBD"/>
    <w:rsid w:val="7B611FD9"/>
    <w:rsid w:val="7C330D65"/>
    <w:rsid w:val="7DBD4146"/>
    <w:rsid w:val="7E378C4E"/>
    <w:rsid w:val="7EC32874"/>
    <w:rsid w:val="7EEA09BC"/>
    <w:rsid w:val="7FADB5C4"/>
    <w:rsid w:val="7FCF7BF6"/>
    <w:rsid w:val="7FDF74BF"/>
    <w:rsid w:val="7FE39AEA"/>
    <w:rsid w:val="7FECC98B"/>
    <w:rsid w:val="7FED4A61"/>
    <w:rsid w:val="7FF8EE02"/>
    <w:rsid w:val="7FFF53D6"/>
    <w:rsid w:val="7FFF77E0"/>
    <w:rsid w:val="93F3CC2F"/>
    <w:rsid w:val="9ED05782"/>
    <w:rsid w:val="ABF6CBED"/>
    <w:rsid w:val="B45D49D0"/>
    <w:rsid w:val="B4BDDF52"/>
    <w:rsid w:val="B6EF9F2A"/>
    <w:rsid w:val="BBFE4677"/>
    <w:rsid w:val="BF784A7D"/>
    <w:rsid w:val="BFEBAD2B"/>
    <w:rsid w:val="BFFEA692"/>
    <w:rsid w:val="D7877D22"/>
    <w:rsid w:val="DAEEB28F"/>
    <w:rsid w:val="DEEE4469"/>
    <w:rsid w:val="DFEF884A"/>
    <w:rsid w:val="E4FF7D14"/>
    <w:rsid w:val="E7FA070E"/>
    <w:rsid w:val="EFFA68A8"/>
    <w:rsid w:val="F3DBB7FE"/>
    <w:rsid w:val="F97F68A4"/>
    <w:rsid w:val="F9F39534"/>
    <w:rsid w:val="FBF71DA7"/>
    <w:rsid w:val="FBF7560C"/>
    <w:rsid w:val="FBFDCA9D"/>
    <w:rsid w:val="FBFDDF15"/>
    <w:rsid w:val="FDF6743C"/>
    <w:rsid w:val="FDFF413D"/>
    <w:rsid w:val="FE5C1B80"/>
    <w:rsid w:val="FEFF6247"/>
    <w:rsid w:val="FF6AD8F0"/>
    <w:rsid w:val="FFBB5C5A"/>
    <w:rsid w:val="FFCB14DF"/>
    <w:rsid w:val="FFE380E7"/>
    <w:rsid w:val="FFED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445</Words>
  <Characters>554</Characters>
  <Lines>0</Lines>
  <Paragraphs>0</Paragraphs>
  <TotalTime>1</TotalTime>
  <ScaleCrop>false</ScaleCrop>
  <LinksUpToDate>false</LinksUpToDate>
  <CharactersWithSpaces>669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2024-03-19T08:36:00Z</dcterms:created>
  <dc:creator>Administrator</dc:creator>
  <cp:lastModifiedBy>岳阳市君山区城市管理和综合执法局</cp:lastModifiedBy>
  <cp:lastPrinted>2025-05-08T07:24:06Z</cp:lastPrinted>
  <dcterms:modified xsi:type="dcterms:W3CDTF">2025-05-08T07:51:36Z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6182D3A10D564617983F46DEE354AEAF</vt:lpwstr>
  </property>
  <property fmtid="{D5CDD505-2E9C-101B-9397-08002B2CF9AE}" pid="4" name="KSOTemplateDocerSaveRecord">
    <vt:lpwstr>eyJoZGlkIjoiOGRkZGJhYTY3MTAyYTY1MTk1MTg5OWM1MjcwNzU3NTkiLCJ1c2VySWQiOiIxNjQ1NTk2NzA3In0=</vt:lpwstr>
  </property>
</Properties>
</file>