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bookmarkStart w:id="3" w:name="_GoBack"/>
      <w:bookmarkEnd w:id="3"/>
      <w:r>
        <w:rPr>
          <w:rFonts w:hint="eastAsia" w:ascii="仿宋_GB2312" w:hAnsi="仿宋_GB2312" w:eastAsia="仿宋_GB2312" w:cs="仿宋_GB2312"/>
          <w:b w:val="0"/>
          <w:spacing w:val="0"/>
          <w:sz w:val="32"/>
          <w:szCs w:val="32"/>
          <w:highlight w:val="none"/>
          <w:lang w:val="en-US" w:eastAsia="zh-CN"/>
        </w:rPr>
        <w:t xml:space="preserve"> </w:t>
      </w:r>
      <w:r>
        <w:rPr>
          <w:rFonts w:hint="eastAsia" w:ascii="仿宋_GB2312" w:hAnsi="仿宋_GB2312" w:eastAsia="仿宋_GB2312" w:cs="仿宋_GB2312"/>
          <w:spacing w:val="0"/>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202</w:t>
      </w:r>
      <w:r>
        <w:rPr>
          <w:rFonts w:hint="default" w:ascii="仿宋_GB2312" w:hAnsi="仿宋_GB2312" w:eastAsia="仿宋_GB2312" w:cs="仿宋_GB2312"/>
          <w:sz w:val="32"/>
          <w:szCs w:val="32"/>
          <w:highlight w:val="none"/>
          <w:lang w:val="en"/>
        </w:rPr>
        <w:t>4</w:t>
      </w:r>
      <w:r>
        <w:rPr>
          <w:rFonts w:hint="eastAsia" w:ascii="仿宋_GB2312" w:hAnsi="仿宋_GB2312" w:eastAsia="仿宋_GB2312" w:cs="仿宋_GB2312"/>
          <w:sz w:val="32"/>
          <w:szCs w:val="32"/>
          <w:highlight w:val="none"/>
        </w:rPr>
        <w:t xml:space="preserve">年度部门整体支出绩效评价基础数据表 </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202</w:t>
      </w:r>
      <w:r>
        <w:rPr>
          <w:rFonts w:hint="default" w:ascii="仿宋_GB2312" w:hAnsi="仿宋_GB2312" w:eastAsia="仿宋_GB2312" w:cs="仿宋_GB2312"/>
          <w:sz w:val="32"/>
          <w:szCs w:val="32"/>
          <w:highlight w:val="none"/>
          <w:lang w:val="en"/>
        </w:rPr>
        <w:t>4</w:t>
      </w:r>
      <w:r>
        <w:rPr>
          <w:rFonts w:hint="eastAsia" w:ascii="仿宋_GB2312" w:hAnsi="仿宋_GB2312" w:eastAsia="仿宋_GB2312" w:cs="仿宋_GB2312"/>
          <w:sz w:val="32"/>
          <w:szCs w:val="32"/>
          <w:highlight w:val="none"/>
        </w:rPr>
        <w:t>年度部门整体支出绩效自评表</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202</w:t>
      </w:r>
      <w:r>
        <w:rPr>
          <w:rFonts w:hint="default" w:ascii="仿宋_GB2312" w:hAnsi="仿宋_GB2312" w:eastAsia="仿宋_GB2312" w:cs="仿宋_GB2312"/>
          <w:sz w:val="32"/>
          <w:szCs w:val="32"/>
          <w:highlight w:val="none"/>
          <w:lang w:val="en"/>
        </w:rPr>
        <w:t>4</w:t>
      </w:r>
      <w:r>
        <w:rPr>
          <w:rFonts w:hint="eastAsia" w:ascii="仿宋_GB2312" w:hAnsi="仿宋_GB2312" w:eastAsia="仿宋_GB2312" w:cs="仿宋_GB2312"/>
          <w:sz w:val="32"/>
          <w:szCs w:val="32"/>
          <w:highlight w:val="none"/>
        </w:rPr>
        <w:t>年度项目支出绩效自评表</w:t>
      </w:r>
    </w:p>
    <w:p>
      <w:pPr>
        <w:keepNext w:val="0"/>
        <w:keepLines w:val="0"/>
        <w:pageBreakBefore w:val="0"/>
        <w:widowControl w:val="0"/>
        <w:kinsoku/>
        <w:wordWrap/>
        <w:overflowPunct/>
        <w:topLinePunct w:val="0"/>
        <w:autoSpaceDE/>
        <w:autoSpaceDN/>
        <w:bidi w:val="0"/>
        <w:adjustRightInd/>
        <w:snapToGrid/>
        <w:spacing w:afterLines="0" w:line="360" w:lineRule="auto"/>
        <w:ind w:left="1596" w:leftChars="570" w:firstLine="0" w:firstLine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202</w:t>
      </w:r>
      <w:r>
        <w:rPr>
          <w:rFonts w:hint="default" w:ascii="仿宋_GB2312" w:hAnsi="仿宋_GB2312" w:eastAsia="仿宋_GB2312" w:cs="仿宋_GB2312"/>
          <w:sz w:val="32"/>
          <w:szCs w:val="32"/>
          <w:highlight w:val="none"/>
          <w:lang w:val="en"/>
        </w:rPr>
        <w:t>4</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市</w:t>
      </w:r>
      <w:r>
        <w:rPr>
          <w:rFonts w:hint="eastAsia" w:ascii="仿宋_GB2312" w:hAnsi="仿宋_GB2312" w:eastAsia="仿宋_GB2312" w:cs="仿宋_GB2312"/>
          <w:sz w:val="32"/>
          <w:szCs w:val="32"/>
          <w:highlight w:val="none"/>
        </w:rPr>
        <w:t xml:space="preserve">直预算部门整体支出绩效自评报告 （统一参考格式）   </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部门整体支出绩效自评工作考核评分表</w:t>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default" w:ascii="方正小标宋简体" w:hAnsi="方正小标宋简体" w:eastAsia="方正小标宋简体" w:cs="方正小标宋简体"/>
          <w:sz w:val="36"/>
          <w:szCs w:val="36"/>
          <w:highlight w:val="none"/>
          <w:lang w:val="en"/>
        </w:rPr>
        <w:t>4</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8"/>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default" w:ascii="仿宋_GB2312" w:hAnsi="仿宋_GB2312" w:eastAsia="仿宋_GB2312" w:cs="仿宋_GB2312"/>
                <w:b/>
                <w:bCs/>
                <w:sz w:val="20"/>
                <w:szCs w:val="20"/>
                <w:highlight w:val="none"/>
                <w:lang w:val="en"/>
              </w:rPr>
              <w:t>4</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37</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32</w:t>
            </w:r>
          </w:p>
        </w:tc>
        <w:tc>
          <w:tcPr>
            <w:tcW w:w="204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86.49%</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default" w:ascii="仿宋_GB2312" w:hAnsi="仿宋_GB2312" w:eastAsia="仿宋_GB2312" w:cs="仿宋_GB2312"/>
                <w:b/>
                <w:bCs/>
                <w:sz w:val="20"/>
                <w:szCs w:val="20"/>
                <w:highlight w:val="none"/>
                <w:lang w:val="en"/>
              </w:rPr>
              <w:t>3</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default" w:ascii="仿宋_GB2312" w:hAnsi="仿宋_GB2312" w:eastAsia="仿宋_GB2312" w:cs="仿宋_GB2312"/>
                <w:b/>
                <w:bCs/>
                <w:sz w:val="20"/>
                <w:szCs w:val="20"/>
                <w:highlight w:val="none"/>
                <w:lang w:val="en"/>
              </w:rPr>
              <w:t>4</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default" w:ascii="仿宋_GB2312" w:hAnsi="仿宋_GB2312" w:eastAsia="仿宋_GB2312" w:cs="仿宋_GB2312"/>
                <w:b/>
                <w:bCs/>
                <w:sz w:val="20"/>
                <w:szCs w:val="20"/>
                <w:highlight w:val="none"/>
                <w:lang w:val="en"/>
              </w:rPr>
              <w:t>4</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0.18</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0.18</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2674.43</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8227.4</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2478.79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197.2</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188</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187.58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2、</w:t>
            </w:r>
            <w:r>
              <w:rPr>
                <w:rFonts w:hint="eastAsia" w:ascii="仿宋_GB2312" w:hAnsi="仿宋_GB2312" w:eastAsia="仿宋_GB2312" w:cs="仿宋_GB2312"/>
                <w:sz w:val="20"/>
                <w:szCs w:val="20"/>
                <w:highlight w:val="none"/>
                <w:lang w:val="en-US" w:eastAsia="zh-CN"/>
              </w:rPr>
              <w:t>城区污水厂存量资产维护及污泥运输处置费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570.72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559.4</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332.56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3、帮代办服务费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19.47</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19.65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4、施工图审费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33.09</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58</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51.82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bookmarkStart w:id="0" w:name="OLE_LINK1"/>
            <w:r>
              <w:rPr>
                <w:rFonts w:hint="eastAsia" w:ascii="仿宋_GB2312" w:hAnsi="仿宋_GB2312" w:eastAsia="仿宋_GB2312" w:cs="仿宋_GB2312"/>
                <w:sz w:val="20"/>
                <w:szCs w:val="20"/>
                <w:highlight w:val="none"/>
                <w:lang w:val="en-US" w:eastAsia="zh-CN"/>
              </w:rPr>
              <w:t>污水PPP项目财政可行性缺口补助</w:t>
            </w:r>
            <w:bookmarkEnd w:id="0"/>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1853.95</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5214</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1887.18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val="en-US" w:eastAsia="zh-CN"/>
              </w:rPr>
              <w:t>自来水PPP项目财政可行性缺口补助</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1916</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335.41</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46.13</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663.33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7.32</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31.57</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42.05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12.16</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15.87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0.54</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827.4</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2253.35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90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18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numPr>
                <w:ilvl w:val="0"/>
                <w:numId w:val="1"/>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严控办公经费：推行无纸化办公，减少纸质文件的使用；充分利用自然采光，及时关闭办公设备电源，合理设置空调温度，节约办公用水。</w:t>
            </w:r>
          </w:p>
          <w:p>
            <w:pPr>
              <w:keepNext w:val="0"/>
              <w:keepLines w:val="0"/>
              <w:pageBreakBefore w:val="0"/>
              <w:widowControl/>
              <w:numPr>
                <w:ilvl w:val="0"/>
                <w:numId w:val="1"/>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严控“三公”经费：原则上不安排因公出国管理，严禁同城接待，公务接待优先选择单位食堂作为接待场所，减少不必要的公务接待费用。</w:t>
            </w: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default" w:ascii="方正小标宋简体" w:hAnsi="方正小标宋简体" w:eastAsia="方正小标宋简体" w:cs="方正小标宋简体"/>
          <w:color w:val="000000"/>
          <w:sz w:val="36"/>
          <w:szCs w:val="36"/>
          <w:highlight w:val="none"/>
          <w:lang w:val="en"/>
        </w:rPr>
        <w:t>4</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8"/>
        <w:tblW w:w="10079" w:type="dxa"/>
        <w:jc w:val="center"/>
        <w:tblLayout w:type="fixed"/>
        <w:tblCellMar>
          <w:top w:w="0" w:type="dxa"/>
          <w:left w:w="108" w:type="dxa"/>
          <w:bottom w:w="0" w:type="dxa"/>
          <w:right w:w="108" w:type="dxa"/>
        </w:tblCellMar>
      </w:tblPr>
      <w:tblGrid>
        <w:gridCol w:w="939"/>
        <w:gridCol w:w="939"/>
        <w:gridCol w:w="847"/>
        <w:gridCol w:w="1363"/>
        <w:gridCol w:w="1455"/>
        <w:gridCol w:w="1830"/>
        <w:gridCol w:w="655"/>
        <w:gridCol w:w="650"/>
        <w:gridCol w:w="1401"/>
      </w:tblGrid>
      <w:tr>
        <w:tblPrEx>
          <w:tblCellMar>
            <w:top w:w="0" w:type="dxa"/>
            <w:left w:w="108" w:type="dxa"/>
            <w:bottom w:w="0" w:type="dxa"/>
            <w:right w:w="108" w:type="dxa"/>
          </w:tblCellMar>
        </w:tblPrEx>
        <w:trPr>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9140"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岳阳市君山区住房和城乡建设局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1786"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36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45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83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65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65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0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939"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786"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363" w:type="dxa"/>
            <w:tcBorders>
              <w:top w:val="nil"/>
              <w:left w:val="nil"/>
              <w:bottom w:val="single" w:color="auto" w:sz="4" w:space="0"/>
              <w:right w:val="single" w:color="auto" w:sz="4" w:space="0"/>
            </w:tcBorders>
            <w:shd w:val="clear" w:color="auto" w:fill="FFFFFF"/>
            <w:noWrap w:val="0"/>
            <w:vAlign w:val="center"/>
          </w:tcPr>
          <w:p>
            <w:pPr>
              <w:spacing w:line="240" w:lineRule="exact"/>
              <w:jc w:val="center"/>
              <w:rPr>
                <w:rFonts w:hint="default" w:ascii="仿宋_GB2312" w:hAnsi="仿宋_GB2312" w:eastAsia="仿宋_GB2312" w:cs="仿宋_GB2312"/>
                <w:color w:val="000000"/>
                <w:sz w:val="20"/>
                <w:szCs w:val="20"/>
                <w:highlight w:val="none"/>
                <w:lang w:val="en-US" w:eastAsia="zh-CN"/>
              </w:rPr>
            </w:pPr>
            <w:bookmarkStart w:id="1" w:name="OLE_LINK2"/>
            <w:r>
              <w:rPr>
                <w:rFonts w:hint="eastAsia" w:ascii="仿宋_GB2312" w:hAnsi="仿宋_GB2312" w:eastAsia="仿宋_GB2312" w:cs="仿宋_GB2312"/>
                <w:color w:val="000000"/>
                <w:sz w:val="20"/>
                <w:szCs w:val="20"/>
                <w:highlight w:val="none"/>
                <w:lang w:val="en-US" w:eastAsia="zh-CN"/>
              </w:rPr>
              <w:t>8471.27</w:t>
            </w:r>
            <w:bookmarkEnd w:id="1"/>
          </w:p>
        </w:tc>
        <w:tc>
          <w:tcPr>
            <w:tcW w:w="1455" w:type="dxa"/>
            <w:tcBorders>
              <w:top w:val="nil"/>
              <w:left w:val="nil"/>
              <w:bottom w:val="single" w:color="auto" w:sz="4" w:space="0"/>
              <w:right w:val="single" w:color="auto" w:sz="4" w:space="0"/>
            </w:tcBorders>
            <w:shd w:val="clear" w:color="auto" w:fill="FFFFFF"/>
            <w:noWrap w:val="0"/>
            <w:vAlign w:val="center"/>
          </w:tcPr>
          <w:p>
            <w:pPr>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10638.81</w:t>
            </w:r>
          </w:p>
        </w:tc>
        <w:tc>
          <w:tcPr>
            <w:tcW w:w="1830" w:type="dxa"/>
            <w:tcBorders>
              <w:top w:val="nil"/>
              <w:left w:val="nil"/>
              <w:bottom w:val="single" w:color="auto" w:sz="4" w:space="0"/>
              <w:right w:val="single" w:color="auto" w:sz="4" w:space="0"/>
            </w:tcBorders>
            <w:shd w:val="clear" w:color="auto" w:fill="FFFFFF"/>
            <w:noWrap w:val="0"/>
            <w:vAlign w:val="center"/>
          </w:tcPr>
          <w:p>
            <w:pPr>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10596.62</w:t>
            </w:r>
          </w:p>
        </w:tc>
        <w:tc>
          <w:tcPr>
            <w:tcW w:w="65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65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99.6%</w:t>
            </w:r>
          </w:p>
        </w:tc>
        <w:tc>
          <w:tcPr>
            <w:tcW w:w="140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9.96</w:t>
            </w:r>
          </w:p>
        </w:tc>
      </w:tr>
      <w:tr>
        <w:tblPrEx>
          <w:tblCellMar>
            <w:top w:w="0" w:type="dxa"/>
            <w:left w:w="108" w:type="dxa"/>
            <w:bottom w:w="0" w:type="dxa"/>
            <w:right w:w="108" w:type="dxa"/>
          </w:tblCellMar>
        </w:tblPrEx>
        <w:trPr>
          <w:jc w:val="center"/>
        </w:trPr>
        <w:tc>
          <w:tcPr>
            <w:tcW w:w="939"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53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939"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891.27</w:t>
            </w:r>
          </w:p>
        </w:tc>
        <w:tc>
          <w:tcPr>
            <w:tcW w:w="453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1209.52</w:t>
            </w:r>
          </w:p>
        </w:tc>
      </w:tr>
      <w:tr>
        <w:tblPrEx>
          <w:tblCellMar>
            <w:top w:w="0" w:type="dxa"/>
            <w:left w:w="108" w:type="dxa"/>
            <w:bottom w:w="0" w:type="dxa"/>
            <w:right w:w="108" w:type="dxa"/>
          </w:tblCellMar>
        </w:tblPrEx>
        <w:trPr>
          <w:jc w:val="center"/>
        </w:trPr>
        <w:tc>
          <w:tcPr>
            <w:tcW w:w="939"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04"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7580</w:t>
            </w:r>
          </w:p>
        </w:tc>
        <w:tc>
          <w:tcPr>
            <w:tcW w:w="4536"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9387.11</w:t>
            </w:r>
          </w:p>
        </w:tc>
      </w:tr>
      <w:tr>
        <w:tblPrEx>
          <w:tblCellMar>
            <w:top w:w="0" w:type="dxa"/>
            <w:left w:w="108" w:type="dxa"/>
            <w:bottom w:w="0" w:type="dxa"/>
            <w:right w:w="108" w:type="dxa"/>
          </w:tblCellMar>
        </w:tblPrEx>
        <w:trPr>
          <w:jc w:val="center"/>
        </w:trPr>
        <w:tc>
          <w:tcPr>
            <w:tcW w:w="939"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纳入专户管理的非税收入拨款：</w:t>
            </w:r>
            <w:r>
              <w:rPr>
                <w:rFonts w:hint="eastAsia" w:ascii="仿宋_GB2312" w:hAnsi="仿宋_GB2312" w:eastAsia="仿宋_GB2312" w:cs="仿宋_GB2312"/>
                <w:color w:val="000000"/>
                <w:sz w:val="20"/>
                <w:szCs w:val="20"/>
                <w:highlight w:val="none"/>
                <w:lang w:val="en-US" w:eastAsia="zh-CN"/>
              </w:rPr>
              <w:t>0</w:t>
            </w:r>
          </w:p>
        </w:tc>
        <w:tc>
          <w:tcPr>
            <w:tcW w:w="453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939"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04"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0</w:t>
            </w:r>
          </w:p>
        </w:tc>
        <w:tc>
          <w:tcPr>
            <w:tcW w:w="453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939"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04"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53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939"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04"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任务1：加大项目建设力度。</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任务2：持续推进居民自建房安全专项整治工作。</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任务3：加快推进老旧小区改造。</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任务4：加快推进雨污分流建设。</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任务5：进一步加强市场监管。简政放权，强化事中事后监管，加强大数据的运用，及时发现违法行为，做好线索移交工作。</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任务6：强力推进建筑市场管理。</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任务7：住房保障和房地产市场维稳维保。</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任务8：加强全区建筑质量安全管理。</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任务9：全面深化环保整治专项工作。　　</w:t>
            </w:r>
          </w:p>
        </w:tc>
        <w:tc>
          <w:tcPr>
            <w:tcW w:w="453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今年以来，在区委区政府的坚强领导下，住建局紧紧围绕中心工作，以提升城市品质、保障民生需求、促进经济发展为目标，扎实推进各项工作，取得了显著成效。积极处理信访系统、12345热线、市长信箱等信访案件，共计600余件，严格落实住建领域行业管理，向区城管局、消防救援大队移交共计12条违法线索，全力推动建筑业的平稳发展。</w:t>
            </w:r>
          </w:p>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（一）全力推进项目建设。</w:t>
            </w:r>
          </w:p>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（二）全面深化环保整治专项工作。</w:t>
            </w:r>
          </w:p>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（三）强力推进招商引资工作。</w:t>
            </w:r>
          </w:p>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（四）全力推进争资争项工作。</w:t>
            </w:r>
          </w:p>
          <w:p>
            <w:pPr>
              <w:widowControl/>
              <w:spacing w:line="240" w:lineRule="exact"/>
              <w:jc w:val="both"/>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 w:eastAsia="zh-CN"/>
              </w:rPr>
              <w:t>（五）</w:t>
            </w:r>
            <w:r>
              <w:rPr>
                <w:rFonts w:hint="eastAsia" w:ascii="仿宋_GB2312" w:hAnsi="仿宋_GB2312" w:eastAsia="仿宋_GB2312" w:cs="仿宋_GB2312"/>
                <w:color w:val="000000"/>
                <w:sz w:val="20"/>
                <w:szCs w:val="20"/>
                <w:highlight w:val="none"/>
                <w:lang w:val="en-US" w:eastAsia="zh-CN"/>
              </w:rPr>
              <w:t>持续平稳调控房地产市场。</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（六）扎实做好团湖垸灾后重建工作</w:t>
            </w:r>
            <w:r>
              <w:rPr>
                <w:rFonts w:hint="eastAsia" w:ascii="仿宋_GB2312" w:hAnsi="仿宋_GB2312" w:eastAsia="仿宋_GB2312" w:cs="仿宋_GB2312"/>
                <w:color w:val="000000"/>
                <w:sz w:val="20"/>
                <w:szCs w:val="20"/>
                <w:highlight w:val="none"/>
                <w:lang w:val="en" w:eastAsia="zh-CN"/>
              </w:rPr>
              <w:t>。</w:t>
            </w:r>
          </w:p>
        </w:tc>
      </w:tr>
      <w:tr>
        <w:tblPrEx>
          <w:tblCellMar>
            <w:top w:w="0" w:type="dxa"/>
            <w:left w:w="108" w:type="dxa"/>
            <w:bottom w:w="0" w:type="dxa"/>
            <w:right w:w="108" w:type="dxa"/>
          </w:tblCellMar>
        </w:tblPrEx>
        <w:trPr>
          <w:jc w:val="center"/>
        </w:trPr>
        <w:tc>
          <w:tcPr>
            <w:tcW w:w="93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84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36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830"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847"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36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老旧小区改造</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5个</w:t>
            </w:r>
          </w:p>
        </w:tc>
        <w:tc>
          <w:tcPr>
            <w:tcW w:w="183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0个</w:t>
            </w:r>
          </w:p>
        </w:tc>
        <w:tc>
          <w:tcPr>
            <w:tcW w:w="65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5</w:t>
            </w:r>
          </w:p>
        </w:tc>
        <w:tc>
          <w:tcPr>
            <w:tcW w:w="6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40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由于前期工程量大，项目多，前期居民意向摸底时间较长。且</w:t>
            </w:r>
            <w:r>
              <w:rPr>
                <w:rFonts w:hint="eastAsia" w:ascii="仿宋_GB2312" w:hAnsi="仿宋_GB2312" w:eastAsia="仿宋_GB2312" w:cs="仿宋_GB2312"/>
                <w:color w:val="000000"/>
                <w:sz w:val="20"/>
                <w:szCs w:val="20"/>
                <w:highlight w:val="none"/>
                <w:lang w:val="en-US" w:eastAsia="zh-CN"/>
              </w:rPr>
              <w:t>24年6月到9月期间参与防汛抗洪，故手续办理相对滞后。后续会加快项目推进，早日完成老旧小区改造任务</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城镇生活污水年处理量</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500万吨</w:t>
            </w:r>
          </w:p>
        </w:tc>
        <w:tc>
          <w:tcPr>
            <w:tcW w:w="183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769.66万吨</w:t>
            </w:r>
          </w:p>
        </w:tc>
        <w:tc>
          <w:tcPr>
            <w:tcW w:w="65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0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城乡污水管网建设</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2公里</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15.558公里</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施工图审项目</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13个</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23个</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5</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5</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36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施工图审合格率</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100%</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老旧小区改造事故率</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eastAsia="zh-CN"/>
              </w:rPr>
              <w:t>0</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污水处理达标率</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100%</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eastAsia="zh-CN"/>
              </w:rPr>
              <w:t>100%</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36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施工图审及时率</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100%</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污水处理及时率</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100%</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110" w:hRule="atLeast"/>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财政资金支出</w:t>
            </w:r>
          </w:p>
        </w:tc>
        <w:tc>
          <w:tcPr>
            <w:tcW w:w="14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SA"/>
              </w:rPr>
            </w:pPr>
            <w:r>
              <w:rPr>
                <w:rFonts w:hint="eastAsia" w:ascii="仿宋_GB2312" w:hAnsi="仿宋_GB2312" w:eastAsia="仿宋_GB2312" w:cs="仿宋_GB2312"/>
                <w:color w:val="000000"/>
                <w:sz w:val="20"/>
                <w:szCs w:val="20"/>
                <w:highlight w:val="none"/>
                <w:lang w:val="en-US" w:eastAsia="zh-CN"/>
              </w:rPr>
              <w:t>≤8471.27万元</w:t>
            </w:r>
          </w:p>
        </w:tc>
        <w:tc>
          <w:tcPr>
            <w:tcW w:w="183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10596.62万元</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4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原因分析：由于环保应急项目中途追加经费导致支出增加。措施：应急处理项目应纳入预算管理，科学编制预算，多部门参与预算编制，确保新增项目纳入预算管理；严格预算执行与监管，做到无预算不支出。</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碳排放量</w:t>
            </w:r>
          </w:p>
        </w:tc>
        <w:tc>
          <w:tcPr>
            <w:tcW w:w="14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减少</w:t>
            </w:r>
          </w:p>
        </w:tc>
        <w:tc>
          <w:tcPr>
            <w:tcW w:w="183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减少二氧化碳排放量</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bookmarkStart w:id="2" w:name="OLE_LINK3"/>
            <w:r>
              <w:rPr>
                <w:rFonts w:hint="eastAsia" w:ascii="仿宋_GB2312" w:hAnsi="仿宋_GB2312" w:eastAsia="仿宋_GB2312" w:cs="仿宋_GB2312"/>
                <w:color w:val="000000"/>
                <w:sz w:val="20"/>
                <w:szCs w:val="20"/>
                <w:highlight w:val="none"/>
                <w:lang w:val="en-US" w:eastAsia="zh-CN"/>
              </w:rPr>
              <w:t>4</w:t>
            </w:r>
            <w:bookmarkEnd w:id="2"/>
          </w:p>
        </w:tc>
        <w:tc>
          <w:tcPr>
            <w:tcW w:w="6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363"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水电节约情况</w:t>
            </w:r>
          </w:p>
        </w:tc>
        <w:tc>
          <w:tcPr>
            <w:tcW w:w="14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下降</w:t>
            </w:r>
          </w:p>
        </w:tc>
        <w:tc>
          <w:tcPr>
            <w:tcW w:w="183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相较2023年单位水电消耗量下降</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363" w:type="dxa"/>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推动经济发展</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推动</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推动</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助推建筑企业提质增效</w:t>
            </w:r>
          </w:p>
        </w:tc>
        <w:tc>
          <w:tcPr>
            <w:tcW w:w="14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提高</w:t>
            </w:r>
          </w:p>
        </w:tc>
        <w:tc>
          <w:tcPr>
            <w:tcW w:w="183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提高</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建筑市场稳定</w:t>
            </w:r>
          </w:p>
        </w:tc>
        <w:tc>
          <w:tcPr>
            <w:tcW w:w="14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稳定</w:t>
            </w:r>
          </w:p>
        </w:tc>
        <w:tc>
          <w:tcPr>
            <w:tcW w:w="183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稳定</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提升人民群众生活用水环境</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提升</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提升</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363" w:type="dxa"/>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持续推进建筑市场管理</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持续</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持续推进</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84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363"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强化建筑工地扬尘治理</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加强</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强化</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635" w:hRule="atLeast"/>
          <w:jc w:val="center"/>
        </w:trPr>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84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36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加强监管水平</w:t>
            </w:r>
          </w:p>
        </w:tc>
        <w:tc>
          <w:tcPr>
            <w:tcW w:w="14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加强</w:t>
            </w:r>
          </w:p>
        </w:tc>
        <w:tc>
          <w:tcPr>
            <w:tcW w:w="183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加强</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855" w:hRule="atLeast"/>
          <w:jc w:val="center"/>
        </w:trPr>
        <w:tc>
          <w:tcPr>
            <w:tcW w:w="939"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84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363"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人民群众满意度</w:t>
            </w:r>
          </w:p>
        </w:tc>
        <w:tc>
          <w:tcPr>
            <w:tcW w:w="14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83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95%</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65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373"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55"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650"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89.96</w:t>
            </w:r>
          </w:p>
        </w:tc>
        <w:tc>
          <w:tcPr>
            <w:tcW w:w="140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default" w:ascii="方正小标宋简体" w:hAnsi="方正小标宋简体" w:eastAsia="方正小标宋简体" w:cs="方正小标宋简体"/>
          <w:sz w:val="44"/>
          <w:szCs w:val="44"/>
          <w:highlight w:val="none"/>
          <w:lang w:val="e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君山区住房和城乡建设局</w:t>
      </w:r>
      <w:r>
        <w:rPr>
          <w:rFonts w:hint="eastAsia" w:ascii="方正小标宋简体" w:hAnsi="方正小标宋简体" w:eastAsia="方正小标宋简体" w:cs="方正小标宋简体"/>
          <w:sz w:val="44"/>
          <w:szCs w:val="44"/>
          <w:highlight w:val="none"/>
        </w:rPr>
        <w:t>部门整体支出绩效自评报告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2025</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5</w:t>
      </w:r>
      <w:r>
        <w:rPr>
          <w:rFonts w:hint="default" w:ascii="Times New Roman" w:hAnsi="Times New Roman" w:eastAsia="楷体_GB2312" w:cs="Times New Roman"/>
          <w:sz w:val="32"/>
          <w:szCs w:val="32"/>
          <w:highlight w:val="none"/>
        </w:rPr>
        <w:t xml:space="preserve"> 月 </w:t>
      </w:r>
      <w:r>
        <w:rPr>
          <w:rFonts w:hint="eastAsia" w:ascii="Times New Roman" w:hAnsi="Times New Roman" w:eastAsia="楷体_GB2312" w:cs="Times New Roman"/>
          <w:sz w:val="32"/>
          <w:szCs w:val="32"/>
          <w:highlight w:val="none"/>
          <w:lang w:val="en-US" w:eastAsia="zh-CN"/>
        </w:rPr>
        <w:t>7</w:t>
      </w:r>
      <w:r>
        <w:rPr>
          <w:rFonts w:hint="default" w:ascii="Times New Roman" w:hAnsi="Times New Roman" w:eastAsia="楷体_GB2312" w:cs="Times New Roman"/>
          <w:sz w:val="32"/>
          <w:szCs w:val="32"/>
          <w:highlight w:val="none"/>
        </w:rPr>
        <w:t xml:space="preserve"> 日</w:t>
      </w:r>
    </w:p>
    <w:p>
      <w:pPr>
        <w:jc w:val="center"/>
        <w:rPr>
          <w:rFonts w:hint="eastAsia" w:ascii="方正小标宋简体" w:hAnsi="方正小标宋简体" w:eastAsia="方正小标宋简体" w:cs="方正小标宋简体"/>
          <w:sz w:val="44"/>
          <w:szCs w:val="44"/>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default" w:ascii="方正小标宋简体" w:hAnsi="方正小标宋简体" w:eastAsia="方正小标宋简体" w:cs="方正小标宋简体"/>
          <w:sz w:val="44"/>
          <w:szCs w:val="44"/>
          <w:highlight w:val="none"/>
          <w:lang w:val="e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君山区住房和城乡建设局</w:t>
      </w:r>
      <w:r>
        <w:rPr>
          <w:rFonts w:hint="eastAsia" w:ascii="方正小标宋简体" w:hAnsi="方正小标宋简体" w:eastAsia="方正小标宋简体" w:cs="方正小标宋简体"/>
          <w:sz w:val="44"/>
          <w:szCs w:val="44"/>
          <w:highlight w:val="none"/>
        </w:rPr>
        <w:t>部门整体支出绩效自评报告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spacing w:line="570" w:lineRule="atLeast"/>
        <w:ind w:firstLine="643"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b/>
          <w:bCs/>
          <w:color w:val="000000"/>
          <w:sz w:val="32"/>
          <w:szCs w:val="32"/>
          <w:shd w:val="clear" w:color="auto" w:fill="FFFFFF"/>
          <w:lang w:val="en-US" w:eastAsia="zh-CN"/>
        </w:rPr>
        <w:t>（一）职能职责</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1、贯彻落实住房和城乡建设领域的政策法规；起草有关住房和城乡建设及人民防空规范性文件草案并监督实施；拟定住房和城乡建设及人民防空发展战略、产业政策、改革方案、中长期规划及年度计划并组织实施。</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2、承担城市建设工作。参与城建计划的编制；参与城建工程项目概（预）算的审查，负责工程项目竣工结算的初审；负责中心城区城建重点项目和旧城改造项目的建设管理；负责组织实施由政府投资的非经营性公用建设项目新建、改建和扩建工程；负责城区提质改造工作；负责海绵城市和城市综合管廊建设；负责城区黑臭水体整治。</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3、承担村镇建设指导管理责任。负责推荐新型城镇化工作；负责指导和协调小城镇建设，参与小城镇发展经费、计划编制及管理；负责指导农村危房改造工作；负责指导监督村镇生活污水处理设施及配套管网建设。</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4、承担人民防空工作。组织开展人民防空组织指挥工作；管理人民防空通信警报建设；管理人民防空经费和资产；组织人民防空干部教育培训。</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5、承担建筑市场管理和建设工程质量、安全生产的监督管理责任。负责建设工程施工许可管理和合同备案，核发《建筑工程施工许可证》；负责建设工程竣工验收备案管理和城市建设档案管理；负责对全区房屋建筑和市政基础设施建设工程招投标工作的监督管理；负责对全区建设监理进行监督管理；监督指导全区建设工程质量、安全生产；</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6、承担全区房屋建筑和市政基础设施建设工程勘察设计市场监督管理。负责全区建设工程初步设计审批、施工图审查、消防设计的审查验收；</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7、承担全区房屋建筑市场和市政基础设施建设工程发承包计价活动的监督和管理。承担推荐建设科技成果转化推广和建筑节能工作。负责对全区房地产业的协调和指导，加强对经济适用房、廉租房、公租房、棚户区的改造、货币补贴等住房保障工作的宏观规划、指导、监督和协调。</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8、承担城镇供排水及污水处理监督管理责任；负责城区排水设施、污水及污泥处理设施的建设和运行维护的监督管理；负责指导城市供水建设、协调城市供水工作；负责监督指导村镇污水处理设施和运行管理。</w:t>
      </w:r>
    </w:p>
    <w:p>
      <w:pPr>
        <w:pStyle w:val="6"/>
        <w:shd w:val="clear" w:color="auto" w:fill="FFFFFF"/>
        <w:spacing w:before="0" w:beforeAutospacing="0" w:after="0" w:afterAutospacing="0" w:line="480" w:lineRule="auto"/>
        <w:ind w:firstLine="480"/>
        <w:jc w:val="both"/>
        <w:rPr>
          <w:rFonts w:hint="eastAsia" w:ascii="仿宋_GB2312" w:hAnsi="仿宋_GB2312" w:eastAsia="仿宋_GB2312" w:cs="仿宋_GB2312"/>
          <w:color w:val="000000"/>
          <w:kern w:val="2"/>
          <w:sz w:val="32"/>
          <w:szCs w:val="32"/>
          <w:highlight w:val="none"/>
          <w:shd w:val="clear" w:color="auto" w:fill="FFFFFF"/>
          <w:lang w:val="en-US" w:eastAsia="zh-CN" w:bidi="ar-SA"/>
        </w:rPr>
      </w:pPr>
      <w:r>
        <w:rPr>
          <w:rFonts w:hint="eastAsia" w:ascii="仿宋_GB2312" w:hAnsi="仿宋_GB2312" w:eastAsia="仿宋_GB2312" w:cs="仿宋_GB2312"/>
          <w:color w:val="000000"/>
          <w:kern w:val="2"/>
          <w:sz w:val="32"/>
          <w:szCs w:val="32"/>
          <w:highlight w:val="none"/>
          <w:shd w:val="clear" w:color="auto" w:fill="FFFFFF"/>
          <w:lang w:val="en-US" w:eastAsia="zh-CN" w:bidi="ar-SA"/>
        </w:rPr>
        <w:t>9、完成区委和区政府交办的其他任务。</w:t>
      </w:r>
    </w:p>
    <w:p>
      <w:pPr>
        <w:spacing w:line="570" w:lineRule="atLeast"/>
        <w:ind w:firstLine="643" w:firstLineChars="200"/>
        <w:rPr>
          <w:rFonts w:hint="eastAsia" w:ascii="仿宋_GB2312" w:hAnsi="仿宋_GB2312" w:eastAsia="仿宋_GB2312" w:cs="仿宋_GB2312"/>
          <w:color w:val="000000"/>
          <w:sz w:val="32"/>
          <w:szCs w:val="32"/>
          <w:highlight w:val="none"/>
          <w:shd w:val="clear" w:color="auto" w:fill="FFFFFF"/>
          <w:lang w:val="en-US" w:eastAsia="zh-CN"/>
        </w:rPr>
      </w:pPr>
      <w:r>
        <w:rPr>
          <w:rFonts w:hint="eastAsia" w:ascii="仿宋_GB2312" w:hAnsi="仿宋_GB2312" w:eastAsia="仿宋_GB2312" w:cs="仿宋_GB2312"/>
          <w:b/>
          <w:bCs/>
          <w:color w:val="000000"/>
          <w:sz w:val="32"/>
          <w:szCs w:val="32"/>
          <w:highlight w:val="none"/>
          <w:shd w:val="clear" w:color="auto" w:fill="FFFFFF"/>
          <w:lang w:val="en-US" w:eastAsia="zh-CN"/>
        </w:rPr>
        <w:t>（二）机构设置</w:t>
      </w:r>
    </w:p>
    <w:p>
      <w:pPr>
        <w:spacing w:line="570" w:lineRule="atLeast"/>
        <w:ind w:firstLine="640" w:firstLineChars="200"/>
        <w:rPr>
          <w:rFonts w:hint="eastAsia" w:asciiTheme="minorEastAsia" w:hAnsiTheme="minorEastAsia" w:cstheme="minorEastAsia"/>
          <w:sz w:val="28"/>
          <w:szCs w:val="28"/>
          <w:highlight w:val="none"/>
          <w:lang w:val="en-US" w:eastAsia="zh-CN"/>
        </w:rPr>
      </w:pPr>
      <w:r>
        <w:rPr>
          <w:rFonts w:hint="eastAsia" w:ascii="仿宋_GB2312" w:hAnsi="仿宋_GB2312" w:eastAsia="仿宋_GB2312" w:cs="仿宋_GB2312"/>
          <w:color w:val="000000"/>
          <w:sz w:val="32"/>
          <w:szCs w:val="32"/>
          <w:highlight w:val="none"/>
          <w:shd w:val="clear" w:color="auto" w:fill="FFFFFF"/>
          <w:lang w:val="en-US" w:eastAsia="zh-CN"/>
        </w:rPr>
        <w:t>岳阳市君山区住房和城乡建设局内设机构6个，事业单位7个。内设机构包括：办公室、行政审批股、政工人事股、计划财务股、城乡建设管理股、房产股等6个股室。事业单位包括：现住建局设有6个内设股室及7个二级机构，内设股室分别为：办公室、行政审批股、政工人事股、计划财务股、城乡建设管理股、房产股；二级机构分别为：住房保障中心、建筑施工管理站、质量安全监督站、招投标造价交易中心、供排水服务中心、消防工作站、房产事务中心（其中房产事务中心为副科级单位 ，其余股室二级机构为股级单位)。</w:t>
      </w:r>
      <w:r>
        <w:rPr>
          <w:rFonts w:hint="eastAsia" w:asciiTheme="minorEastAsia" w:hAnsiTheme="minorEastAsia" w:cstheme="minorEastAsia"/>
          <w:sz w:val="28"/>
          <w:szCs w:val="28"/>
          <w:highlight w:val="none"/>
          <w:lang w:val="en-US" w:eastAsia="zh-CN"/>
        </w:rPr>
        <w:t xml:space="preserve">    </w:t>
      </w:r>
    </w:p>
    <w:p>
      <w:pPr>
        <w:pStyle w:val="11"/>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1"/>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spacing w:line="570" w:lineRule="atLeast"/>
        <w:ind w:firstLine="640" w:firstLineChars="200"/>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sz w:val="32"/>
          <w:szCs w:val="32"/>
          <w:shd w:val="clear" w:color="auto" w:fill="FFFFFF"/>
          <w:lang w:val="en-US" w:eastAsia="zh-CN"/>
        </w:rPr>
        <w:t>2024年本部门基本支出</w:t>
      </w:r>
      <w:r>
        <w:rPr>
          <w:rFonts w:hint="default" w:ascii="仿宋_GB2312" w:hAnsi="仿宋_GB2312" w:eastAsia="仿宋_GB2312" w:cs="仿宋_GB2312"/>
          <w:color w:val="000000"/>
          <w:sz w:val="32"/>
          <w:szCs w:val="32"/>
          <w:shd w:val="clear" w:color="auto" w:fill="FFFFFF"/>
          <w:lang w:val="en-US" w:eastAsia="zh-CN"/>
        </w:rPr>
        <w:t>为</w:t>
      </w:r>
      <w:r>
        <w:rPr>
          <w:rFonts w:hint="eastAsia" w:ascii="仿宋_GB2312" w:hAnsi="仿宋_GB2312" w:eastAsia="仿宋_GB2312" w:cs="仿宋_GB2312"/>
          <w:color w:val="000000"/>
          <w:sz w:val="32"/>
          <w:szCs w:val="32"/>
          <w:shd w:val="clear" w:color="auto" w:fill="FFFFFF"/>
          <w:lang w:val="en-US" w:eastAsia="zh-CN"/>
        </w:rPr>
        <w:t>1209.52</w:t>
      </w:r>
      <w:r>
        <w:rPr>
          <w:rFonts w:hint="default" w:ascii="仿宋_GB2312" w:hAnsi="仿宋_GB2312" w:eastAsia="仿宋_GB2312" w:cs="仿宋_GB2312"/>
          <w:color w:val="000000"/>
          <w:sz w:val="32"/>
          <w:szCs w:val="32"/>
          <w:shd w:val="clear" w:color="auto" w:fill="FFFFFF"/>
          <w:lang w:val="en-US" w:eastAsia="zh-CN"/>
        </w:rPr>
        <w:t>万元，</w:t>
      </w:r>
      <w:r>
        <w:rPr>
          <w:rFonts w:hint="eastAsia" w:ascii="仿宋_GB2312" w:hAnsi="仿宋_GB2312" w:eastAsia="仿宋_GB2312" w:cs="仿宋_GB2312"/>
          <w:color w:val="000000"/>
          <w:sz w:val="32"/>
          <w:szCs w:val="32"/>
          <w:shd w:val="clear" w:color="auto" w:fill="FFFFFF"/>
          <w:lang w:val="en-US" w:eastAsia="zh-CN"/>
        </w:rPr>
        <w:t>基本支出</w:t>
      </w:r>
      <w:r>
        <w:rPr>
          <w:rFonts w:hint="eastAsia" w:ascii="仿宋_GB2312" w:hAnsi="仿宋_GB2312" w:eastAsia="仿宋_GB2312" w:cs="仿宋_GB2312"/>
          <w:b w:val="0"/>
          <w:bCs/>
          <w:color w:val="000000"/>
          <w:sz w:val="32"/>
          <w:szCs w:val="32"/>
          <w:shd w:val="clear" w:color="auto" w:fill="FFFFFF"/>
          <w:lang w:val="en-US" w:eastAsia="zh-CN"/>
        </w:rPr>
        <w:t>主要</w:t>
      </w:r>
      <w:r>
        <w:rPr>
          <w:rFonts w:hint="eastAsia" w:ascii="仿宋_GB2312" w:hAnsi="仿宋_GB2312" w:eastAsia="仿宋_GB2312" w:cs="仿宋_GB2312"/>
          <w:color w:val="000000"/>
          <w:sz w:val="32"/>
          <w:szCs w:val="32"/>
          <w:shd w:val="clear" w:color="auto" w:fill="FFFFFF"/>
          <w:lang w:val="en-US" w:eastAsia="zh-CN"/>
        </w:rPr>
        <w:t>是为保障部门正常运转、完成日常工作任务而发生的各项支出，包括用于基本工资、津贴补贴、绩效奖金等人员经费以及办公费、印刷费、水电费、办公设备购置等公用经费。</w:t>
      </w:r>
    </w:p>
    <w:p>
      <w:pPr>
        <w:pStyle w:val="11"/>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spacing w:line="570" w:lineRule="atLeast"/>
        <w:ind w:firstLine="640" w:firstLineChars="200"/>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sz w:val="32"/>
          <w:szCs w:val="32"/>
          <w:shd w:val="clear" w:color="auto" w:fill="FFFFFF"/>
          <w:lang w:val="en-US" w:eastAsia="zh-CN"/>
        </w:rPr>
        <w:t>2024年本部门项目支出</w:t>
      </w:r>
      <w:r>
        <w:rPr>
          <w:rFonts w:hint="eastAsia" w:ascii="仿宋_GB2312" w:hAnsi="仿宋_GB2312" w:eastAsia="仿宋_GB2312" w:cs="仿宋_GB2312"/>
          <w:color w:val="000000"/>
          <w:sz w:val="32"/>
          <w:szCs w:val="32"/>
          <w:highlight w:val="none"/>
          <w:shd w:val="clear" w:color="auto" w:fill="FFFFFF"/>
          <w:lang w:val="en-US" w:eastAsia="zh-CN"/>
        </w:rPr>
        <w:t>9387.11</w:t>
      </w:r>
      <w:r>
        <w:rPr>
          <w:rFonts w:hint="eastAsia" w:ascii="仿宋_GB2312" w:hAnsi="仿宋_GB2312" w:eastAsia="仿宋_GB2312" w:cs="仿宋_GB2312"/>
          <w:color w:val="000000"/>
          <w:sz w:val="32"/>
          <w:szCs w:val="32"/>
          <w:shd w:val="clear" w:color="auto" w:fill="FFFFFF"/>
          <w:lang w:val="en-US" w:eastAsia="zh-CN"/>
        </w:rPr>
        <w:t>万元，主要是本部门为完成特定工作任务或事业发展目标而发生的支出，包括有关事业发展专项、专项业务费、基本建设支出等，主要用于</w:t>
      </w:r>
      <w:r>
        <w:rPr>
          <w:rFonts w:hint="eastAsia" w:eastAsia="仿宋_GB2312"/>
          <w:sz w:val="32"/>
          <w:szCs w:val="32"/>
          <w:highlight w:val="none"/>
          <w:lang w:eastAsia="zh-CN"/>
        </w:rPr>
        <w:t>业务工作经费支出、</w:t>
      </w:r>
      <w:r>
        <w:rPr>
          <w:rFonts w:hint="eastAsia" w:eastAsia="仿宋_GB2312"/>
          <w:sz w:val="32"/>
          <w:szCs w:val="32"/>
          <w:highlight w:val="none"/>
          <w:lang w:val="en-US" w:eastAsia="zh-CN"/>
        </w:rPr>
        <w:t>施工图审费、行政审批帮代办服务费、居民自建房安全专项整治工作经费、城区污水厂存量资产维护及污泥运输处置、污水PPP项目财政可行性缺口补助、污水一厂、二厂尾水湿地项目建设等</w:t>
      </w:r>
      <w:r>
        <w:rPr>
          <w:rFonts w:hint="eastAsia" w:ascii="仿宋_GB2312" w:hAnsi="仿宋_GB2312" w:eastAsia="仿宋_GB2312" w:cs="仿宋_GB2312"/>
          <w:color w:val="000000"/>
          <w:sz w:val="32"/>
          <w:szCs w:val="32"/>
          <w:shd w:val="clear" w:color="auto" w:fill="FFFFFF"/>
          <w:lang w:val="en-US" w:eastAsia="zh-CN"/>
        </w:rPr>
        <w:t xml:space="preserve">方面。 </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政府性基金预算支出情况</w:t>
      </w:r>
    </w:p>
    <w:p>
      <w:pPr>
        <w:spacing w:line="570" w:lineRule="atLeast"/>
        <w:ind w:firstLine="640" w:firstLineChars="200"/>
        <w:rPr>
          <w:rFonts w:hint="default" w:ascii="Times New Roman" w:hAnsi="Times New Roman" w:eastAsia="黑体" w:cs="Times New Roman"/>
          <w:sz w:val="32"/>
          <w:szCs w:val="32"/>
          <w:highlight w:val="none"/>
          <w:lang w:val="en-US"/>
        </w:rPr>
      </w:pPr>
      <w:r>
        <w:rPr>
          <w:rFonts w:hint="eastAsia" w:ascii="仿宋_GB2312" w:hAnsi="仿宋_GB2312" w:eastAsia="仿宋_GB2312" w:cs="仿宋_GB2312"/>
          <w:color w:val="000000"/>
          <w:sz w:val="32"/>
          <w:szCs w:val="32"/>
          <w:shd w:val="clear" w:color="auto" w:fill="FFFFFF"/>
          <w:lang w:val="en-US" w:eastAsia="zh-CN"/>
        </w:rPr>
        <w:t>2024年度本部门政府性基金支出为</w:t>
      </w:r>
      <w:r>
        <w:rPr>
          <w:rFonts w:hint="eastAsia" w:ascii="仿宋_GB2312" w:hAnsi="仿宋_GB2312" w:eastAsia="仿宋_GB2312" w:cs="仿宋_GB2312"/>
          <w:color w:val="000000"/>
          <w:sz w:val="32"/>
          <w:szCs w:val="32"/>
          <w:highlight w:val="none"/>
          <w:shd w:val="clear" w:color="auto" w:fill="FFFFFF"/>
          <w:lang w:val="en-US" w:eastAsia="zh-CN"/>
        </w:rPr>
        <w:t>7580万元，主要为项目支出，其中污水PPP项目财政可行性缺口补助5214万元、自来水PPP项目财政可行性缺口补助1916万元，</w:t>
      </w:r>
      <w:r>
        <w:rPr>
          <w:rFonts w:hint="eastAsia" w:eastAsia="仿宋_GB2312"/>
          <w:sz w:val="32"/>
          <w:szCs w:val="32"/>
          <w:highlight w:val="none"/>
          <w:lang w:val="en-US" w:eastAsia="zh-CN"/>
        </w:rPr>
        <w:t>城区污水厂存量资产维护及污泥运输处置费450万元。</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国有资本经营预算支出情况</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default" w:ascii="仿宋_GB2312" w:hAnsi="仿宋_GB2312" w:eastAsia="仿宋_GB2312" w:cs="仿宋_GB2312"/>
          <w:color w:val="000000"/>
          <w:kern w:val="0"/>
          <w:sz w:val="32"/>
          <w:szCs w:val="32"/>
          <w:shd w:val="clear" w:color="auto" w:fill="FFFFFF"/>
          <w:lang w:val="en-US" w:eastAsia="zh-CN" w:bidi="ar-SA"/>
        </w:rPr>
        <w:t>202</w:t>
      </w:r>
      <w:r>
        <w:rPr>
          <w:rFonts w:hint="eastAsia" w:ascii="仿宋_GB2312" w:hAnsi="仿宋_GB2312" w:eastAsia="仿宋_GB2312" w:cs="仿宋_GB2312"/>
          <w:color w:val="000000"/>
          <w:kern w:val="0"/>
          <w:sz w:val="32"/>
          <w:szCs w:val="32"/>
          <w:shd w:val="clear" w:color="auto" w:fill="FFFFFF"/>
          <w:lang w:val="en-US" w:eastAsia="zh-CN" w:bidi="ar-SA"/>
        </w:rPr>
        <w:t>4年度我局无国有资本经营预算支出。</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社会保险基金预算支出情况</w:t>
      </w:r>
    </w:p>
    <w:p>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default" w:ascii="仿宋_GB2312" w:hAnsi="仿宋_GB2312" w:eastAsia="仿宋_GB2312" w:cs="仿宋_GB2312"/>
          <w:color w:val="000000"/>
          <w:kern w:val="0"/>
          <w:sz w:val="32"/>
          <w:szCs w:val="32"/>
          <w:shd w:val="clear" w:color="auto" w:fill="FFFFFF"/>
          <w:lang w:val="en-US" w:eastAsia="zh-CN" w:bidi="ar-SA"/>
        </w:rPr>
        <w:t>202</w:t>
      </w:r>
      <w:r>
        <w:rPr>
          <w:rFonts w:hint="eastAsia" w:ascii="仿宋_GB2312" w:hAnsi="仿宋_GB2312" w:eastAsia="仿宋_GB2312" w:cs="仿宋_GB2312"/>
          <w:color w:val="000000"/>
          <w:kern w:val="0"/>
          <w:sz w:val="32"/>
          <w:szCs w:val="32"/>
          <w:shd w:val="clear" w:color="auto" w:fill="FFFFFF"/>
          <w:lang w:val="en-US" w:eastAsia="zh-CN" w:bidi="ar-SA"/>
        </w:rPr>
        <w:t>4年度我局无社会保险基金预算支出。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color w:val="000000"/>
          <w:kern w:val="0"/>
          <w:sz w:val="32"/>
          <w:szCs w:val="32"/>
          <w:shd w:val="clear" w:color="auto" w:fill="FFFFFF"/>
          <w:lang w:val="en-US" w:eastAsia="zh-CN" w:bidi="ar-SA"/>
        </w:rPr>
      </w:pPr>
      <w:r>
        <w:rPr>
          <w:rFonts w:hint="eastAsia" w:ascii="仿宋_GB2312" w:hAnsi="仿宋_GB2312" w:eastAsia="仿宋_GB2312" w:cs="仿宋_GB2312"/>
          <w:color w:val="000000"/>
          <w:kern w:val="0"/>
          <w:sz w:val="32"/>
          <w:szCs w:val="32"/>
          <w:shd w:val="clear" w:color="auto" w:fill="FFFFFF"/>
          <w:lang w:val="en-US" w:eastAsia="zh-CN" w:bidi="ar-SA"/>
        </w:rPr>
        <w:t>2024年，根据年初工作规划和重点工作，围绕区委、区政府的工作部署，积极履行职责，强化管理，较好地完成了年度工作目标。同时加强预算收支的管理，建立健全内部管理制度，严格内部管理流程，部门整体支出管理得到了提升。2023年度部门整体支出绩效情况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（一）全力推进项目建设。一</w:t>
      </w:r>
      <w:r>
        <w:rPr>
          <w:rFonts w:hint="eastAsia" w:ascii="仿宋_GB2312" w:hAnsi="仿宋_GB2312" w:eastAsia="仿宋_GB2312" w:cs="仿宋_GB2312"/>
          <w:b w:val="0"/>
          <w:bCs w:val="0"/>
          <w:sz w:val="32"/>
          <w:szCs w:val="32"/>
          <w:lang w:val="en-US" w:eastAsia="zh-CN"/>
        </w:rPr>
        <w:t>是全</w:t>
      </w:r>
      <w:r>
        <w:rPr>
          <w:rFonts w:hint="eastAsia" w:ascii="仿宋_GB2312" w:hAnsi="仿宋_GB2312" w:eastAsia="仿宋_GB2312" w:cs="仿宋_GB2312"/>
          <w:b w:val="0"/>
          <w:bCs w:val="0"/>
          <w:sz w:val="32"/>
          <w:szCs w:val="32"/>
          <w:lang w:val="en" w:eastAsia="zh-CN"/>
        </w:rPr>
        <w:t>力推进尾水湿地水质净化项目</w:t>
      </w:r>
      <w:r>
        <w:rPr>
          <w:rFonts w:hint="eastAsia" w:ascii="仿宋_GB2312" w:hAnsi="仿宋_GB2312" w:eastAsia="仿宋_GB2312" w:cs="仿宋_GB2312"/>
          <w:b w:val="0"/>
          <w:bCs w:val="0"/>
          <w:sz w:val="32"/>
          <w:szCs w:val="32"/>
          <w:lang w:val="en-US" w:eastAsia="zh-CN"/>
        </w:rPr>
        <w:t>。岳阳市君山区第一、第二污水处理厂尾水人工湿地水质净化工程，</w:t>
      </w:r>
      <w:r>
        <w:rPr>
          <w:rFonts w:hint="eastAsia" w:ascii="仿宋_GB2312" w:hAnsi="仿宋_GB2312" w:eastAsia="仿宋_GB2312" w:cs="仿宋_GB2312"/>
          <w:b w:val="0"/>
          <w:bCs w:val="0"/>
          <w:strike w:val="0"/>
          <w:dstrike w:val="0"/>
          <w:color w:val="auto"/>
          <w:sz w:val="32"/>
          <w:szCs w:val="32"/>
          <w:lang w:val="en-US" w:eastAsia="zh-CN"/>
        </w:rPr>
        <w:t>已于9月5</w:t>
      </w:r>
      <w:r>
        <w:rPr>
          <w:rFonts w:hint="eastAsia" w:ascii="仿宋_GB2312" w:hAnsi="仿宋_GB2312" w:eastAsia="仿宋_GB2312" w:cs="仿宋_GB2312"/>
          <w:b w:val="0"/>
          <w:bCs w:val="0"/>
          <w:strike w:val="0"/>
          <w:dstrike w:val="0"/>
          <w:color w:val="auto"/>
          <w:sz w:val="32"/>
          <w:szCs w:val="32"/>
          <w:lang w:val="en" w:eastAsia="zh-CN"/>
        </w:rPr>
        <w:t>日</w:t>
      </w:r>
      <w:r>
        <w:rPr>
          <w:rFonts w:hint="eastAsia" w:ascii="仿宋_GB2312" w:hAnsi="仿宋_GB2312" w:eastAsia="仿宋_GB2312" w:cs="仿宋_GB2312"/>
          <w:b w:val="0"/>
          <w:bCs w:val="0"/>
          <w:strike w:val="0"/>
          <w:dstrike w:val="0"/>
          <w:color w:val="auto"/>
          <w:sz w:val="32"/>
          <w:szCs w:val="32"/>
          <w:lang w:val="en-US" w:eastAsia="zh-CN"/>
        </w:rPr>
        <w:t>全面开工建设</w:t>
      </w:r>
      <w:r>
        <w:rPr>
          <w:rFonts w:hint="eastAsia" w:ascii="仿宋_GB2312" w:hAnsi="仿宋_GB2312" w:eastAsia="仿宋_GB2312" w:cs="仿宋_GB2312"/>
          <w:b w:val="0"/>
          <w:bCs w:val="0"/>
          <w:strike w:val="0"/>
          <w:dstrike w:val="0"/>
          <w:color w:val="auto"/>
          <w:sz w:val="32"/>
          <w:szCs w:val="32"/>
          <w:lang w:val="en" w:eastAsia="zh-CN"/>
        </w:rPr>
        <w:t>。其中，潜流湿地区域分为五部分施工，已完成了工程量的</w:t>
      </w:r>
      <w:r>
        <w:rPr>
          <w:rFonts w:hint="eastAsia" w:ascii="仿宋_GB2312" w:hAnsi="仿宋_GB2312" w:eastAsia="仿宋_GB2312" w:cs="仿宋_GB2312"/>
          <w:b w:val="0"/>
          <w:bCs w:val="0"/>
          <w:strike w:val="0"/>
          <w:dstrike w:val="0"/>
          <w:color w:val="auto"/>
          <w:sz w:val="32"/>
          <w:szCs w:val="32"/>
          <w:lang w:val="en-US" w:eastAsia="zh-CN"/>
        </w:rPr>
        <w:t>25%</w:t>
      </w:r>
      <w:r>
        <w:rPr>
          <w:rFonts w:hint="eastAsia" w:ascii="仿宋_GB2312" w:hAnsi="仿宋_GB2312" w:eastAsia="仿宋_GB2312" w:cs="仿宋_GB2312"/>
          <w:b w:val="0"/>
          <w:bCs w:val="0"/>
          <w:strike w:val="0"/>
          <w:dstrike w:val="0"/>
          <w:color w:val="auto"/>
          <w:sz w:val="32"/>
          <w:szCs w:val="32"/>
          <w:lang w:val="en" w:eastAsia="zh-CN"/>
        </w:rPr>
        <w:t>，一体化泵站和管网已完成前期准备工作；</w:t>
      </w:r>
      <w:r>
        <w:rPr>
          <w:rFonts w:hint="eastAsia" w:ascii="仿宋_GB2312" w:hAnsi="仿宋_GB2312" w:eastAsia="仿宋_GB2312" w:cs="仿宋_GB2312"/>
          <w:b w:val="0"/>
          <w:bCs w:val="0"/>
          <w:sz w:val="32"/>
          <w:szCs w:val="32"/>
          <w:lang w:val="en" w:eastAsia="zh-CN"/>
        </w:rPr>
        <w:t>二是</w:t>
      </w:r>
      <w:r>
        <w:rPr>
          <w:rFonts w:hint="eastAsia" w:ascii="仿宋_GB2312" w:hAnsi="仿宋_GB2312" w:eastAsia="仿宋_GB2312" w:cs="仿宋_GB2312"/>
          <w:b w:val="0"/>
          <w:bCs w:val="0"/>
          <w:sz w:val="32"/>
          <w:szCs w:val="32"/>
          <w:lang w:val="en-US" w:eastAsia="zh-CN"/>
        </w:rPr>
        <w:t>持</w:t>
      </w:r>
      <w:r>
        <w:rPr>
          <w:rFonts w:hint="eastAsia" w:ascii="仿宋_GB2312" w:hAnsi="仿宋_GB2312" w:eastAsia="仿宋_GB2312" w:cs="仿宋_GB2312"/>
          <w:b w:val="0"/>
          <w:bCs w:val="0"/>
          <w:color w:val="auto"/>
          <w:sz w:val="32"/>
          <w:szCs w:val="32"/>
          <w:u w:val="none"/>
          <w:lang w:eastAsia="zh-CN"/>
        </w:rPr>
        <w:t>续推进</w:t>
      </w:r>
      <w:r>
        <w:rPr>
          <w:rFonts w:hint="eastAsia" w:ascii="仿宋_GB2312" w:hAnsi="仿宋_GB2312" w:eastAsia="仿宋_GB2312" w:cs="仿宋_GB2312"/>
          <w:b w:val="0"/>
          <w:bCs w:val="0"/>
          <w:color w:val="auto"/>
          <w:sz w:val="32"/>
          <w:szCs w:val="32"/>
          <w:u w:val="none"/>
        </w:rPr>
        <w:t>老旧小区改造项目</w:t>
      </w:r>
      <w:r>
        <w:rPr>
          <w:rFonts w:hint="eastAsia" w:ascii="仿宋_GB2312" w:hAnsi="仿宋_GB2312" w:eastAsia="仿宋_GB2312" w:cs="仿宋_GB2312"/>
          <w:b w:val="0"/>
          <w:bCs w:val="0"/>
          <w:color w:val="auto"/>
          <w:sz w:val="32"/>
          <w:szCs w:val="32"/>
          <w:u w:val="none"/>
          <w:lang w:eastAsia="zh-CN"/>
        </w:rPr>
        <w:t>。2024年，我区老旧小区改造分为两批，第一批10个小区，第二批11个小区，总投资额</w:t>
      </w:r>
      <w:r>
        <w:rPr>
          <w:rFonts w:hint="eastAsia" w:ascii="仿宋_GB2312" w:hAnsi="仿宋_GB2312" w:eastAsia="仿宋_GB2312" w:cs="仿宋_GB2312"/>
          <w:b w:val="0"/>
          <w:bCs w:val="0"/>
          <w:color w:val="auto"/>
          <w:sz w:val="32"/>
          <w:szCs w:val="32"/>
          <w:u w:val="none"/>
          <w:lang w:val="en-US" w:eastAsia="zh-CN"/>
        </w:rPr>
        <w:t>1477.92万元</w:t>
      </w:r>
      <w:r>
        <w:rPr>
          <w:rFonts w:hint="eastAsia" w:ascii="仿宋_GB2312" w:hAnsi="仿宋_GB2312" w:eastAsia="仿宋_GB2312" w:cs="仿宋_GB2312"/>
          <w:b w:val="0"/>
          <w:bCs w:val="0"/>
          <w:color w:val="auto"/>
          <w:sz w:val="32"/>
          <w:szCs w:val="32"/>
          <w:u w:val="none"/>
          <w:lang w:eastAsia="zh-CN"/>
        </w:rPr>
        <w:t>。第一批已全面开工建设；第二批预计11月份开工</w:t>
      </w:r>
      <w:r>
        <w:rPr>
          <w:rFonts w:hint="default" w:ascii="仿宋_GB2312" w:hAnsi="仿宋_GB2312" w:eastAsia="仿宋_GB2312" w:cs="仿宋_GB2312"/>
          <w:b w:val="0"/>
          <w:bCs w:val="0"/>
          <w:color w:val="auto"/>
          <w:sz w:val="32"/>
          <w:szCs w:val="32"/>
          <w:u w:val="none"/>
          <w:lang w:val="en" w:eastAsia="zh-CN"/>
        </w:rPr>
        <w:t>。</w:t>
      </w:r>
      <w:r>
        <w:rPr>
          <w:rFonts w:hint="eastAsia" w:ascii="仿宋_GB2312" w:hAnsi="仿宋_GB2312" w:eastAsia="仿宋_GB2312" w:cs="仿宋_GB2312"/>
          <w:b w:val="0"/>
          <w:bCs w:val="0"/>
          <w:sz w:val="32"/>
          <w:szCs w:val="32"/>
          <w:lang w:val="en-US" w:eastAsia="zh-CN"/>
        </w:rPr>
        <w:t>三是</w:t>
      </w:r>
      <w:r>
        <w:rPr>
          <w:rFonts w:hint="eastAsia" w:ascii="仿宋_GB2312" w:hAnsi="仿宋_GB2312" w:eastAsia="仿宋_GB2312" w:cs="仿宋_GB2312"/>
          <w:b w:val="0"/>
          <w:bCs w:val="0"/>
          <w:color w:val="auto"/>
          <w:sz w:val="32"/>
          <w:szCs w:val="32"/>
          <w:highlight w:val="none"/>
          <w:u w:val="none"/>
          <w:lang w:val="en-US" w:eastAsia="zh-CN"/>
        </w:rPr>
        <w:t>积极推进</w:t>
      </w:r>
      <w:r>
        <w:rPr>
          <w:rFonts w:hint="eastAsia" w:ascii="仿宋_GB2312" w:hAnsi="仿宋_GB2312" w:eastAsia="仿宋_GB2312" w:cs="仿宋_GB2312"/>
          <w:b w:val="0"/>
          <w:bCs w:val="0"/>
          <w:color w:val="auto"/>
          <w:sz w:val="32"/>
          <w:szCs w:val="32"/>
          <w:u w:val="none"/>
          <w:lang w:val="en-US" w:eastAsia="zh-CN"/>
        </w:rPr>
        <w:t>城乡污水支管网改造工程。乡镇管网建设方面，完成新建管网3.8公里，超额完成年度1.8公里的建设任务。城区管网建设方面，君山区中心城区十六中片区污水管网改造工程，新建6.7公里管网建设任务，预计十二月底完工；</w:t>
      </w:r>
      <w:r>
        <w:rPr>
          <w:rFonts w:hint="eastAsia" w:ascii="仿宋_GB2312" w:hAnsi="仿宋_GB2312" w:eastAsia="仿宋_GB2312" w:cs="仿宋_GB2312"/>
          <w:b w:val="0"/>
          <w:bCs w:val="0"/>
          <w:sz w:val="32"/>
          <w:szCs w:val="32"/>
          <w:lang w:val="en-US" w:eastAsia="zh-CN"/>
        </w:rPr>
        <w:t>四是</w:t>
      </w:r>
      <w:r>
        <w:rPr>
          <w:rFonts w:hint="eastAsia" w:ascii="仿宋_GB2312" w:hAnsi="仿宋_GB2312" w:eastAsia="仿宋_GB2312" w:cs="仿宋_GB2312"/>
          <w:b w:val="0"/>
          <w:bCs w:val="0"/>
          <w:sz w:val="32"/>
          <w:szCs w:val="32"/>
        </w:rPr>
        <w:t>君山产业开发区荆江门片区主干道污水管网应急改造</w:t>
      </w:r>
      <w:r>
        <w:rPr>
          <w:rFonts w:hint="eastAsia" w:ascii="仿宋_GB2312" w:hAnsi="仿宋_GB2312" w:eastAsia="仿宋_GB2312" w:cs="仿宋_GB2312"/>
          <w:b w:val="0"/>
          <w:bCs w:val="0"/>
          <w:sz w:val="32"/>
          <w:szCs w:val="32"/>
          <w:lang w:eastAsia="zh-CN"/>
        </w:rPr>
        <w:t>项目，总投资约394.96万元，已完成可研立项、投资概算评估、设计、预算、财评预算等前期手续，现正在进行政府采购阶段，待采购完成即可进行项目建设</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sz w:val="32"/>
          <w:szCs w:val="32"/>
          <w:lang w:val="en-US" w:eastAsia="zh-CN"/>
        </w:rPr>
        <w:t>五是岳</w:t>
      </w:r>
      <w:r>
        <w:rPr>
          <w:rFonts w:hint="eastAsia" w:ascii="仿宋_GB2312" w:hAnsi="仿宋_GB2312" w:eastAsia="仿宋_GB2312" w:cs="仿宋_GB2312"/>
          <w:b w:val="0"/>
          <w:bCs w:val="0"/>
          <w:color w:val="auto"/>
          <w:sz w:val="32"/>
          <w:szCs w:val="32"/>
          <w:u w:val="none"/>
          <w:lang w:eastAsia="zh-CN"/>
        </w:rPr>
        <w:t>阳市君山区中心城区糖厂、民盛等五片区污水管网改造及御景园、税务局家属楼老旧小区改造项目，总投资为1928.29万元。项目的前期手续已全部完成，于2024年2月18日开工建设，截止目前已完成工程量的</w:t>
      </w:r>
      <w:r>
        <w:rPr>
          <w:rFonts w:hint="eastAsia" w:ascii="仿宋_GB2312" w:hAnsi="仿宋_GB2312" w:eastAsia="仿宋_GB2312" w:cs="仿宋_GB2312"/>
          <w:b w:val="0"/>
          <w:bCs w:val="0"/>
          <w:color w:val="auto"/>
          <w:sz w:val="32"/>
          <w:szCs w:val="32"/>
          <w:u w:val="none"/>
          <w:lang w:val="en-US" w:eastAsia="zh-CN"/>
        </w:rPr>
        <w:t>87</w:t>
      </w:r>
      <w:r>
        <w:rPr>
          <w:rFonts w:hint="eastAsia" w:ascii="仿宋_GB2312" w:hAnsi="仿宋_GB2312" w:eastAsia="仿宋_GB2312" w:cs="仿宋_GB2312"/>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（二）全面深化环保整治专项工作。</w:t>
      </w:r>
      <w:r>
        <w:rPr>
          <w:rFonts w:hint="eastAsia" w:ascii="仿宋_GB2312" w:hAnsi="仿宋_GB2312" w:eastAsia="仿宋_GB2312" w:cs="仿宋_GB2312"/>
          <w:b/>
          <w:bCs/>
          <w:color w:val="auto"/>
          <w:sz w:val="32"/>
          <w:szCs w:val="32"/>
          <w:u w:val="none"/>
          <w:lang w:eastAsia="zh-CN"/>
        </w:rPr>
        <w:t>一</w:t>
      </w:r>
      <w:r>
        <w:rPr>
          <w:rFonts w:hint="eastAsia" w:ascii="仿宋_GB2312" w:hAnsi="仿宋_GB2312" w:eastAsia="仿宋_GB2312" w:cs="仿宋_GB2312"/>
          <w:b w:val="0"/>
          <w:bCs w:val="0"/>
          <w:sz w:val="32"/>
          <w:szCs w:val="32"/>
          <w:lang w:val="en-US" w:eastAsia="zh-CN"/>
        </w:rPr>
        <w:t>是加快推进排污口整治工作。截至目前，君山区广兴洲镇江南桥上游8米右岸雨洪已整治完成，正在办理销号程序；二是完成君山区黑臭水体专项整治工作阶段性任务。经过全面排查</w:t>
      </w:r>
      <w:r>
        <w:rPr>
          <w:rFonts w:hint="eastAsia" w:ascii="仿宋_GB2312" w:hAnsi="仿宋_GB2312" w:eastAsia="仿宋_GB2312" w:cs="仿宋_GB2312"/>
          <w:b w:val="0"/>
          <w:bCs w:val="0"/>
          <w:color w:val="auto"/>
          <w:sz w:val="32"/>
          <w:szCs w:val="32"/>
          <w:u w:val="none"/>
          <w:lang w:val="en-US" w:eastAsia="zh-CN"/>
        </w:rPr>
        <w:t>和监测，我区无新增黑臭水体，已完成整治的黑臭水体未出现返黑返臭现象。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（三）强力推进招商引资工作。</w:t>
      </w:r>
      <w:r>
        <w:rPr>
          <w:rFonts w:hint="eastAsia" w:ascii="仿宋_GB2312" w:hAnsi="仿宋_GB2312" w:eastAsia="仿宋_GB2312" w:cs="仿宋_GB2312"/>
          <w:color w:val="auto"/>
          <w:sz w:val="32"/>
          <w:szCs w:val="32"/>
          <w:lang w:eastAsia="zh-CN"/>
        </w:rPr>
        <w:t>君山区住建局持续加大招商工作力度，精心谋划、靶向发力、多措并举助推招商引资工作有序、高效推进。区住建局主要负责人多次带队外出开展招商考察活动，</w:t>
      </w:r>
      <w:r>
        <w:rPr>
          <w:rFonts w:hint="eastAsia" w:ascii="仿宋_GB2312" w:hAnsi="仿宋_GB2312" w:eastAsia="仿宋_GB2312" w:cs="仿宋_GB2312"/>
          <w:b w:val="0"/>
          <w:bCs w:val="0"/>
          <w:color w:val="auto"/>
          <w:sz w:val="32"/>
          <w:szCs w:val="32"/>
          <w:lang w:eastAsia="zh-CN"/>
        </w:rPr>
        <w:t>区住建局成功引进千万元项目</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个，签约金额</w:t>
      </w:r>
      <w:r>
        <w:rPr>
          <w:rFonts w:hint="eastAsia" w:ascii="仿宋_GB2312" w:hAnsi="仿宋_GB2312" w:eastAsia="仿宋_GB2312" w:cs="仿宋_GB2312"/>
          <w:b w:val="0"/>
          <w:bCs w:val="0"/>
          <w:color w:val="auto"/>
          <w:sz w:val="32"/>
          <w:szCs w:val="32"/>
          <w:lang w:val="en-US" w:eastAsia="zh-CN"/>
        </w:rPr>
        <w:t>69</w:t>
      </w:r>
      <w:r>
        <w:rPr>
          <w:rFonts w:hint="eastAsia" w:ascii="仿宋_GB2312" w:hAnsi="仿宋_GB2312" w:eastAsia="仿宋_GB2312" w:cs="仿宋_GB2312"/>
          <w:b w:val="0"/>
          <w:bCs w:val="0"/>
          <w:color w:val="auto"/>
          <w:sz w:val="32"/>
          <w:szCs w:val="32"/>
          <w:lang w:eastAsia="zh-CN"/>
        </w:rPr>
        <w:t>00万元。</w:t>
      </w:r>
      <w:r>
        <w:rPr>
          <w:rFonts w:hint="eastAsia" w:ascii="仿宋_GB2312" w:hAnsi="仿宋_GB2312" w:eastAsia="仿宋_GB2312" w:cs="仿宋_GB2312"/>
          <w:b w:val="0"/>
          <w:bCs w:val="0"/>
          <w:sz w:val="32"/>
          <w:szCs w:val="32"/>
          <w:lang w:val="en-US" w:eastAsia="zh-CN"/>
        </w:rPr>
        <w:t>一是升级改造神威电磁设备生产基地降耗节能项目，总投资4500万元，建设智能化生产厂房、科技综合楼，搭建智能化生产线设施设备，年产5000台套电磁力设备；二是打造5MW分布式光伏发电项目，总投资1200万元，计划在君山自来水厂、第二污水厂、各乡镇自来水厂及污水厂屋顶及地面建设光伏发电站，共布板7856块，预计发电量491.49万kWh/年；三是在</w:t>
      </w:r>
      <w:r>
        <w:rPr>
          <w:rFonts w:hint="eastAsia" w:ascii="仿宋_GB2312" w:hAnsi="仿宋_GB2312" w:eastAsia="仿宋_GB2312" w:cs="仿宋_GB2312"/>
          <w:sz w:val="32"/>
          <w:szCs w:val="32"/>
          <w:lang w:val="en-US" w:eastAsia="zh-CN"/>
        </w:rPr>
        <w:t>君山区广兴洲镇新建一栋6+1层商住楼（1F商业、2-7F住宅），</w:t>
      </w:r>
      <w:r>
        <w:rPr>
          <w:rFonts w:hint="eastAsia" w:ascii="仿宋_GB2312" w:hAnsi="仿宋_GB2312" w:eastAsia="仿宋_GB2312" w:cs="仿宋_GB2312"/>
          <w:b w:val="0"/>
          <w:bCs w:val="0"/>
          <w:color w:val="auto"/>
          <w:sz w:val="32"/>
          <w:szCs w:val="32"/>
          <w:lang w:eastAsia="zh-CN"/>
        </w:rPr>
        <w:t>总投资1200万元，</w:t>
      </w:r>
      <w:r>
        <w:rPr>
          <w:rFonts w:hint="eastAsia" w:ascii="仿宋_GB2312" w:hAnsi="仿宋_GB2312" w:eastAsia="仿宋_GB2312" w:cs="仿宋_GB2312"/>
          <w:sz w:val="32"/>
          <w:szCs w:val="32"/>
          <w:lang w:val="en-US" w:eastAsia="zh-CN"/>
        </w:rPr>
        <w:t>新建商业面积401.47㎡，新建住宅面积3363.62㎡。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sz w:val="32"/>
          <w:szCs w:val="32"/>
          <w:lang w:val="en-US" w:eastAsia="zh-CN"/>
        </w:rPr>
        <w:t>（四）全力推进争资争项工作。</w:t>
      </w:r>
      <w:r>
        <w:rPr>
          <w:rFonts w:hint="eastAsia" w:ascii="仿宋_GB2312" w:hAnsi="仿宋_GB2312" w:eastAsia="仿宋_GB2312" w:cs="仿宋_GB2312"/>
          <w:b w:val="0"/>
          <w:bCs w:val="0"/>
          <w:color w:val="auto"/>
          <w:sz w:val="32"/>
          <w:szCs w:val="32"/>
          <w:lang w:eastAsia="zh-CN"/>
        </w:rPr>
        <w:t>2024年，我局通过申报超长期国债项目、中央预算内项目、地方专项债项目。从城区污水管网建设、城乡污水处理厂设备改造升级、老旧小区及配套工程、中心城区供水管网提质升级4个方面，申报了7个项目。拟争取资金合计2.69亿元；</w:t>
      </w:r>
      <w:r>
        <w:rPr>
          <w:rFonts w:hint="eastAsia" w:ascii="仿宋_GB2312" w:hAnsi="仿宋_GB2312" w:eastAsia="仿宋_GB2312" w:cs="仿宋_GB2312"/>
          <w:sz w:val="32"/>
          <w:szCs w:val="32"/>
          <w:lang w:val="en-US" w:eastAsia="zh-CN"/>
        </w:rPr>
        <w:t>完成了2025年保租房、危旧房改造项目申报，其中保租房62套，城市危旧房改造251套，争取中央资金合计约580万元</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sz w:val="32"/>
          <w:szCs w:val="32"/>
          <w:lang w:val="en" w:eastAsia="zh-CN"/>
        </w:rPr>
        <w:t>（五）</w:t>
      </w:r>
      <w:r>
        <w:rPr>
          <w:rFonts w:hint="eastAsia" w:ascii="仿宋_GB2312" w:hAnsi="仿宋_GB2312" w:eastAsia="仿宋_GB2312" w:cs="仿宋_GB2312"/>
          <w:sz w:val="32"/>
          <w:szCs w:val="32"/>
          <w:lang w:val="en-US" w:eastAsia="zh-CN"/>
        </w:rPr>
        <w:t>持续平稳调控房地产市场。一</w:t>
      </w:r>
      <w:r>
        <w:rPr>
          <w:rFonts w:hint="eastAsia" w:ascii="仿宋_GB2312" w:hAnsi="仿宋_GB2312" w:eastAsia="仿宋_GB2312" w:cs="仿宋_GB2312"/>
          <w:b w:val="0"/>
          <w:bCs w:val="0"/>
          <w:sz w:val="32"/>
          <w:szCs w:val="32"/>
          <w:lang w:val="en-US" w:eastAsia="zh-CN"/>
        </w:rPr>
        <w:t>是完成省市核定的家宁城市广场项目59套保交房任务；二是完成家宁城市广场和君山壹号三期的房地产项目融资白名单入库；三是完成家宁城市广场的房地产项目白名单融资2000万元；四是持续落实地方房地产市场调控政策。2022年5月1日至20</w:t>
      </w:r>
      <w:r>
        <w:rPr>
          <w:rFonts w:hint="eastAsia" w:ascii="仿宋_GB2312" w:hAnsi="仿宋_GB2312" w:eastAsia="仿宋_GB2312" w:cs="仿宋_GB2312"/>
          <w:b w:val="0"/>
          <w:bCs w:val="0"/>
          <w:color w:val="auto"/>
          <w:sz w:val="32"/>
          <w:szCs w:val="32"/>
          <w:u w:val="none"/>
          <w:lang w:val="en-US" w:eastAsia="zh-CN"/>
        </w:rPr>
        <w:t>23年1月3日，房产交易110套，发放购房补贴253.2万元。2023年1月4日至2023年6月30日，房产交易321套，发放购房补贴672.9万。2023年7月1日至2023年12月31日，房产交易304套，应发放购房补贴715.2万元。截至目前，全区新建商品房交易114套，交易金额合计3823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（六）扎实做好团湖垸灾后重建工作</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第一时间深入灾情一线指导调度灾后重建工作。加强与上级部门的沟通汇报，争取受灾补助资金，为灾后重建获得更多资金支持，尽可能地减少群众损失。对团洲垸43户君山居民的受灾房屋进行安全鉴定，对于房屋倒塌而无房居住的受灾群众申请移民迁建，对于正屋开裂、插座进水等问题，提供修缮指导帮扶，受损房屋维修加固共计花费约90余万元。全力推进住房保障工作，让受灾群众早日回归正常生活。</w:t>
      </w:r>
    </w:p>
    <w:p>
      <w:pPr>
        <w:pStyle w:val="11"/>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存在的问题及原因分析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（一）预算资金执行有待加强。年初未作预算安排，但本年仍实际发生了支出，进一步加强全局预算资金使用情况的的绩效考评工作，特别是对财政预算专项资金加强审计工作。</w:t>
      </w:r>
    </w:p>
    <w:p>
      <w:pPr>
        <w:keepNext w:val="0"/>
        <w:keepLines w:val="0"/>
        <w:pageBreakBefore w:val="0"/>
        <w:kinsoku/>
        <w:wordWrap/>
        <w:overflowPunct/>
        <w:topLinePunct w:val="0"/>
        <w:autoSpaceDE/>
        <w:bidi w:val="0"/>
        <w:adjustRightInd/>
        <w:snapToGrid/>
        <w:spacing w:line="240" w:lineRule="auto"/>
        <w:ind w:right="280" w:rightChars="100" w:firstLine="320" w:firstLineChars="100"/>
        <w:rPr>
          <w:rFonts w:hint="default"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（二）自身监督制度还有待进一步健全，政府采购制度执行不够到位。</w:t>
      </w:r>
    </w:p>
    <w:p>
      <w:pPr>
        <w:keepNext w:val="0"/>
        <w:keepLines w:val="0"/>
        <w:pageBreakBefore w:val="0"/>
        <w:kinsoku/>
        <w:wordWrap/>
        <w:overflowPunct/>
        <w:topLinePunct w:val="0"/>
        <w:autoSpaceDE/>
        <w:bidi w:val="0"/>
        <w:adjustRightInd/>
        <w:snapToGrid/>
        <w:spacing w:line="240" w:lineRule="auto"/>
        <w:ind w:right="280" w:rightChars="100" w:firstLine="320" w:firstLineChars="100"/>
        <w:rPr>
          <w:rFonts w:hint="default" w:ascii="Times New Roman" w:hAnsi="Times New Roman" w:eastAsia="黑体" w:cs="Times New Roman"/>
          <w:sz w:val="32"/>
          <w:szCs w:val="32"/>
          <w:highlight w:val="none"/>
        </w:rPr>
      </w:pPr>
      <w:r>
        <w:rPr>
          <w:rFonts w:hint="eastAsia" w:ascii="仿宋_GB2312" w:hAnsi="仿宋_GB2312" w:eastAsia="仿宋_GB2312" w:cs="仿宋_GB2312"/>
          <w:b w:val="0"/>
          <w:bCs w:val="0"/>
          <w:color w:val="000000"/>
          <w:kern w:val="0"/>
          <w:sz w:val="32"/>
          <w:szCs w:val="32"/>
          <w:shd w:val="clear" w:color="auto" w:fill="FFFFFF"/>
          <w:lang w:val="en-US" w:eastAsia="zh-CN" w:bidi="ar-SA"/>
        </w:rPr>
        <w:t>（三）资产管理需完善，没有建立严格的验收保管报废等手续，固定资产管理制度有待进一步完善。</w:t>
      </w:r>
    </w:p>
    <w:p>
      <w:pPr>
        <w:keepNext w:val="0"/>
        <w:keepLines w:val="0"/>
        <w:pageBreakBefore w:val="0"/>
        <w:widowControl/>
        <w:numPr>
          <w:ilvl w:val="0"/>
          <w:numId w:val="5"/>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pStyle w:val="3"/>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rightChars="0" w:firstLine="640" w:firstLineChars="200"/>
        <w:jc w:val="left"/>
        <w:textAlignment w:val="auto"/>
        <w:outlineLvl w:val="1"/>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强化预算管理，定期开展执行分析。一是通过定期对项目实施和预算执行情况进行梳理，及时掌握项目进度，督促项目实施单位早启动、早实施、早验收，对符合条件的项目按照项目进度支付相关款项，将预算资金管理贯穿于项目实施全过程中。二是针对项目跨年度的问题，争取项目尽早计划、尽早铺排、尽早开展，项目结束后第一时间完成费用结算。对未启动项目及时分析原因，根据资金使用情况调整下年预算安排。三是严格项目管理，加强项目监管，重点对政府购买服务合同履约实施跟踪监管。</w:t>
      </w:r>
    </w:p>
    <w:p>
      <w:pPr>
        <w:pStyle w:val="3"/>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rightChars="0" w:firstLine="640" w:firstLineChars="200"/>
        <w:jc w:val="left"/>
        <w:textAlignment w:val="auto"/>
        <w:outlineLvl w:val="1"/>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一是要设置项目资金台账，严格财务管理，规范会计核算。严格区分“基本支出”和“项目支出”，凡属预算安排的项目资金，支出时应归集到“项目支出”，并按预算项目的分类进行明细核算，避免混淆与挪项；制定专项资金管理办法，加强专项资金的追踪检查。二是要科学制定年度绩效目标。年度绩效目标应结合单位职能、年度工作重点，细化量化可操作、可考核的绩效目标；制订《行政事业单位内部控制制度》，形成完整的内控体系，进一步完善项目管理制度，拟定相关考核办法包括专项资金管理办法等；建立完善的绩效目标计划、实施、执行、检查、反馈、奖惩系统。三是要合理编制年度预算。结合上一年度预算执行情况及本年度预算收支变化因素，在保障部门正常运行的基础上，根据部门实际情况和具体绩效目标，科学编制本年度预算，力求精准，尽量减少调项和追加，保持预算执行的严肃性。四是要创新宣传，加大应用力度。针对不同区域不同群体，有针对性、有重点地实施宣传，提高服务水平。</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rightChars="0" w:firstLine="640" w:firstLineChars="200"/>
        <w:jc w:val="left"/>
        <w:textAlignment w:val="auto"/>
        <w:outlineLvl w:val="1"/>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三）规范资产管理，全面组织资产清查。一是认真做好固定资产报损、报废的管理工作。加强报损、报废资产的复核工作，严格把好报废关。研究解决多年积累下来丢失的固定资产挂账问题，做好固定资产管理的年报及产权登记工作。二是及时订正或调整有问题的账目，确保账账相符。条件具备时在一定范围内组织开展资产账、物核对和全方位组织资产清查工作，摸清家底。</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rightChars="0" w:firstLine="640" w:firstLineChars="200"/>
        <w:jc w:val="left"/>
        <w:textAlignment w:val="auto"/>
        <w:outlineLvl w:val="1"/>
        <w:rPr>
          <w:rFonts w:hint="default" w:ascii="Times New Roman" w:hAnsi="Times New Roman" w:eastAsia="黑体" w:cs="Times New Roman"/>
          <w:b w:val="0"/>
          <w:bCs w:val="0"/>
          <w:sz w:val="32"/>
          <w:szCs w:val="32"/>
          <w:highlight w:val="none"/>
        </w:rPr>
      </w:pPr>
      <w:r>
        <w:rPr>
          <w:rFonts w:hint="eastAsia" w:ascii="Times New Roman" w:hAnsi="Times New Roman" w:eastAsia="黑体" w:cs="Times New Roman"/>
          <w:b w:val="0"/>
          <w:bCs w:val="0"/>
          <w:sz w:val="32"/>
          <w:szCs w:val="32"/>
          <w:highlight w:val="none"/>
          <w:lang w:val="en-US" w:eastAsia="zh-CN"/>
        </w:rPr>
        <w:t>九、</w:t>
      </w:r>
      <w:r>
        <w:rPr>
          <w:rFonts w:hint="default" w:ascii="Times New Roman" w:hAnsi="Times New Roman" w:eastAsia="黑体" w:cs="Times New Roman"/>
          <w:b w:val="0"/>
          <w:bCs w:val="0"/>
          <w:sz w:val="32"/>
          <w:szCs w:val="32"/>
          <w:highlight w:val="none"/>
        </w:rPr>
        <w:t>部门整体支出绩效自评结果拟应用和公开情况</w:t>
      </w:r>
    </w:p>
    <w:p>
      <w:pPr>
        <w:pStyle w:val="7"/>
        <w:ind w:firstLine="560" w:firstLineChars="175"/>
        <w:rPr>
          <w:rFonts w:hint="default"/>
        </w:rPr>
      </w:pPr>
      <w:r>
        <w:rPr>
          <w:rFonts w:hint="eastAsia" w:ascii="仿宋_GB2312" w:hAnsi="仿宋_GB2312" w:eastAsia="仿宋_GB2312" w:cs="仿宋_GB2312"/>
          <w:b w:val="0"/>
          <w:bCs w:val="0"/>
          <w:color w:val="000000"/>
          <w:kern w:val="0"/>
          <w:sz w:val="32"/>
          <w:szCs w:val="32"/>
          <w:shd w:val="clear" w:color="auto" w:fill="FFFFFF"/>
          <w:lang w:val="en-US" w:eastAsia="zh-CN" w:bidi="ar-SA"/>
        </w:rPr>
        <w:t>区住建局将根据自评结果进一步规范管理，针对绩效评价过程中发现的问题，有针对性地采取措施，改善管理。同时，将按照区财政局统一部署，在规定时限内对</w:t>
      </w:r>
      <w:r>
        <w:rPr>
          <w:rFonts w:hint="default" w:ascii="仿宋_GB2312" w:hAnsi="仿宋_GB2312" w:eastAsia="仿宋_GB2312" w:cs="仿宋_GB2312"/>
          <w:b w:val="0"/>
          <w:bCs w:val="0"/>
          <w:color w:val="000000"/>
          <w:kern w:val="0"/>
          <w:sz w:val="32"/>
          <w:szCs w:val="32"/>
          <w:shd w:val="clear" w:color="auto" w:fill="FFFFFF"/>
          <w:lang w:val="en-US" w:eastAsia="zh-CN" w:bidi="ar-SA"/>
        </w:rPr>
        <w:t>202</w:t>
      </w:r>
      <w:r>
        <w:rPr>
          <w:rFonts w:hint="eastAsia" w:ascii="仿宋_GB2312" w:hAnsi="仿宋_GB2312" w:eastAsia="仿宋_GB2312" w:cs="仿宋_GB2312"/>
          <w:b w:val="0"/>
          <w:bCs w:val="0"/>
          <w:color w:val="000000"/>
          <w:kern w:val="0"/>
          <w:sz w:val="32"/>
          <w:szCs w:val="32"/>
          <w:shd w:val="clear" w:color="auto" w:fill="FFFFFF"/>
          <w:lang w:val="en-US" w:eastAsia="zh-CN" w:bidi="ar-SA"/>
        </w:rPr>
        <w:t>4年部门整体支出绩效自评报告在政府门户网站进行公开。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8"/>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7"/>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numPr>
                <w:ilvl w:val="0"/>
                <w:numId w:val="7"/>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highlight w:val="none"/>
              </w:rPr>
            </w:pP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F8CB56"/>
    <w:multiLevelType w:val="multilevel"/>
    <w:tmpl w:val="83F8CB56"/>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abstractNum w:abstractNumId="1">
    <w:nsid w:val="DE4860B1"/>
    <w:multiLevelType w:val="singleLevel"/>
    <w:tmpl w:val="DE4860B1"/>
    <w:lvl w:ilvl="0" w:tentative="0">
      <w:start w:val="8"/>
      <w:numFmt w:val="chineseCounting"/>
      <w:suff w:val="nothing"/>
      <w:lvlText w:val="%1、"/>
      <w:lvlJc w:val="left"/>
      <w:rPr>
        <w:rFonts w:hint="eastAsia"/>
      </w:rPr>
    </w:lvl>
  </w:abstractNum>
  <w:abstractNum w:abstractNumId="2">
    <w:nsid w:val="FAA87037"/>
    <w:multiLevelType w:val="singleLevel"/>
    <w:tmpl w:val="FAA87037"/>
    <w:lvl w:ilvl="0" w:tentative="0">
      <w:start w:val="7"/>
      <w:numFmt w:val="chineseCounting"/>
      <w:suff w:val="nothing"/>
      <w:lvlText w:val="%1、"/>
      <w:lvlJc w:val="left"/>
      <w:rPr>
        <w:rFonts w:hint="eastAsia"/>
      </w:rPr>
    </w:lvl>
  </w:abstractNum>
  <w:abstractNum w:abstractNumId="3">
    <w:nsid w:val="343F933F"/>
    <w:multiLevelType w:val="singleLevel"/>
    <w:tmpl w:val="343F933F"/>
    <w:lvl w:ilvl="0" w:tentative="0">
      <w:start w:val="1"/>
      <w:numFmt w:val="chineseCounting"/>
      <w:suff w:val="nothing"/>
      <w:lvlText w:val="（%1）"/>
      <w:lvlJc w:val="left"/>
      <w:rPr>
        <w:rFonts w:hint="eastAsia"/>
      </w:rPr>
    </w:lvl>
  </w:abstractNum>
  <w:abstractNum w:abstractNumId="4">
    <w:nsid w:val="4F1FB94E"/>
    <w:multiLevelType w:val="singleLevel"/>
    <w:tmpl w:val="4F1FB94E"/>
    <w:lvl w:ilvl="0" w:tentative="0">
      <w:start w:val="2"/>
      <w:numFmt w:val="chineseCounting"/>
      <w:suff w:val="nothing"/>
      <w:lvlText w:val="（%1）"/>
      <w:lvlJc w:val="left"/>
      <w:rPr>
        <w:rFonts w:hint="eastAsia"/>
      </w:rPr>
    </w:lvl>
  </w:abstractNum>
  <w:abstractNum w:abstractNumId="5">
    <w:nsid w:val="5DDF8822"/>
    <w:multiLevelType w:val="singleLevel"/>
    <w:tmpl w:val="5DDF8822"/>
    <w:lvl w:ilvl="0" w:tentative="0">
      <w:start w:val="1"/>
      <w:numFmt w:val="decimal"/>
      <w:suff w:val="nothing"/>
      <w:lvlText w:val="%1、"/>
      <w:lvlJc w:val="left"/>
    </w:lvl>
  </w:abstractNum>
  <w:abstractNum w:abstractNumId="6">
    <w:nsid w:val="70C2E35A"/>
    <w:multiLevelType w:val="singleLevel"/>
    <w:tmpl w:val="70C2E35A"/>
    <w:lvl w:ilvl="0" w:tentative="0">
      <w:start w:val="1"/>
      <w:numFmt w:val="decimal"/>
      <w:lvlText w:val="%1."/>
      <w:lvlJc w:val="left"/>
      <w:pPr>
        <w:ind w:left="425" w:hanging="425"/>
      </w:pPr>
      <w:rPr>
        <w:rFonts w:hint="default"/>
      </w:rPr>
    </w:lvl>
  </w:abstractNum>
  <w:num w:numId="1">
    <w:abstractNumId w:val="6"/>
  </w:num>
  <w:num w:numId="2">
    <w:abstractNumId w:val="0"/>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N2NlOWU4YWUzMDIwYTBiMTU5MWFiMWRhNzYyNDMifQ=="/>
  </w:docVars>
  <w:rsids>
    <w:rsidRoot w:val="59886344"/>
    <w:rsid w:val="004775B2"/>
    <w:rsid w:val="020267C1"/>
    <w:rsid w:val="09F60A55"/>
    <w:rsid w:val="0AA47DDB"/>
    <w:rsid w:val="0F991F1D"/>
    <w:rsid w:val="109B2B66"/>
    <w:rsid w:val="11256468"/>
    <w:rsid w:val="11EB32FE"/>
    <w:rsid w:val="156F6E94"/>
    <w:rsid w:val="15C121D6"/>
    <w:rsid w:val="194A79C2"/>
    <w:rsid w:val="1B2E2262"/>
    <w:rsid w:val="1C7B7E93"/>
    <w:rsid w:val="1E732D7B"/>
    <w:rsid w:val="1F7B0539"/>
    <w:rsid w:val="20EC75B1"/>
    <w:rsid w:val="25B3038A"/>
    <w:rsid w:val="263152B6"/>
    <w:rsid w:val="26D0042D"/>
    <w:rsid w:val="272D6C19"/>
    <w:rsid w:val="27644345"/>
    <w:rsid w:val="2808036C"/>
    <w:rsid w:val="287C3561"/>
    <w:rsid w:val="2C510660"/>
    <w:rsid w:val="2CA16BE1"/>
    <w:rsid w:val="30F865EC"/>
    <w:rsid w:val="365B2DB7"/>
    <w:rsid w:val="36F5685E"/>
    <w:rsid w:val="37A6637B"/>
    <w:rsid w:val="37F627D6"/>
    <w:rsid w:val="39F46A74"/>
    <w:rsid w:val="3E8409D1"/>
    <w:rsid w:val="3F736BA7"/>
    <w:rsid w:val="40BB34E6"/>
    <w:rsid w:val="40CE7CF8"/>
    <w:rsid w:val="43667986"/>
    <w:rsid w:val="448C1310"/>
    <w:rsid w:val="4B191858"/>
    <w:rsid w:val="4CD6689C"/>
    <w:rsid w:val="4E106CE1"/>
    <w:rsid w:val="52746222"/>
    <w:rsid w:val="58993DB4"/>
    <w:rsid w:val="58B53346"/>
    <w:rsid w:val="59886344"/>
    <w:rsid w:val="5A9F25A8"/>
    <w:rsid w:val="5FAEAB2A"/>
    <w:rsid w:val="60453BC2"/>
    <w:rsid w:val="60680783"/>
    <w:rsid w:val="6085265B"/>
    <w:rsid w:val="65F91B21"/>
    <w:rsid w:val="6922607A"/>
    <w:rsid w:val="6A025186"/>
    <w:rsid w:val="6B491226"/>
    <w:rsid w:val="6BA047ED"/>
    <w:rsid w:val="6D5F2E19"/>
    <w:rsid w:val="71FE401B"/>
    <w:rsid w:val="725065A2"/>
    <w:rsid w:val="73754CED"/>
    <w:rsid w:val="73BF0E77"/>
    <w:rsid w:val="75B10183"/>
    <w:rsid w:val="77B56D2F"/>
    <w:rsid w:val="7A2B4089"/>
    <w:rsid w:val="7BB16841"/>
    <w:rsid w:val="7D5644A8"/>
    <w:rsid w:val="7F7541C2"/>
    <w:rsid w:val="7FCF7BF6"/>
    <w:rsid w:val="D55F24F0"/>
    <w:rsid w:val="DFEF884A"/>
    <w:rsid w:val="F97F6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Body Text Indent"/>
    <w:basedOn w:val="1"/>
    <w:semiHidden/>
    <w:qFormat/>
    <w:uiPriority w:val="0"/>
    <w:pPr>
      <w:ind w:left="659" w:leftChars="314"/>
    </w:pPr>
    <w:rPr>
      <w:rFonts w:ascii="仿宋_GB2312" w:eastAsia="仿宋_GB2312"/>
      <w:sz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5"/>
    <w:semiHidden/>
    <w:qFormat/>
    <w:uiPriority w:val="0"/>
    <w:pPr>
      <w:spacing w:after="120"/>
      <w:ind w:left="283" w:leftChars="0" w:firstLine="210"/>
    </w:pPr>
    <w:rPr>
      <w:rFonts w:ascii="Times New Roman" w:eastAsia="宋体"/>
      <w:sz w:val="21"/>
    </w:rPr>
  </w:style>
  <w:style w:type="paragraph" w:customStyle="1" w:styleId="10">
    <w:name w:val="列出段落1"/>
    <w:basedOn w:val="1"/>
    <w:qFormat/>
    <w:uiPriority w:val="34"/>
    <w:pPr>
      <w:ind w:firstLine="420" w:firstLineChars="200"/>
    </w:pPr>
  </w:style>
  <w:style w:type="paragraph" w:styleId="11">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1556</Words>
  <Characters>1815</Characters>
  <Lines>0</Lines>
  <Paragraphs>0</Paragraphs>
  <TotalTime>23</TotalTime>
  <ScaleCrop>false</ScaleCrop>
  <LinksUpToDate>false</LinksUpToDate>
  <CharactersWithSpaces>1954</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2024-03-19T08:36:00Z</dcterms:created>
  <dc:creator>Administrator</dc:creator>
  <cp:lastModifiedBy>shmily</cp:lastModifiedBy>
  <cp:lastPrinted>2025-05-07T17:51:00Z</cp:lastPrinted>
  <dcterms:modified xsi:type="dcterms:W3CDTF">2025-05-07T03:24:12Z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42D0AE1D52B14B7D840F1CFB68B96048_13</vt:lpwstr>
  </property>
  <property fmtid="{D5CDD505-2E9C-101B-9397-08002B2CF9AE}" pid="4" name="KSOTemplateDocerSaveRecord">
    <vt:lpwstr>eyJoZGlkIjoiZTUyYzg3NzhhYzA5YjhmYzU2N2RhYzU3MjNiMjQxOGEiLCJ1c2VySWQiOiI2MzgxMjg0NjkifQ==</vt:lpwstr>
  </property>
</Properties>
</file>