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E8EBE">
      <w:pPr>
        <w:spacing w:line="570" w:lineRule="atLeas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object>
          <v:shape id="_x0000_i1025" o:spt="75" type="#_x0000_t75" style="height:631.5pt;width:446.25pt;" o:ole="t" filled="f" o:preferrelative="t" stroked="f" coordsize="21600,21600">
            <v:path/>
            <v:fill on="f" focussize="0,0"/>
            <v:stroke on="f" joinstyle="miter"/>
            <v:imagedata r:id="rId5" o:title=""/>
            <o:lock v:ext="edit" aspectratio="t"/>
            <w10:wrap type="none"/>
            <w10:anchorlock/>
          </v:shape>
          <o:OLEObject Type="Embed" ProgID="AcroExch.Document.7" ShapeID="_x0000_i1025" DrawAspect="Content" ObjectID="_1468075725" r:id="rId4">
            <o:LockedField>false</o:LockedField>
          </o:OLEObject>
        </w:object>
      </w:r>
    </w:p>
    <w:p w14:paraId="0C5CF0C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2024年度中国国际贸易促进委员会岳阳市</w:t>
      </w:r>
    </w:p>
    <w:p w14:paraId="4B551A6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君山区委员会单位整体支出绩效自评报告</w:t>
      </w:r>
    </w:p>
    <w:p w14:paraId="7816B5E3">
      <w:pPr>
        <w:jc w:val="center"/>
        <w:rPr>
          <w:rFonts w:ascii="方正小标宋简体" w:hAnsi="方正小标宋简体" w:eastAsia="方正小标宋简体" w:cs="方正小标宋简体"/>
          <w:sz w:val="44"/>
          <w:szCs w:val="44"/>
        </w:rPr>
      </w:pPr>
    </w:p>
    <w:p w14:paraId="17060639">
      <w:pPr>
        <w:spacing w:line="640" w:lineRule="exact"/>
        <w:ind w:firstLine="640" w:firstLineChars="200"/>
        <w:rPr>
          <w:rFonts w:ascii="Times New Roman" w:hAnsi="Times New Roman" w:eastAsia="仿宋_GB2312"/>
          <w:sz w:val="32"/>
          <w:szCs w:val="32"/>
        </w:rPr>
      </w:pPr>
    </w:p>
    <w:p w14:paraId="1C77EF68">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0398008B">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、单位职能</w:t>
      </w:r>
    </w:p>
    <w:p w14:paraId="5D7A370D">
      <w:pPr>
        <w:tabs>
          <w:tab w:val="left" w:pos="540"/>
        </w:tabs>
        <w:spacing w:line="560" w:lineRule="exact"/>
        <w:ind w:firstLine="640" w:firstLineChars="200"/>
        <w:rPr>
          <w:rFonts w:ascii="黑体" w:hAnsi="黑体" w:eastAsia="黑体"/>
          <w:kern w:val="44"/>
          <w:sz w:val="32"/>
          <w:szCs w:val="32"/>
        </w:rPr>
      </w:pPr>
      <w:r>
        <w:rPr>
          <w:rFonts w:hint="eastAsia" w:ascii="仿宋_GB2312" w:hAnsi="仿宋_GB2312" w:eastAsia="仿宋_GB2312"/>
          <w:kern w:val="44"/>
          <w:sz w:val="32"/>
          <w:szCs w:val="32"/>
        </w:rPr>
        <w:t>（1）根据区委、区人民政府有关外经贸和外事工作的方针政策及工作部署，开展同国内外经济贸易界、商会协会、贸促机构和其他经贸团体以及有关国际组织的联络工作；与国外相应组织签订有关经贸技术交流、合作协议、协定，并参加相关活动。</w:t>
      </w:r>
    </w:p>
    <w:p w14:paraId="5521033B">
      <w:pPr>
        <w:spacing w:line="560" w:lineRule="exact"/>
        <w:ind w:firstLine="640" w:firstLineChars="200"/>
        <w:rPr>
          <w:rFonts w:ascii="仿宋_GB2312" w:hAnsi="仿宋_GB2312" w:eastAsia="仿宋_GB2312"/>
          <w:kern w:val="44"/>
          <w:sz w:val="32"/>
          <w:szCs w:val="32"/>
        </w:rPr>
      </w:pPr>
      <w:r>
        <w:rPr>
          <w:rFonts w:hint="eastAsia" w:ascii="仿宋_GB2312" w:hAnsi="仿宋_GB2312" w:eastAsia="仿宋_GB2312"/>
          <w:kern w:val="44"/>
          <w:sz w:val="32"/>
          <w:szCs w:val="32"/>
        </w:rPr>
        <w:t>（2）邀请和接待国内外经贸界人士和代表团来访；组织经济贸易代表团赴境外访问与考察；协助区委、区人民政府组织经贸洽谈、招商引资及其他形式的促进经贸交流与合作活动。</w:t>
      </w:r>
    </w:p>
    <w:p w14:paraId="706FE1CE">
      <w:pPr>
        <w:spacing w:line="560" w:lineRule="exact"/>
        <w:ind w:firstLine="720" w:firstLineChars="225"/>
        <w:rPr>
          <w:rFonts w:ascii="仿宋_GB2312" w:hAnsi="仿宋_GB2312" w:eastAsia="仿宋_GB2312"/>
          <w:kern w:val="44"/>
          <w:sz w:val="32"/>
          <w:szCs w:val="32"/>
        </w:rPr>
      </w:pPr>
      <w:r>
        <w:rPr>
          <w:rFonts w:hint="eastAsia" w:ascii="仿宋_GB2312" w:hAnsi="仿宋_GB2312" w:eastAsia="仿宋_GB2312"/>
          <w:kern w:val="44"/>
          <w:sz w:val="32"/>
          <w:szCs w:val="32"/>
        </w:rPr>
        <w:t>（3）开展国内外经济贸易信息的收集、整理、传递和发布工作，建立国内外的经贸信息网络；向国内外有关企业和机构介绍经济技术合作、劳务合作对象、提供贸易机会、信息咨询及国内外公司、企业的资信调查服务；举办对外经贸宣传活动。</w:t>
      </w:r>
    </w:p>
    <w:p w14:paraId="6655B356">
      <w:pPr>
        <w:spacing w:line="560" w:lineRule="exact"/>
        <w:ind w:firstLine="640" w:firstLineChars="200"/>
        <w:rPr>
          <w:rFonts w:ascii="仿宋_GB2312" w:hAnsi="仿宋_GB2312" w:eastAsia="仿宋_GB2312"/>
          <w:kern w:val="44"/>
          <w:sz w:val="32"/>
          <w:szCs w:val="32"/>
        </w:rPr>
      </w:pPr>
      <w:r>
        <w:rPr>
          <w:rFonts w:hint="eastAsia" w:ascii="仿宋_GB2312" w:hAnsi="仿宋_GB2312" w:eastAsia="仿宋_GB2312"/>
          <w:kern w:val="44"/>
          <w:sz w:val="32"/>
          <w:szCs w:val="32"/>
        </w:rPr>
        <w:t>（4）协调管理全区出国举办经济贸易展览会的归口受理、报批工作；根据君山区对外经贸工作的需要，拟定年度出国办展和参展计划；组织君山区企业、团体在境内外举办经贸展览会和参加国际博览会、专业性展览会等。</w:t>
      </w:r>
    </w:p>
    <w:p w14:paraId="3BC40BC1">
      <w:pPr>
        <w:spacing w:line="560" w:lineRule="exact"/>
        <w:ind w:firstLine="720" w:firstLineChars="225"/>
        <w:rPr>
          <w:rFonts w:ascii="仿宋_GB2312" w:hAnsi="仿宋_GB2312" w:eastAsia="仿宋_GB2312"/>
          <w:kern w:val="44"/>
          <w:sz w:val="32"/>
          <w:szCs w:val="32"/>
        </w:rPr>
      </w:pPr>
      <w:r>
        <w:rPr>
          <w:rFonts w:hint="eastAsia" w:ascii="仿宋_GB2312" w:hAnsi="仿宋_GB2312" w:eastAsia="仿宋_GB2312"/>
          <w:kern w:val="44"/>
          <w:sz w:val="32"/>
          <w:szCs w:val="32"/>
        </w:rPr>
        <w:t>（5）与各地商会、律师事务所及其他商事法律服务组织合作，建立国际商事法律服务平台；签发货物原产地证明书、商事证明书和ATA单证册，出具不可抗力证明，代办涉外商事文件的领事认证业务；受理共同海损和单独海损等理算业务；组织涉外商事法律方面的对外交流活动；对企业进行国际商事法律业务培训。</w:t>
      </w:r>
    </w:p>
    <w:p w14:paraId="5F316D35">
      <w:pPr>
        <w:spacing w:line="560" w:lineRule="exact"/>
        <w:ind w:firstLine="720" w:firstLineChars="225"/>
        <w:rPr>
          <w:rFonts w:ascii="仿宋_GB2312" w:hAnsi="仿宋_GB2312" w:eastAsia="仿宋_GB2312"/>
          <w:kern w:val="44"/>
          <w:sz w:val="32"/>
          <w:szCs w:val="32"/>
        </w:rPr>
      </w:pPr>
      <w:r>
        <w:rPr>
          <w:rFonts w:hint="eastAsia" w:ascii="仿宋_GB2312" w:hAnsi="仿宋_GB2312" w:eastAsia="仿宋_GB2312"/>
          <w:kern w:val="44"/>
          <w:sz w:val="32"/>
          <w:szCs w:val="32"/>
        </w:rPr>
        <w:t>（6）协助调解涉外经贸（海事）纠纷；代理君山区企业在国内外或外国公司和个人在我国办理商标注册和专利申请；协助办理有关知识产权的咨询、争议处理及技术贸易等业务。</w:t>
      </w:r>
    </w:p>
    <w:p w14:paraId="04EDB0EF">
      <w:pPr>
        <w:spacing w:line="560" w:lineRule="exact"/>
        <w:ind w:firstLine="720" w:firstLineChars="225"/>
        <w:rPr>
          <w:rFonts w:ascii="仿宋_GB2312" w:hAnsi="仿宋_GB2312" w:eastAsia="仿宋_GB2312"/>
          <w:kern w:val="44"/>
          <w:sz w:val="32"/>
          <w:szCs w:val="32"/>
        </w:rPr>
      </w:pPr>
      <w:r>
        <w:rPr>
          <w:rFonts w:hint="eastAsia" w:ascii="仿宋_GB2312" w:hAnsi="仿宋_GB2312" w:eastAsia="仿宋_GB2312"/>
          <w:kern w:val="44"/>
          <w:sz w:val="32"/>
          <w:szCs w:val="32"/>
        </w:rPr>
        <w:t>（7）在全区范围发展和管理会员，开展各类会员服务和培训工作。</w:t>
      </w:r>
    </w:p>
    <w:p w14:paraId="1A85CCA4">
      <w:pPr>
        <w:spacing w:line="560" w:lineRule="exact"/>
        <w:ind w:firstLine="720" w:firstLineChars="225"/>
        <w:rPr>
          <w:rFonts w:ascii="仿宋_GB2312" w:hAnsi="仿宋_GB2312" w:eastAsia="仿宋_GB2312"/>
          <w:kern w:val="44"/>
          <w:sz w:val="32"/>
          <w:szCs w:val="32"/>
        </w:rPr>
      </w:pPr>
      <w:r>
        <w:rPr>
          <w:rFonts w:hint="eastAsia" w:ascii="仿宋_GB2312" w:hAnsi="仿宋_GB2312" w:eastAsia="仿宋_GB2312"/>
          <w:kern w:val="44"/>
          <w:sz w:val="32"/>
          <w:szCs w:val="32"/>
        </w:rPr>
        <w:t>（8）接受海外企业、团体委托，代办在君山区设立代表处或办事处的申报手续，并做好相应服务工作。</w:t>
      </w:r>
    </w:p>
    <w:p w14:paraId="0DCED1E4">
      <w:pPr>
        <w:spacing w:line="560" w:lineRule="exact"/>
        <w:ind w:firstLine="600"/>
        <w:rPr>
          <w:rFonts w:ascii="宋体" w:hAnsi="宋体"/>
          <w:sz w:val="32"/>
          <w:szCs w:val="32"/>
        </w:rPr>
      </w:pPr>
      <w:r>
        <w:rPr>
          <w:rFonts w:hint="eastAsia" w:ascii="仿宋_GB2312" w:hAnsi="仿宋_GB2312" w:eastAsia="仿宋_GB2312"/>
          <w:kern w:val="44"/>
          <w:sz w:val="32"/>
          <w:szCs w:val="32"/>
        </w:rPr>
        <w:t>（9）</w:t>
      </w:r>
      <w:r>
        <w:rPr>
          <w:rFonts w:hint="eastAsia" w:ascii="仿宋_GB2312" w:hAnsi="仿宋_GB2312" w:eastAsia="仿宋_GB2312" w:cs="仿宋_GB2312"/>
          <w:sz w:val="32"/>
          <w:szCs w:val="32"/>
        </w:rPr>
        <w:t>承办区委、区人民政府交办的其他工作</w:t>
      </w:r>
      <w:r>
        <w:rPr>
          <w:rFonts w:hint="eastAsia" w:ascii="仿宋_GB2312" w:hAnsi="仿宋_GB2312" w:eastAsia="仿宋_GB2312"/>
          <w:kern w:val="44"/>
          <w:sz w:val="32"/>
          <w:szCs w:val="32"/>
        </w:rPr>
        <w:t>。</w:t>
      </w:r>
    </w:p>
    <w:p w14:paraId="355A0434">
      <w:pPr>
        <w:spacing w:line="560" w:lineRule="exact"/>
        <w:ind w:firstLine="643" w:firstLineChars="200"/>
        <w:rPr>
          <w:rFonts w:ascii="仿宋_GB2312" w:hAnsi="仿宋_GB2312" w:eastAsia="仿宋_GB2312" w:cs="仿宋_GB2312"/>
          <w:bCs/>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二</w:t>
      </w:r>
      <w:r>
        <w:rPr>
          <w:rFonts w:ascii="Times New Roman" w:hAnsi="Times New Roman" w:eastAsia="楷体_GB2312"/>
          <w:b/>
          <w:sz w:val="32"/>
          <w:szCs w:val="32"/>
        </w:rPr>
        <w:t>）</w:t>
      </w:r>
      <w:r>
        <w:rPr>
          <w:rFonts w:hint="eastAsia" w:ascii="仿宋_GB2312" w:hAnsi="仿宋_GB2312" w:eastAsia="仿宋_GB2312" w:cs="仿宋_GB2312"/>
          <w:b/>
          <w:sz w:val="32"/>
          <w:szCs w:val="32"/>
        </w:rPr>
        <w:t>、机构设置</w:t>
      </w:r>
    </w:p>
    <w:p w14:paraId="46A11B0D">
      <w:pPr>
        <w:widowControl/>
        <w:spacing w:line="600" w:lineRule="exact"/>
        <w:ind w:firstLine="640" w:firstLineChars="200"/>
        <w:jc w:val="left"/>
        <w:rPr>
          <w:rFonts w:eastAsia="楷体_GB2312"/>
          <w:b/>
          <w:sz w:val="32"/>
          <w:szCs w:val="32"/>
        </w:rPr>
      </w:pPr>
      <w:r>
        <w:rPr>
          <w:rFonts w:hint="eastAsia" w:eastAsia="仿宋_GB2312"/>
          <w:sz w:val="32"/>
          <w:szCs w:val="32"/>
        </w:rPr>
        <w:t>中国国际贸易促进委员会岳阳市君山区委员会内设</w:t>
      </w:r>
      <w:r>
        <w:rPr>
          <w:rFonts w:hint="eastAsia" w:ascii="仿宋_GB2312" w:hAnsi="仿宋_GB2312" w:eastAsia="仿宋_GB2312" w:cs="仿宋_GB2312"/>
          <w:color w:val="000000"/>
          <w:kern w:val="44"/>
          <w:sz w:val="32"/>
          <w:szCs w:val="32"/>
        </w:rPr>
        <w:t>2</w:t>
      </w:r>
      <w:r>
        <w:rPr>
          <w:rFonts w:hint="eastAsia" w:eastAsia="仿宋_GB2312"/>
          <w:sz w:val="32"/>
          <w:szCs w:val="32"/>
        </w:rPr>
        <w:t>个职能股室：</w:t>
      </w:r>
      <w:r>
        <w:rPr>
          <w:rFonts w:hint="eastAsia" w:ascii="仿宋_GB2312" w:hAnsi="仿宋_GB2312" w:eastAsia="仿宋_GB2312" w:cs="仿宋_GB2312"/>
          <w:color w:val="000000"/>
          <w:kern w:val="44"/>
          <w:sz w:val="32"/>
          <w:szCs w:val="32"/>
        </w:rPr>
        <w:t>办公室（法律事务部）及会务部（国际展览部）</w:t>
      </w:r>
      <w:r>
        <w:rPr>
          <w:rFonts w:hint="eastAsia" w:eastAsia="仿宋_GB2312"/>
          <w:sz w:val="32"/>
          <w:szCs w:val="32"/>
        </w:rPr>
        <w:t>；核定区贸促会全额拨款事业编制7名，</w:t>
      </w:r>
      <w:r>
        <w:rPr>
          <w:rFonts w:hint="eastAsia" w:ascii="仿宋_GB2312" w:hAnsi="仿宋_GB2312" w:eastAsia="仿宋_GB2312" w:cs="仿宋_GB2312"/>
          <w:color w:val="000000"/>
          <w:kern w:val="44"/>
          <w:sz w:val="32"/>
          <w:szCs w:val="32"/>
        </w:rPr>
        <w:t>编委3名。下设副科级事业机构区投促事务中心，编制为4名</w:t>
      </w:r>
      <w:r>
        <w:rPr>
          <w:rFonts w:hint="eastAsia" w:eastAsia="仿宋_GB2312"/>
          <w:sz w:val="32"/>
          <w:szCs w:val="32"/>
        </w:rPr>
        <w:t>。</w:t>
      </w:r>
    </w:p>
    <w:p w14:paraId="64C0A81B">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3D0C9A2A">
      <w:pPr>
        <w:pStyle w:val="11"/>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45EB3767">
      <w:pPr>
        <w:pStyle w:val="11"/>
        <w:widowControl/>
        <w:spacing w:line="560" w:lineRule="exact"/>
        <w:ind w:firstLine="640"/>
        <w:rPr>
          <w:rFonts w:ascii="Times New Roman" w:hAnsi="Times New Roman" w:eastAsia="楷体_GB2312"/>
          <w:bCs/>
          <w:sz w:val="32"/>
          <w:szCs w:val="32"/>
        </w:rPr>
      </w:pPr>
      <w:r>
        <w:rPr>
          <w:rFonts w:hint="eastAsia" w:ascii="仿宋_GB2312" w:hAnsi="仿宋_GB2312" w:eastAsia="仿宋_GB2312" w:cs="仿宋_GB2312"/>
          <w:kern w:val="2"/>
          <w:sz w:val="32"/>
          <w:szCs w:val="32"/>
        </w:rPr>
        <w:t>2024年本单位部门预算资金194.72万元（基本支出174.1万元，项目支出20.62万元），全年实际支出194.72万元，其中基本支出174.1万元，项目支出20.62万元，预算执行率100%。　　　　　　</w:t>
      </w:r>
    </w:p>
    <w:p w14:paraId="0612A097">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2024年度基本支出174.1万元，其中人员经费93.08万元，公用经费81.02万元。</w:t>
      </w:r>
    </w:p>
    <w:p w14:paraId="0EA7355A">
      <w:pPr>
        <w:pStyle w:val="11"/>
        <w:widowControl/>
        <w:spacing w:line="560" w:lineRule="exact"/>
        <w:ind w:firstLine="640"/>
        <w:rPr>
          <w:rFonts w:eastAsia="仿宋_GB2312" w:cs="仿宋_GB231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1BE2DC94">
      <w:pPr>
        <w:pStyle w:val="11"/>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51BD2873">
      <w:pPr>
        <w:pStyle w:val="7"/>
        <w:widowControl/>
        <w:spacing w:beforeAutospacing="0" w:afterAutospacing="0" w:line="22" w:lineRule="atLeast"/>
        <w:ind w:left="560" w:leftChars="200" w:firstLine="320" w:firstLineChars="100"/>
        <w:jc w:val="both"/>
        <w:textAlignment w:val="center"/>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2024年本单位项目支出20.62万元。</w:t>
      </w:r>
    </w:p>
    <w:p w14:paraId="01F9ED99">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0E756749">
      <w:pPr>
        <w:pStyle w:val="11"/>
        <w:widowControl/>
        <w:spacing w:line="640" w:lineRule="exact"/>
        <w:ind w:firstLine="64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 xml:space="preserve"> 2024年本单位无此项支出。</w:t>
      </w:r>
    </w:p>
    <w:p w14:paraId="57721FE7">
      <w:pPr>
        <w:pStyle w:val="11"/>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090F211F">
      <w:pPr>
        <w:pStyle w:val="11"/>
        <w:widowControl/>
        <w:spacing w:line="640" w:lineRule="exact"/>
        <w:ind w:firstLine="640"/>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仿宋_GB2312" w:hAnsi="仿宋_GB2312" w:eastAsia="仿宋_GB2312" w:cs="仿宋_GB2312"/>
          <w:color w:val="000000"/>
          <w:kern w:val="2"/>
          <w:sz w:val="32"/>
          <w:szCs w:val="32"/>
          <w:shd w:val="clear" w:color="auto" w:fill="FFFFFF"/>
        </w:rPr>
        <w:t>2024年本单位无此项支出。</w:t>
      </w:r>
    </w:p>
    <w:p w14:paraId="2FD1BE2F">
      <w:pPr>
        <w:pStyle w:val="11"/>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15199C36">
      <w:pPr>
        <w:pStyle w:val="11"/>
        <w:widowControl/>
        <w:spacing w:line="640" w:lineRule="exact"/>
        <w:ind w:firstLine="64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 xml:space="preserve"> 2024年本单位无此项支出。</w:t>
      </w:r>
    </w:p>
    <w:p w14:paraId="78FC5CB7">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375A7AC0">
      <w:pPr>
        <w:pStyle w:val="11"/>
        <w:widowControl/>
        <w:spacing w:line="560" w:lineRule="exact"/>
        <w:ind w:firstLine="0" w:firstLineChars="0"/>
        <w:rPr>
          <w:rFonts w:ascii="仿宋_GB2312" w:hAnsi="仿宋_GB2312" w:eastAsia="仿宋_GB2312" w:cs="仿宋_GB2312"/>
          <w:kern w:val="2"/>
          <w:sz w:val="32"/>
          <w:szCs w:val="32"/>
        </w:rPr>
      </w:pPr>
      <w:r>
        <w:rPr>
          <w:rFonts w:hint="eastAsia" w:ascii="Times New Roman" w:hAnsi="Times New Roman" w:eastAsia="黑体"/>
          <w:sz w:val="32"/>
          <w:szCs w:val="32"/>
        </w:rPr>
        <w:t>　</w:t>
      </w:r>
      <w:r>
        <w:rPr>
          <w:rFonts w:ascii="仿宋_GB2312" w:hAnsi="仿宋_GB2312" w:eastAsia="仿宋_GB2312" w:cs="仿宋_GB2312"/>
          <w:kern w:val="2"/>
          <w:sz w:val="32"/>
          <w:szCs w:val="32"/>
        </w:rPr>
        <w:t>2024年，</w:t>
      </w:r>
      <w:r>
        <w:rPr>
          <w:rFonts w:hint="eastAsia" w:ascii="仿宋_GB2312" w:hAnsi="仿宋_GB2312" w:eastAsia="仿宋_GB2312" w:cs="仿宋_GB2312"/>
          <w:kern w:val="2"/>
          <w:sz w:val="32"/>
          <w:szCs w:val="32"/>
        </w:rPr>
        <w:t>本单位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厉行节约，从严控制</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根据《部门整体支出绩效自评表》自评得分</w:t>
      </w:r>
      <w:r>
        <w:rPr>
          <w:rFonts w:hint="eastAsia" w:ascii="仿宋_GB2312" w:hAnsi="仿宋_GB2312" w:eastAsia="仿宋_GB2312" w:cs="仿宋_GB2312"/>
          <w:kern w:val="2"/>
          <w:sz w:val="32"/>
          <w:szCs w:val="32"/>
        </w:rPr>
        <w:t>98</w:t>
      </w:r>
      <w:r>
        <w:rPr>
          <w:rFonts w:ascii="仿宋_GB2312" w:hAnsi="仿宋_GB2312" w:eastAsia="仿宋_GB2312" w:cs="仿宋_GB2312"/>
          <w:kern w:val="2"/>
          <w:sz w:val="32"/>
          <w:szCs w:val="32"/>
        </w:rPr>
        <w:t>分(详见附表2)，部门整体支出绩效为“优”</w:t>
      </w:r>
    </w:p>
    <w:p w14:paraId="035EB4A6">
      <w:pPr>
        <w:widowControl/>
        <w:spacing w:line="64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（一）2024年部门整体支出绩效目标设置及完成情况</w:t>
      </w:r>
    </w:p>
    <w:p w14:paraId="7FF3DA91">
      <w:pPr>
        <w:spacing w:line="560" w:lineRule="exact"/>
        <w:ind w:firstLine="643" w:firstLineChars="200"/>
        <w:rPr>
          <w:rFonts w:ascii="仿宋_GB2312" w:hAnsi="Calibri" w:eastAsia="仿宋_GB2312"/>
          <w:bCs/>
          <w:sz w:val="32"/>
          <w:szCs w:val="32"/>
        </w:rPr>
      </w:pPr>
      <w:r>
        <w:rPr>
          <w:rFonts w:hint="eastAsia" w:ascii="楷体_GB2312" w:hAnsi="楷体_GB2312" w:eastAsia="楷体_GB2312" w:cs="楷体_GB2312"/>
          <w:b/>
          <w:bCs/>
          <w:sz w:val="32"/>
          <w:szCs w:val="32"/>
        </w:rPr>
        <w:t>1.招大引强有实绩。</w:t>
      </w:r>
      <w:r>
        <w:rPr>
          <w:rFonts w:hint="eastAsia" w:ascii="仿宋_GB2312" w:hAnsi="Calibri" w:eastAsia="仿宋_GB2312"/>
          <w:bCs/>
          <w:kern w:val="2"/>
          <w:sz w:val="32"/>
          <w:szCs w:val="32"/>
        </w:rPr>
        <w:t>2024年，我区新签约项目84个，总投资80.231亿元，到位资金3.01亿元。其中20亿元以上项目1个，10亿元以上项目1个，2亿元以上项目6个（超市定任务4个），亿元以上项目共计19个。“三类500强”企业3家（超市定任务2家）。已签约84个项目中，有32个项目已开工。另有在谈项目80个。接待了韩国韩中文化经济交流促进协会、粤港澳农副产品供应链企业考察团等商协会，并有中交集团、中建集团等央企来区考察120余批次。</w:t>
      </w:r>
    </w:p>
    <w:p w14:paraId="16A48EF4">
      <w:pPr>
        <w:spacing w:line="560" w:lineRule="exact"/>
        <w:ind w:firstLine="643" w:firstLineChars="200"/>
        <w:rPr>
          <w:rFonts w:ascii="仿宋_GB2312" w:hAnsi="Calibri" w:eastAsia="仿宋_GB2312"/>
          <w:bCs/>
          <w:sz w:val="32"/>
          <w:szCs w:val="32"/>
        </w:rPr>
      </w:pPr>
      <w:r>
        <w:rPr>
          <w:rFonts w:hint="eastAsia" w:ascii="楷体_GB2312" w:hAnsi="楷体_GB2312" w:eastAsia="楷体_GB2312" w:cs="楷体_GB2312"/>
          <w:b/>
          <w:bCs/>
          <w:sz w:val="32"/>
          <w:szCs w:val="32"/>
        </w:rPr>
        <w:t>2.外出招商有实效。</w:t>
      </w:r>
      <w:r>
        <w:rPr>
          <w:rFonts w:hint="eastAsia" w:ascii="仿宋_GB2312" w:hAnsi="Calibri" w:eastAsia="仿宋_GB2312"/>
          <w:bCs/>
          <w:kern w:val="2"/>
          <w:sz w:val="32"/>
          <w:szCs w:val="32"/>
        </w:rPr>
        <w:t>全年，雷欣书记、陈淼区长亲自带队外出招商31次，先后赴上海市、北京市、重庆市、广东省等地开展精准招商活动，力促省北京千喜鹤集团现代农业融合发展示范园项目、上海华陟集团农贸文旅小镇项目、省建投集团现代农业投融创项目、中交集团“五千工程”农业产业项目等亿元项目成功落户君山。区直单位及乡镇主要负责人外出招商共计196次，招商小分队对接企业40余家。</w:t>
      </w:r>
    </w:p>
    <w:p w14:paraId="36FF96AB">
      <w:pPr>
        <w:spacing w:line="560" w:lineRule="exact"/>
        <w:ind w:firstLine="643" w:firstLineChars="200"/>
        <w:rPr>
          <w:rFonts w:ascii="仿宋_GB2312" w:hAnsi="Calibri" w:eastAsia="仿宋_GB2312"/>
          <w:bCs/>
          <w:sz w:val="32"/>
          <w:szCs w:val="32"/>
        </w:rPr>
      </w:pPr>
      <w:r>
        <w:rPr>
          <w:rFonts w:hint="eastAsia" w:ascii="楷体_GB2312" w:hAnsi="楷体_GB2312" w:eastAsia="楷体_GB2312" w:cs="楷体_GB2312"/>
          <w:b/>
          <w:bCs/>
          <w:sz w:val="32"/>
          <w:szCs w:val="32"/>
        </w:rPr>
        <w:t>3.招引项目落地有实果。</w:t>
      </w:r>
      <w:r>
        <w:rPr>
          <w:rFonts w:hint="eastAsia" w:ascii="仿宋_GB2312" w:hAnsi="Calibri" w:eastAsia="仿宋_GB2312"/>
          <w:bCs/>
          <w:kern w:val="2"/>
          <w:sz w:val="32"/>
          <w:szCs w:val="32"/>
        </w:rPr>
        <w:t>已签约84个项目中，有32个项目已开工。其中家宁城市广场、君和酒店已顺利营业，旌祺食品项目、东来兴漆包线项目已顺利投产，千喜鹤（一期）已完成1350㎡仓储配送中心建设并投入使用，吉兴生物、永金生产基地项目已封顶，君山1959、万雨合业（二期）、万雨合业菌菇基地项目、博凯制衣、罗氏包装、嘉顺泰扩产项目正在加紧建设，鸟语林旅居基地项目已完成招标，华陟实业完成选址和公司注册，公合基金、省建八公司、中经锂电均已完成公司注册和税务登记。</w:t>
      </w:r>
    </w:p>
    <w:p w14:paraId="0EFA7CCE">
      <w:pPr>
        <w:ind w:firstLine="643" w:firstLineChars="200"/>
        <w:rPr>
          <w:rFonts w:ascii="微软雅黑" w:hAnsi="微软雅黑" w:eastAsia="微软雅黑" w:cs="微软雅黑"/>
          <w:color w:val="333333"/>
          <w:sz w:val="24"/>
        </w:rPr>
      </w:pPr>
      <w:r>
        <w:rPr>
          <w:rFonts w:hint="eastAsia" w:ascii="楷体_GB2312" w:hAnsi="微软雅黑" w:eastAsia="楷体_GB2312" w:cs="楷体_GB2312"/>
          <w:b/>
          <w:bCs/>
          <w:color w:val="000000"/>
          <w:sz w:val="32"/>
          <w:szCs w:val="32"/>
          <w:shd w:val="clear" w:color="auto" w:fill="FFFFFF"/>
        </w:rPr>
        <w:t>（二）</w:t>
      </w:r>
      <w:r>
        <w:rPr>
          <w:rFonts w:ascii="楷体_GB2312" w:hAnsi="微软雅黑" w:eastAsia="楷体_GB2312" w:cs="楷体_GB2312"/>
          <w:b/>
          <w:bCs/>
          <w:color w:val="000000"/>
          <w:sz w:val="32"/>
          <w:szCs w:val="32"/>
          <w:shd w:val="clear" w:color="auto" w:fill="FFFFFF"/>
        </w:rPr>
        <w:t>单位资产管理和整体业务实施效果情况</w:t>
      </w:r>
    </w:p>
    <w:p w14:paraId="7C07F9F9">
      <w:pPr>
        <w:spacing w:line="560" w:lineRule="exact"/>
        <w:ind w:firstLine="640" w:firstLineChars="200"/>
        <w:rPr>
          <w:rFonts w:ascii="仿宋_GB2312" w:hAnsi="仿宋_GB2312" w:eastAsia="仿宋_GB2312" w:cs="仿宋_GB2312"/>
          <w:kern w:val="2"/>
          <w:sz w:val="32"/>
          <w:szCs w:val="32"/>
        </w:rPr>
      </w:pPr>
      <w:r>
        <w:rPr>
          <w:rFonts w:hint="eastAsia" w:ascii="仿宋_GB2312" w:hAnsi="Calibri" w:eastAsia="仿宋_GB2312"/>
          <w:bCs/>
          <w:kern w:val="2"/>
          <w:sz w:val="32"/>
          <w:szCs w:val="32"/>
        </w:rPr>
        <w:t>本单位资产设有专门人员将单位所有资产全部录入固定资产信息系统,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保障单位正常运转的同时，合理配备并有效使用资产，充分发挥了国有资产的使用效益和社会效益。</w:t>
      </w:r>
    </w:p>
    <w:p w14:paraId="737AFC9A">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8098A70">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14:paraId="175498FA">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14:paraId="1984C36A">
      <w:pPr>
        <w:widowControl/>
        <w:numPr>
          <w:ilvl w:val="0"/>
          <w:numId w:val="4"/>
        </w:numPr>
        <w:shd w:val="clear" w:color="auto" w:fill="FFFFFF"/>
        <w:spacing w:line="560" w:lineRule="exact"/>
        <w:ind w:left="0"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14:paraId="039C4AEB">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3F6BDBDD">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35F7B189">
      <w:pPr>
        <w:widowControl/>
        <w:numPr>
          <w:ilvl w:val="0"/>
          <w:numId w:val="6"/>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14:paraId="64A97FB4">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14:paraId="5532E786">
      <w:pPr>
        <w:widowControl/>
        <w:spacing w:line="640" w:lineRule="exact"/>
        <w:rPr>
          <w:rFonts w:ascii="Times New Roman" w:hAnsi="Times New Roman" w:eastAsia="黑体"/>
          <w:sz w:val="32"/>
          <w:szCs w:val="32"/>
        </w:rPr>
      </w:pPr>
    </w:p>
    <w:p w14:paraId="32A2D15C">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65CC9FC9">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294B00A5">
      <w:pPr>
        <w:widowControl/>
        <w:spacing w:line="640" w:lineRule="exact"/>
        <w:rPr>
          <w:rFonts w:ascii="Times New Roman" w:hAnsi="Times New Roman" w:eastAsia="黑体"/>
          <w:sz w:val="32"/>
          <w:szCs w:val="32"/>
        </w:rPr>
      </w:pPr>
    </w:p>
    <w:p w14:paraId="4ACCB672">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1B3353A4">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41B7F29E">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p>
    <w:p w14:paraId="0434BDB9">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7511E755">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08B3265A">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3.部门整体支出绩效自评工作考核评分表</w:t>
      </w:r>
    </w:p>
    <w:p w14:paraId="5805D61B">
      <w:pPr>
        <w:spacing w:afterLines="50" w:line="600" w:lineRule="exact"/>
        <w:rPr>
          <w:rFonts w:ascii="方正小标宋简体" w:hAnsi="方正小标宋简体" w:eastAsia="方正小标宋简体" w:cs="方正小标宋简体"/>
          <w:sz w:val="36"/>
          <w:szCs w:val="36"/>
        </w:rPr>
      </w:pPr>
    </w:p>
    <w:p w14:paraId="44FA6F2F">
      <w:pPr>
        <w:spacing w:line="360" w:lineRule="auto"/>
        <w:rPr>
          <w:rFonts w:ascii="仿宋_GB2312" w:hAnsi="仿宋_GB2312" w:eastAsia="仿宋_GB2312" w:cs="仿宋_GB2312"/>
          <w:sz w:val="32"/>
          <w:szCs w:val="32"/>
        </w:rPr>
      </w:pPr>
    </w:p>
    <w:p w14:paraId="5A8BA167">
      <w:pPr>
        <w:spacing w:line="360" w:lineRule="auto"/>
        <w:rPr>
          <w:rFonts w:ascii="仿宋_GB2312" w:hAnsi="仿宋_GB2312" w:eastAsia="仿宋_GB2312" w:cs="仿宋_GB2312"/>
          <w:sz w:val="32"/>
          <w:szCs w:val="32"/>
        </w:rPr>
      </w:pPr>
    </w:p>
    <w:p w14:paraId="3965E66C">
      <w:pPr>
        <w:spacing w:line="360" w:lineRule="auto"/>
        <w:rPr>
          <w:rFonts w:ascii="仿宋_GB2312" w:hAnsi="仿宋_GB2312" w:eastAsia="仿宋_GB2312" w:cs="仿宋_GB2312"/>
          <w:sz w:val="32"/>
          <w:szCs w:val="32"/>
        </w:rPr>
      </w:pPr>
    </w:p>
    <w:p w14:paraId="0DEF9D1D">
      <w:pPr>
        <w:spacing w:line="360" w:lineRule="auto"/>
        <w:rPr>
          <w:rFonts w:ascii="仿宋_GB2312" w:hAnsi="仿宋_GB2312" w:eastAsia="仿宋_GB2312" w:cs="仿宋_GB2312"/>
          <w:sz w:val="32"/>
          <w:szCs w:val="32"/>
        </w:rPr>
      </w:pPr>
    </w:p>
    <w:p w14:paraId="5371BFC5">
      <w:pPr>
        <w:spacing w:line="360" w:lineRule="auto"/>
        <w:rPr>
          <w:rFonts w:ascii="仿宋_GB2312" w:hAnsi="仿宋_GB2312" w:eastAsia="仿宋_GB2312" w:cs="仿宋_GB2312"/>
          <w:sz w:val="32"/>
          <w:szCs w:val="32"/>
        </w:rPr>
      </w:pPr>
    </w:p>
    <w:p w14:paraId="294A4961">
      <w:pPr>
        <w:spacing w:line="360" w:lineRule="auto"/>
        <w:rPr>
          <w:rFonts w:ascii="仿宋_GB2312" w:hAnsi="仿宋_GB2312" w:eastAsia="仿宋_GB2312" w:cs="仿宋_GB2312"/>
          <w:sz w:val="32"/>
          <w:szCs w:val="32"/>
        </w:rPr>
      </w:pPr>
    </w:p>
    <w:p w14:paraId="07EE7B64">
      <w:pPr>
        <w:spacing w:line="360" w:lineRule="auto"/>
        <w:rPr>
          <w:rFonts w:ascii="仿宋_GB2312" w:hAnsi="仿宋_GB2312" w:eastAsia="仿宋_GB2312" w:cs="仿宋_GB2312"/>
          <w:sz w:val="32"/>
          <w:szCs w:val="32"/>
        </w:rPr>
      </w:pPr>
    </w:p>
    <w:p w14:paraId="4A184EE8">
      <w:pPr>
        <w:spacing w:line="360" w:lineRule="auto"/>
        <w:rPr>
          <w:rFonts w:ascii="仿宋_GB2312" w:hAnsi="仿宋_GB2312" w:eastAsia="仿宋_GB2312" w:cs="仿宋_GB2312"/>
          <w:sz w:val="32"/>
          <w:szCs w:val="32"/>
        </w:rPr>
      </w:pPr>
    </w:p>
    <w:p w14:paraId="75E791DA">
      <w:pPr>
        <w:spacing w:line="360" w:lineRule="auto"/>
        <w:rPr>
          <w:rFonts w:ascii="仿宋_GB2312" w:hAnsi="仿宋_GB2312" w:eastAsia="仿宋_GB2312" w:cs="仿宋_GB2312"/>
          <w:sz w:val="32"/>
          <w:szCs w:val="32"/>
        </w:rPr>
      </w:pPr>
    </w:p>
    <w:p w14:paraId="5543FBD8">
      <w:pPr>
        <w:spacing w:line="360" w:lineRule="auto"/>
        <w:rPr>
          <w:rFonts w:ascii="仿宋_GB2312" w:hAnsi="仿宋_GB2312" w:eastAsia="仿宋_GB2312" w:cs="仿宋_GB2312"/>
          <w:sz w:val="32"/>
          <w:szCs w:val="32"/>
        </w:rPr>
      </w:pPr>
    </w:p>
    <w:p w14:paraId="05C6DF56">
      <w:pPr>
        <w:spacing w:line="360" w:lineRule="auto"/>
        <w:rPr>
          <w:rFonts w:ascii="仿宋_GB2312" w:hAnsi="仿宋_GB2312" w:eastAsia="仿宋_GB2312" w:cs="仿宋_GB2312"/>
          <w:sz w:val="32"/>
          <w:szCs w:val="32"/>
        </w:rPr>
      </w:pPr>
    </w:p>
    <w:p w14:paraId="01C6DF6D">
      <w:pPr>
        <w:spacing w:line="360" w:lineRule="auto"/>
        <w:rPr>
          <w:rFonts w:ascii="仿宋_GB2312" w:hAnsi="仿宋_GB2312" w:eastAsia="仿宋_GB2312" w:cs="仿宋_GB2312"/>
          <w:sz w:val="32"/>
          <w:szCs w:val="32"/>
        </w:rPr>
      </w:pPr>
    </w:p>
    <w:p w14:paraId="51E33991">
      <w:pPr>
        <w:spacing w:line="360" w:lineRule="auto"/>
        <w:rPr>
          <w:rFonts w:ascii="仿宋_GB2312" w:hAnsi="仿宋_GB2312" w:eastAsia="仿宋_GB2312" w:cs="仿宋_GB2312"/>
          <w:sz w:val="32"/>
          <w:szCs w:val="32"/>
        </w:rPr>
      </w:pPr>
    </w:p>
    <w:p w14:paraId="3ACB1083">
      <w:pPr>
        <w:spacing w:line="360" w:lineRule="auto"/>
        <w:rPr>
          <w:rFonts w:ascii="仿宋_GB2312" w:hAnsi="仿宋_GB2312" w:eastAsia="仿宋_GB2312" w:cs="仿宋_GB2312"/>
          <w:sz w:val="32"/>
          <w:szCs w:val="32"/>
        </w:rPr>
      </w:pPr>
    </w:p>
    <w:p w14:paraId="282C3411">
      <w:pPr>
        <w:spacing w:line="360" w:lineRule="auto"/>
        <w:rPr>
          <w:rFonts w:ascii="仿宋_GB2312" w:hAnsi="仿宋_GB2312" w:eastAsia="仿宋_GB2312" w:cs="仿宋_GB2312"/>
          <w:sz w:val="32"/>
          <w:szCs w:val="32"/>
        </w:rPr>
      </w:pPr>
    </w:p>
    <w:p w14:paraId="1B3A4C8F">
      <w:pPr>
        <w:spacing w:afterLines="50" w:line="600" w:lineRule="exact"/>
        <w:rPr>
          <w:rFonts w:ascii="黑体" w:hAnsi="黑体" w:eastAsia="黑体" w:cs="黑体"/>
          <w:sz w:val="32"/>
          <w:szCs w:val="32"/>
        </w:rPr>
      </w:pPr>
    </w:p>
    <w:p w14:paraId="2A7FEA84">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45ED9CDE">
      <w:pPr>
        <w:spacing w:afterLines="50" w:line="600" w:lineRule="exact"/>
        <w:ind w:firstLine="1080" w:firstLineChars="300"/>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7095BE6">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2D29EF6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345BB0D1">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314801B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3BA45DC0">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2B121A45">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7AE45179">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031CF33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　</w:t>
            </w:r>
          </w:p>
        </w:tc>
        <w:tc>
          <w:tcPr>
            <w:tcW w:w="2240" w:type="dxa"/>
            <w:gridSpan w:val="2"/>
            <w:tcBorders>
              <w:top w:val="single" w:color="auto" w:sz="4" w:space="0"/>
              <w:left w:val="nil"/>
              <w:bottom w:val="single" w:color="auto" w:sz="4" w:space="0"/>
              <w:right w:val="single" w:color="auto" w:sz="4" w:space="0"/>
            </w:tcBorders>
            <w:noWrap/>
            <w:vAlign w:val="center"/>
          </w:tcPr>
          <w:p w14:paraId="6FABD2F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2041" w:type="dxa"/>
            <w:gridSpan w:val="2"/>
            <w:tcBorders>
              <w:top w:val="single" w:color="auto" w:sz="4" w:space="0"/>
              <w:left w:val="nil"/>
              <w:bottom w:val="single" w:color="auto" w:sz="4" w:space="0"/>
              <w:right w:val="single" w:color="auto" w:sz="4" w:space="0"/>
            </w:tcBorders>
            <w:noWrap/>
            <w:vAlign w:val="center"/>
          </w:tcPr>
          <w:p w14:paraId="19A2CC1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87.5%　</w:t>
            </w:r>
          </w:p>
        </w:tc>
      </w:tr>
      <w:tr w14:paraId="1FF99437">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ign w:val="center"/>
          </w:tcPr>
          <w:p w14:paraId="45135CD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6CA207E3">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74CA047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149DF36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26C7141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6CA1DF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62D8DF2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11.64</w:t>
            </w:r>
          </w:p>
        </w:tc>
        <w:tc>
          <w:tcPr>
            <w:tcW w:w="2240" w:type="dxa"/>
            <w:gridSpan w:val="2"/>
            <w:tcBorders>
              <w:top w:val="single" w:color="auto" w:sz="4" w:space="0"/>
              <w:left w:val="nil"/>
              <w:bottom w:val="single" w:color="auto" w:sz="4" w:space="0"/>
              <w:right w:val="single" w:color="000000" w:sz="4" w:space="0"/>
            </w:tcBorders>
            <w:noWrap/>
            <w:vAlign w:val="center"/>
          </w:tcPr>
          <w:p w14:paraId="46DF9E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2041" w:type="dxa"/>
            <w:gridSpan w:val="2"/>
            <w:tcBorders>
              <w:top w:val="single" w:color="auto" w:sz="4" w:space="0"/>
              <w:left w:val="nil"/>
              <w:bottom w:val="single" w:color="auto" w:sz="4" w:space="0"/>
              <w:right w:val="single" w:color="000000" w:sz="4" w:space="0"/>
            </w:tcBorders>
            <w:noWrap/>
            <w:vAlign w:val="center"/>
          </w:tcPr>
          <w:p w14:paraId="21CAAFB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7.96</w:t>
            </w:r>
          </w:p>
        </w:tc>
      </w:tr>
      <w:tr w14:paraId="412889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76C135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2E24026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262092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14:paraId="304BCCD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0D08545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0FD04D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2D5C449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1ADD90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14:paraId="6047E98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6F9E5C2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5F1A60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05A7399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1EBBBA5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14:paraId="78A860E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35C1753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7C9193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43252F3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783F39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14:paraId="0522AC1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6019C87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814483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5BACF69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11.64</w:t>
            </w:r>
          </w:p>
        </w:tc>
        <w:tc>
          <w:tcPr>
            <w:tcW w:w="2240" w:type="dxa"/>
            <w:gridSpan w:val="2"/>
            <w:tcBorders>
              <w:top w:val="single" w:color="auto" w:sz="4" w:space="0"/>
              <w:left w:val="nil"/>
              <w:bottom w:val="single" w:color="auto" w:sz="4" w:space="0"/>
              <w:right w:val="single" w:color="000000" w:sz="4" w:space="0"/>
            </w:tcBorders>
            <w:noWrap/>
            <w:vAlign w:val="center"/>
          </w:tcPr>
          <w:p w14:paraId="41BFF5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2041" w:type="dxa"/>
            <w:gridSpan w:val="2"/>
            <w:tcBorders>
              <w:top w:val="single" w:color="auto" w:sz="4" w:space="0"/>
              <w:left w:val="nil"/>
              <w:bottom w:val="single" w:color="auto" w:sz="4" w:space="0"/>
              <w:right w:val="single" w:color="000000" w:sz="4" w:space="0"/>
            </w:tcBorders>
            <w:noWrap/>
            <w:vAlign w:val="center"/>
          </w:tcPr>
          <w:p w14:paraId="6918AAC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7.96</w:t>
            </w:r>
          </w:p>
        </w:tc>
      </w:tr>
      <w:tr w14:paraId="6A94388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9A0EF0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1433748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208321E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20.62</w:t>
            </w:r>
          </w:p>
        </w:tc>
        <w:tc>
          <w:tcPr>
            <w:tcW w:w="2041" w:type="dxa"/>
            <w:gridSpan w:val="2"/>
            <w:tcBorders>
              <w:top w:val="single" w:color="auto" w:sz="4" w:space="0"/>
              <w:left w:val="nil"/>
              <w:bottom w:val="single" w:color="auto" w:sz="4" w:space="0"/>
              <w:right w:val="single" w:color="000000" w:sz="4" w:space="0"/>
            </w:tcBorders>
            <w:noWrap/>
            <w:vAlign w:val="center"/>
          </w:tcPr>
          <w:p w14:paraId="1437BD5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20.62</w:t>
            </w:r>
          </w:p>
        </w:tc>
      </w:tr>
      <w:tr w14:paraId="275092C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1F3AE7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75D5D45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6B593FF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20.62</w:t>
            </w:r>
          </w:p>
        </w:tc>
        <w:tc>
          <w:tcPr>
            <w:tcW w:w="2041" w:type="dxa"/>
            <w:gridSpan w:val="2"/>
            <w:tcBorders>
              <w:top w:val="single" w:color="auto" w:sz="4" w:space="0"/>
              <w:left w:val="nil"/>
              <w:bottom w:val="single" w:color="auto" w:sz="4" w:space="0"/>
              <w:right w:val="single" w:color="000000" w:sz="4" w:space="0"/>
            </w:tcBorders>
            <w:noWrap/>
            <w:vAlign w:val="center"/>
          </w:tcPr>
          <w:p w14:paraId="35D5858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20.62</w:t>
            </w:r>
          </w:p>
        </w:tc>
      </w:tr>
      <w:tr w14:paraId="7B2DD54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DF4691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0BDABAD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10EAB66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5A11DB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318E2D2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2AB525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0782B3B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1415BAD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0CBB47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5207F41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E1657A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4.招商引资</w:t>
            </w:r>
          </w:p>
        </w:tc>
        <w:tc>
          <w:tcPr>
            <w:tcW w:w="2038" w:type="dxa"/>
            <w:gridSpan w:val="2"/>
            <w:tcBorders>
              <w:top w:val="single" w:color="auto" w:sz="4" w:space="0"/>
              <w:left w:val="nil"/>
              <w:bottom w:val="single" w:color="auto" w:sz="4" w:space="0"/>
              <w:right w:val="single" w:color="000000" w:sz="4" w:space="0"/>
            </w:tcBorders>
            <w:noWrap/>
            <w:vAlign w:val="center"/>
          </w:tcPr>
          <w:p w14:paraId="490B77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545B4D8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49A0AC9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150B657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4B21A3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09A4BCE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116.05</w:t>
            </w:r>
          </w:p>
        </w:tc>
        <w:tc>
          <w:tcPr>
            <w:tcW w:w="2240" w:type="dxa"/>
            <w:gridSpan w:val="2"/>
            <w:tcBorders>
              <w:top w:val="single" w:color="auto" w:sz="4" w:space="0"/>
              <w:left w:val="nil"/>
              <w:bottom w:val="single" w:color="auto" w:sz="4" w:space="0"/>
              <w:right w:val="single" w:color="000000" w:sz="4" w:space="0"/>
            </w:tcBorders>
            <w:noWrap/>
            <w:vAlign w:val="center"/>
          </w:tcPr>
          <w:p w14:paraId="4D9DBE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81.03</w:t>
            </w:r>
          </w:p>
        </w:tc>
        <w:tc>
          <w:tcPr>
            <w:tcW w:w="2041" w:type="dxa"/>
            <w:gridSpan w:val="2"/>
            <w:tcBorders>
              <w:top w:val="single" w:color="auto" w:sz="4" w:space="0"/>
              <w:left w:val="nil"/>
              <w:bottom w:val="single" w:color="auto" w:sz="4" w:space="0"/>
              <w:right w:val="single" w:color="000000" w:sz="4" w:space="0"/>
            </w:tcBorders>
            <w:noWrap/>
            <w:vAlign w:val="center"/>
          </w:tcPr>
          <w:p w14:paraId="1645DAD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80.87</w:t>
            </w:r>
          </w:p>
        </w:tc>
      </w:tr>
      <w:tr w14:paraId="642F73B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9F025E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7BA22A1F">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18.06</w:t>
            </w: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1C43E63C">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15.78</w:t>
            </w: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0429C12D">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15.78</w:t>
            </w:r>
          </w:p>
        </w:tc>
      </w:tr>
      <w:tr w14:paraId="7836464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835052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1D742358">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17.37</w:t>
            </w:r>
          </w:p>
        </w:tc>
        <w:tc>
          <w:tcPr>
            <w:tcW w:w="2240" w:type="dxa"/>
            <w:gridSpan w:val="2"/>
            <w:tcBorders>
              <w:top w:val="single" w:color="auto" w:sz="4" w:space="0"/>
              <w:left w:val="nil"/>
              <w:bottom w:val="single" w:color="auto" w:sz="4" w:space="0"/>
              <w:right w:val="single" w:color="000000" w:sz="4" w:space="0"/>
            </w:tcBorders>
            <w:noWrap/>
            <w:vAlign w:val="center"/>
          </w:tcPr>
          <w:p w14:paraId="3ECD0ADF">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18.55</w:t>
            </w:r>
          </w:p>
        </w:tc>
        <w:tc>
          <w:tcPr>
            <w:tcW w:w="2041" w:type="dxa"/>
            <w:gridSpan w:val="2"/>
            <w:tcBorders>
              <w:top w:val="single" w:color="auto" w:sz="4" w:space="0"/>
              <w:left w:val="nil"/>
              <w:bottom w:val="single" w:color="auto" w:sz="4" w:space="0"/>
              <w:right w:val="single" w:color="000000" w:sz="4" w:space="0"/>
            </w:tcBorders>
            <w:noWrap/>
            <w:vAlign w:val="center"/>
          </w:tcPr>
          <w:p w14:paraId="7F75B367">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18.55</w:t>
            </w:r>
          </w:p>
        </w:tc>
      </w:tr>
      <w:tr w14:paraId="3EAB609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883C9B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5D9F2B90">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0.27</w:t>
            </w:r>
          </w:p>
        </w:tc>
        <w:tc>
          <w:tcPr>
            <w:tcW w:w="2240" w:type="dxa"/>
            <w:gridSpan w:val="2"/>
            <w:tcBorders>
              <w:top w:val="single" w:color="auto" w:sz="4" w:space="0"/>
              <w:left w:val="nil"/>
              <w:bottom w:val="single" w:color="auto" w:sz="4" w:space="0"/>
              <w:right w:val="single" w:color="000000" w:sz="4" w:space="0"/>
            </w:tcBorders>
            <w:noWrap/>
            <w:vAlign w:val="center"/>
          </w:tcPr>
          <w:p w14:paraId="00955F0B">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0.39</w:t>
            </w:r>
          </w:p>
        </w:tc>
        <w:tc>
          <w:tcPr>
            <w:tcW w:w="2041" w:type="dxa"/>
            <w:gridSpan w:val="2"/>
            <w:tcBorders>
              <w:top w:val="single" w:color="auto" w:sz="4" w:space="0"/>
              <w:left w:val="nil"/>
              <w:bottom w:val="single" w:color="auto" w:sz="4" w:space="0"/>
              <w:right w:val="single" w:color="000000" w:sz="4" w:space="0"/>
            </w:tcBorders>
            <w:noWrap/>
            <w:vAlign w:val="center"/>
          </w:tcPr>
          <w:p w14:paraId="1332BE1C">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0.39</w:t>
            </w:r>
          </w:p>
        </w:tc>
      </w:tr>
      <w:tr w14:paraId="1C0D9FF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ABC8E3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7209BF1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31.55　　</w:t>
            </w:r>
          </w:p>
        </w:tc>
        <w:tc>
          <w:tcPr>
            <w:tcW w:w="2240" w:type="dxa"/>
            <w:gridSpan w:val="2"/>
            <w:tcBorders>
              <w:top w:val="single" w:color="auto" w:sz="4" w:space="0"/>
              <w:left w:val="nil"/>
              <w:bottom w:val="single" w:color="auto" w:sz="4" w:space="0"/>
              <w:right w:val="single" w:color="000000" w:sz="4" w:space="0"/>
            </w:tcBorders>
            <w:noWrap/>
            <w:vAlign w:val="center"/>
          </w:tcPr>
          <w:p w14:paraId="70B4D59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20.55</w:t>
            </w:r>
          </w:p>
        </w:tc>
        <w:tc>
          <w:tcPr>
            <w:tcW w:w="2041" w:type="dxa"/>
            <w:gridSpan w:val="2"/>
            <w:tcBorders>
              <w:top w:val="single" w:color="auto" w:sz="4" w:space="0"/>
              <w:left w:val="nil"/>
              <w:bottom w:val="single" w:color="auto" w:sz="4" w:space="0"/>
              <w:right w:val="single" w:color="000000" w:sz="4" w:space="0"/>
            </w:tcBorders>
            <w:noWrap/>
            <w:vAlign w:val="center"/>
          </w:tcPr>
          <w:p w14:paraId="402D5A0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20.55</w:t>
            </w:r>
          </w:p>
        </w:tc>
      </w:tr>
      <w:tr w14:paraId="7E894EC5">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6B57422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1D246C7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206.46</w:t>
            </w:r>
          </w:p>
        </w:tc>
        <w:tc>
          <w:tcPr>
            <w:tcW w:w="2240" w:type="dxa"/>
            <w:gridSpan w:val="2"/>
            <w:tcBorders>
              <w:top w:val="single" w:color="auto" w:sz="4" w:space="0"/>
              <w:left w:val="nil"/>
              <w:bottom w:val="single" w:color="auto" w:sz="4" w:space="0"/>
              <w:right w:val="single" w:color="000000" w:sz="4" w:space="0"/>
            </w:tcBorders>
            <w:noWrap/>
            <w:vAlign w:val="center"/>
          </w:tcPr>
          <w:p w14:paraId="586DDC5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174.1</w:t>
            </w:r>
          </w:p>
        </w:tc>
        <w:tc>
          <w:tcPr>
            <w:tcW w:w="2041" w:type="dxa"/>
            <w:gridSpan w:val="2"/>
            <w:tcBorders>
              <w:top w:val="single" w:color="auto" w:sz="4" w:space="0"/>
              <w:left w:val="nil"/>
              <w:bottom w:val="single" w:color="auto" w:sz="4" w:space="0"/>
              <w:right w:val="single" w:color="000000" w:sz="4" w:space="0"/>
            </w:tcBorders>
            <w:noWrap/>
            <w:vAlign w:val="center"/>
          </w:tcPr>
          <w:p w14:paraId="7E7EA8E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174.1</w:t>
            </w:r>
          </w:p>
        </w:tc>
      </w:tr>
      <w:tr w14:paraId="0027994A">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596851D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7B54B3A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ign w:val="center"/>
          </w:tcPr>
          <w:p w14:paraId="0530D556">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19CE8855">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14E78A2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7DA1243F">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2AA59C6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3B8FFD42">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52F1041E">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777E6D35">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7B4080EB">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7D64F1F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30B3997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3087EA9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5BD0201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56793A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6D93810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56B0C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2D7B39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3F88069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14:paraId="2D161C78">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4351C80A">
      <w:pPr>
        <w:widowControl/>
        <w:spacing w:line="400" w:lineRule="exact"/>
        <w:ind w:left="220" w:hanging="220" w:hangingChars="100"/>
        <w:jc w:val="left"/>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rPr>
        <w:t>：</w:t>
      </w:r>
      <w:r>
        <w:rPr>
          <w:rFonts w:ascii="Times New Roman" w:hAnsi="Times New Roman" w:eastAsia="仿宋_GB2312"/>
          <w:sz w:val="22"/>
        </w:rPr>
        <w:t xml:space="preserve">填报日期：联系电话：单位负责人签字： </w:t>
      </w:r>
    </w:p>
    <w:p w14:paraId="19B423D5">
      <w:pPr>
        <w:widowControl/>
        <w:spacing w:line="400" w:lineRule="exact"/>
        <w:ind w:left="220" w:hanging="220" w:hangingChars="100"/>
        <w:jc w:val="left"/>
        <w:rPr>
          <w:rFonts w:ascii="Times New Roman" w:hAnsi="Times New Roman" w:eastAsia="仿宋_GB2312"/>
          <w:sz w:val="22"/>
        </w:rPr>
      </w:pPr>
    </w:p>
    <w:p w14:paraId="4EB671ED">
      <w:pPr>
        <w:widowControl/>
        <w:spacing w:line="400" w:lineRule="exact"/>
        <w:ind w:left="320" w:hanging="320" w:hangingChars="100"/>
        <w:jc w:val="left"/>
        <w:rPr>
          <w:rFonts w:hint="eastAsia" w:ascii="黑体" w:hAnsi="黑体" w:eastAsia="黑体" w:cs="黑体"/>
          <w:sz w:val="32"/>
          <w:szCs w:val="32"/>
        </w:rPr>
      </w:pPr>
    </w:p>
    <w:p w14:paraId="36D06348">
      <w:pPr>
        <w:widowControl/>
        <w:spacing w:line="400" w:lineRule="exact"/>
        <w:ind w:left="320" w:hanging="320" w:hangingChars="100"/>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623156A0">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E261B9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A686A9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14:paraId="5F8ACA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中国国际贸易促进委员会岳阳市君山区委员会</w:t>
            </w:r>
          </w:p>
        </w:tc>
      </w:tr>
      <w:tr w14:paraId="110F32E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0921C2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3F250D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2FB4635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11E447AC">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14:paraId="3DBC613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14:paraId="738FF5D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14:paraId="5B8EE43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14:paraId="7912E43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39FCB86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14:paraId="67538C5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13482CF">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77E3CF68">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4BB3A2B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14:paraId="2DBFBF3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124.08</w:t>
            </w:r>
          </w:p>
        </w:tc>
        <w:tc>
          <w:tcPr>
            <w:tcW w:w="1311" w:type="dxa"/>
            <w:tcBorders>
              <w:top w:val="nil"/>
              <w:left w:val="nil"/>
              <w:bottom w:val="single" w:color="auto" w:sz="4" w:space="0"/>
              <w:right w:val="single" w:color="auto" w:sz="4" w:space="0"/>
            </w:tcBorders>
            <w:noWrap/>
            <w:vAlign w:val="center"/>
          </w:tcPr>
          <w:p w14:paraId="630B372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194.72</w:t>
            </w:r>
          </w:p>
        </w:tc>
        <w:tc>
          <w:tcPr>
            <w:tcW w:w="1269" w:type="dxa"/>
            <w:tcBorders>
              <w:top w:val="nil"/>
              <w:left w:val="nil"/>
              <w:bottom w:val="single" w:color="auto" w:sz="4" w:space="0"/>
              <w:right w:val="single" w:color="auto" w:sz="4" w:space="0"/>
            </w:tcBorders>
            <w:noWrap/>
            <w:vAlign w:val="center"/>
          </w:tcPr>
          <w:p w14:paraId="7C3E374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194.72</w:t>
            </w:r>
          </w:p>
        </w:tc>
        <w:tc>
          <w:tcPr>
            <w:tcW w:w="716" w:type="dxa"/>
            <w:tcBorders>
              <w:top w:val="nil"/>
              <w:left w:val="nil"/>
              <w:bottom w:val="single" w:color="auto" w:sz="4" w:space="0"/>
              <w:right w:val="single" w:color="auto" w:sz="4" w:space="0"/>
            </w:tcBorders>
            <w:noWrap/>
            <w:vAlign w:val="center"/>
          </w:tcPr>
          <w:p w14:paraId="65B34B2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ign w:val="center"/>
          </w:tcPr>
          <w:p w14:paraId="067C9C3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446" w:type="dxa"/>
            <w:tcBorders>
              <w:top w:val="nil"/>
              <w:left w:val="nil"/>
              <w:bottom w:val="single" w:color="auto" w:sz="4" w:space="0"/>
              <w:right w:val="single" w:color="auto" w:sz="4" w:space="0"/>
            </w:tcBorders>
            <w:noWrap/>
            <w:vAlign w:val="center"/>
          </w:tcPr>
          <w:p w14:paraId="4738C47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14:paraId="552427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D90D226">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7A806C8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ign w:val="center"/>
          </w:tcPr>
          <w:p w14:paraId="688BCA5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2C9F28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B0DD70A">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3340E64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194.56</w:t>
            </w:r>
          </w:p>
        </w:tc>
        <w:tc>
          <w:tcPr>
            <w:tcW w:w="4304" w:type="dxa"/>
            <w:gridSpan w:val="4"/>
            <w:tcBorders>
              <w:top w:val="nil"/>
              <w:left w:val="nil"/>
              <w:bottom w:val="single" w:color="auto" w:sz="4" w:space="0"/>
              <w:right w:val="single" w:color="auto" w:sz="4" w:space="0"/>
            </w:tcBorders>
            <w:noWrap/>
            <w:vAlign w:val="center"/>
          </w:tcPr>
          <w:p w14:paraId="53C41A1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sz w:val="20"/>
                <w:szCs w:val="20"/>
              </w:rPr>
              <w:t>174.1</w:t>
            </w:r>
          </w:p>
        </w:tc>
      </w:tr>
      <w:tr w14:paraId="246C84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B1DF786">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16884810">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政府性基金拨款：0</w:t>
            </w:r>
          </w:p>
        </w:tc>
        <w:tc>
          <w:tcPr>
            <w:tcW w:w="4304" w:type="dxa"/>
            <w:gridSpan w:val="4"/>
            <w:tcBorders>
              <w:top w:val="nil"/>
              <w:left w:val="nil"/>
              <w:bottom w:val="single" w:color="auto" w:sz="4" w:space="0"/>
              <w:right w:val="single" w:color="auto" w:sz="4" w:space="0"/>
            </w:tcBorders>
            <w:noWrap/>
            <w:vAlign w:val="center"/>
          </w:tcPr>
          <w:p w14:paraId="5689F271">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项目支出：20.62</w:t>
            </w:r>
          </w:p>
        </w:tc>
      </w:tr>
      <w:tr w14:paraId="26D08E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E43BF95">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0B72784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14:paraId="59C8E993">
            <w:pPr>
              <w:widowControl/>
              <w:spacing w:line="240" w:lineRule="exact"/>
              <w:jc w:val="left"/>
              <w:rPr>
                <w:rFonts w:ascii="仿宋_GB2312" w:hAnsi="仿宋_GB2312" w:eastAsia="仿宋_GB2312" w:cs="仿宋_GB2312"/>
                <w:color w:val="000000"/>
                <w:sz w:val="20"/>
                <w:szCs w:val="20"/>
              </w:rPr>
            </w:pPr>
          </w:p>
        </w:tc>
      </w:tr>
      <w:tr w14:paraId="0612206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71203BF1">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128C22B1">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其他资金：0.16</w:t>
            </w:r>
          </w:p>
        </w:tc>
        <w:tc>
          <w:tcPr>
            <w:tcW w:w="4304" w:type="dxa"/>
            <w:gridSpan w:val="4"/>
            <w:tcBorders>
              <w:top w:val="nil"/>
              <w:left w:val="nil"/>
              <w:bottom w:val="single" w:color="auto" w:sz="4" w:space="0"/>
              <w:right w:val="single" w:color="auto" w:sz="4" w:space="0"/>
            </w:tcBorders>
            <w:noWrap/>
            <w:vAlign w:val="center"/>
          </w:tcPr>
          <w:p w14:paraId="1096EEE1">
            <w:pPr>
              <w:widowControl/>
              <w:spacing w:line="240" w:lineRule="exact"/>
              <w:jc w:val="left"/>
              <w:rPr>
                <w:rFonts w:ascii="仿宋_GB2312" w:hAnsi="仿宋_GB2312" w:eastAsia="仿宋_GB2312" w:cs="仿宋_GB2312"/>
                <w:color w:val="000000"/>
                <w:sz w:val="20"/>
                <w:szCs w:val="20"/>
              </w:rPr>
            </w:pPr>
          </w:p>
        </w:tc>
      </w:tr>
      <w:tr w14:paraId="63E7DEB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45BEE6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14:paraId="0C3A7B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14:paraId="5B6E60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197457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8550047">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14:paraId="692324A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1.招商引资整体情况稳中有进</w:t>
            </w:r>
          </w:p>
          <w:p w14:paraId="3BE40A1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2.高位推动，在思想认识上提升高度</w:t>
            </w:r>
          </w:p>
          <w:p w14:paraId="5B860CE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3.强化责任，在组织推进上体现强度</w:t>
            </w:r>
          </w:p>
          <w:p w14:paraId="263A8EB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4.强化宣传，在谋划推介上突出深度</w:t>
            </w:r>
          </w:p>
          <w:p w14:paraId="5EF5512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5.规范管理，加强干部队伍清廉建设</w:t>
            </w:r>
          </w:p>
        </w:tc>
        <w:tc>
          <w:tcPr>
            <w:tcW w:w="4304" w:type="dxa"/>
            <w:gridSpan w:val="4"/>
            <w:tcBorders>
              <w:top w:val="single" w:color="auto" w:sz="4" w:space="0"/>
              <w:left w:val="nil"/>
              <w:bottom w:val="single" w:color="auto" w:sz="4" w:space="0"/>
              <w:right w:val="single" w:color="auto" w:sz="4" w:space="0"/>
            </w:tcBorders>
            <w:noWrap/>
          </w:tcPr>
          <w:p w14:paraId="3D1851E2">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2024年，我区新签约项目84个，总投资80.231亿元，到位资金3.01亿元。其中20亿元以上项目1个，10亿元以上项目1个，2亿元以上项目6个（超市定任务4个），亿元以上项目共计19个。“三类500强”企业3家（超市定任务2家）。已签约84个项目中，有32个项目已开工。另有在谈项目80个。接待了韩国韩中文化经济交流促进协会、粤港澳农副产品供应链企业考察团等商协会，并有中交集团、中建集团等央企来区考察120余批次。</w:t>
            </w:r>
          </w:p>
          <w:p w14:paraId="615362E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签约84个项目中，有32个项目已开工。其中家宁城市广场、君和酒店已顺利营业，旌祺食品项目、东来兴漆包线项目已顺利投产，千喜鹤（一期）已完成1350㎡仓储配送中心建设并投入使用，吉兴生物、永金生产基地项目已封顶，君山1959、万雨合业（二期）、万雨合业菌菇基地项目、博凯制衣、罗氏包装、嘉顺泰扩产项目正在加紧建设，鸟语林旅居基地项目已完成招标，华陟实业完成选址和公司注册，公合基金、省建八公司、中经锂电均已完成公司注册和税务登记。</w:t>
            </w:r>
          </w:p>
          <w:p w14:paraId="3B1C249D">
            <w:pPr>
              <w:widowControl/>
              <w:spacing w:line="240" w:lineRule="exact"/>
              <w:jc w:val="left"/>
              <w:rPr>
                <w:rFonts w:ascii="仿宋_GB2312" w:hAnsi="仿宋_GB2312" w:eastAsia="仿宋_GB2312" w:cs="仿宋_GB2312"/>
                <w:color w:val="000000"/>
                <w:sz w:val="20"/>
                <w:szCs w:val="20"/>
              </w:rPr>
            </w:pPr>
          </w:p>
        </w:tc>
      </w:tr>
      <w:tr w14:paraId="5AF28FC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7085472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FBCB47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B6ED13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94C819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341F2227">
            <w:pPr>
              <w:widowControl/>
              <w:spacing w:line="240" w:lineRule="exact"/>
              <w:jc w:val="left"/>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3AD585A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7CB8760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14:paraId="1D1987C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14:paraId="6631C7B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14:paraId="20A5ED1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14:paraId="4198DB8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579E8CD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14:paraId="38FCB06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DF21A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76577F6">
            <w:pPr>
              <w:widowControl/>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F02F8D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3A326EA">
            <w:pPr>
              <w:widowControl/>
              <w:spacing w:line="240" w:lineRule="exact"/>
              <w:jc w:val="left"/>
              <w:rPr>
                <w:rFonts w:ascii="仿宋_GB2312" w:hAnsi="仿宋_GB2312" w:eastAsia="仿宋_GB2312" w:cs="仿宋_GB2312"/>
                <w:color w:val="000000"/>
                <w:sz w:val="20"/>
                <w:szCs w:val="20"/>
              </w:rPr>
            </w:pPr>
          </w:p>
          <w:p w14:paraId="5D38CD9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ign w:val="center"/>
          </w:tcPr>
          <w:p w14:paraId="280E863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14:paraId="1844074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新签约项目</w:t>
            </w:r>
          </w:p>
        </w:tc>
        <w:tc>
          <w:tcPr>
            <w:tcW w:w="1311" w:type="dxa"/>
            <w:tcBorders>
              <w:top w:val="nil"/>
              <w:left w:val="nil"/>
              <w:bottom w:val="single" w:color="auto" w:sz="4" w:space="0"/>
              <w:right w:val="single" w:color="auto" w:sz="4" w:space="0"/>
            </w:tcBorders>
            <w:noWrap/>
            <w:vAlign w:val="center"/>
          </w:tcPr>
          <w:p w14:paraId="697BFA1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≥80个</w:t>
            </w:r>
          </w:p>
        </w:tc>
        <w:tc>
          <w:tcPr>
            <w:tcW w:w="1269" w:type="dxa"/>
            <w:tcBorders>
              <w:top w:val="nil"/>
              <w:left w:val="nil"/>
              <w:bottom w:val="single" w:color="auto" w:sz="4" w:space="0"/>
              <w:right w:val="single" w:color="auto" w:sz="4" w:space="0"/>
            </w:tcBorders>
            <w:noWrap/>
            <w:vAlign w:val="center"/>
          </w:tcPr>
          <w:p w14:paraId="683985B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84个</w:t>
            </w:r>
          </w:p>
        </w:tc>
        <w:tc>
          <w:tcPr>
            <w:tcW w:w="716" w:type="dxa"/>
            <w:tcBorders>
              <w:top w:val="nil"/>
              <w:left w:val="nil"/>
              <w:bottom w:val="single" w:color="auto" w:sz="4" w:space="0"/>
              <w:right w:val="single" w:color="auto" w:sz="4" w:space="0"/>
            </w:tcBorders>
            <w:noWrap/>
            <w:vAlign w:val="center"/>
          </w:tcPr>
          <w:p w14:paraId="042D993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3697F44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5D689C68">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60374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34AD70C">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A117C30">
            <w:pPr>
              <w:widowControl/>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14:paraId="46119659">
            <w:pPr>
              <w:widowControl/>
              <w:spacing w:line="240" w:lineRule="exact"/>
              <w:jc w:val="left"/>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3C474B7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投资过亿项目</w:t>
            </w:r>
          </w:p>
        </w:tc>
        <w:tc>
          <w:tcPr>
            <w:tcW w:w="1311" w:type="dxa"/>
            <w:tcBorders>
              <w:top w:val="nil"/>
              <w:left w:val="nil"/>
              <w:bottom w:val="single" w:color="auto" w:sz="4" w:space="0"/>
              <w:right w:val="single" w:color="auto" w:sz="4" w:space="0"/>
            </w:tcBorders>
            <w:noWrap/>
            <w:vAlign w:val="center"/>
          </w:tcPr>
          <w:p w14:paraId="7F3171F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≥8个</w:t>
            </w:r>
          </w:p>
        </w:tc>
        <w:tc>
          <w:tcPr>
            <w:tcW w:w="1269" w:type="dxa"/>
            <w:tcBorders>
              <w:top w:val="nil"/>
              <w:left w:val="nil"/>
              <w:bottom w:val="single" w:color="auto" w:sz="4" w:space="0"/>
              <w:right w:val="single" w:color="auto" w:sz="4" w:space="0"/>
            </w:tcBorders>
            <w:noWrap/>
            <w:vAlign w:val="center"/>
          </w:tcPr>
          <w:p w14:paraId="4DD2107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19个</w:t>
            </w:r>
          </w:p>
        </w:tc>
        <w:tc>
          <w:tcPr>
            <w:tcW w:w="716" w:type="dxa"/>
            <w:tcBorders>
              <w:top w:val="nil"/>
              <w:left w:val="nil"/>
              <w:bottom w:val="single" w:color="auto" w:sz="4" w:space="0"/>
              <w:right w:val="single" w:color="auto" w:sz="4" w:space="0"/>
            </w:tcBorders>
            <w:noWrap/>
            <w:vAlign w:val="center"/>
          </w:tcPr>
          <w:p w14:paraId="4C0A9BD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0E735CF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37B1E10D">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F072C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E96F93E">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6ECF882">
            <w:pPr>
              <w:widowControl/>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14:paraId="5D303C8D">
            <w:pPr>
              <w:widowControl/>
              <w:spacing w:line="240" w:lineRule="exact"/>
              <w:jc w:val="left"/>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3E8D6B0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开展招商洽谈活动</w:t>
            </w:r>
          </w:p>
        </w:tc>
        <w:tc>
          <w:tcPr>
            <w:tcW w:w="1311" w:type="dxa"/>
            <w:tcBorders>
              <w:top w:val="nil"/>
              <w:left w:val="nil"/>
              <w:bottom w:val="single" w:color="auto" w:sz="4" w:space="0"/>
              <w:right w:val="single" w:color="auto" w:sz="4" w:space="0"/>
            </w:tcBorders>
            <w:noWrap/>
            <w:vAlign w:val="center"/>
          </w:tcPr>
          <w:p w14:paraId="4FEF94E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≥30次</w:t>
            </w:r>
          </w:p>
        </w:tc>
        <w:tc>
          <w:tcPr>
            <w:tcW w:w="1269" w:type="dxa"/>
            <w:tcBorders>
              <w:top w:val="nil"/>
              <w:left w:val="nil"/>
              <w:bottom w:val="single" w:color="auto" w:sz="4" w:space="0"/>
              <w:right w:val="single" w:color="auto" w:sz="4" w:space="0"/>
            </w:tcBorders>
            <w:noWrap/>
            <w:vAlign w:val="center"/>
          </w:tcPr>
          <w:p w14:paraId="28243DD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30次</w:t>
            </w:r>
          </w:p>
        </w:tc>
        <w:tc>
          <w:tcPr>
            <w:tcW w:w="716" w:type="dxa"/>
            <w:tcBorders>
              <w:top w:val="nil"/>
              <w:left w:val="nil"/>
              <w:bottom w:val="single" w:color="auto" w:sz="4" w:space="0"/>
              <w:right w:val="single" w:color="auto" w:sz="4" w:space="0"/>
            </w:tcBorders>
            <w:noWrap/>
            <w:vAlign w:val="center"/>
          </w:tcPr>
          <w:p w14:paraId="042D6EB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68E300B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036A1256">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71F9EA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15E610A">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7EE6DD8">
            <w:pPr>
              <w:widowControl/>
              <w:spacing w:line="240" w:lineRule="exact"/>
              <w:jc w:val="left"/>
              <w:rPr>
                <w:rFonts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ign w:val="center"/>
          </w:tcPr>
          <w:p w14:paraId="3FDA963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14:paraId="6C570BB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分解招商引资任务指标</w:t>
            </w:r>
          </w:p>
        </w:tc>
        <w:tc>
          <w:tcPr>
            <w:tcW w:w="1311" w:type="dxa"/>
            <w:tcBorders>
              <w:top w:val="nil"/>
              <w:left w:val="nil"/>
              <w:bottom w:val="single" w:color="auto" w:sz="4" w:space="0"/>
              <w:right w:val="single" w:color="auto" w:sz="4" w:space="0"/>
            </w:tcBorders>
            <w:noWrap/>
            <w:vAlign w:val="center"/>
          </w:tcPr>
          <w:p w14:paraId="7C85C8D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14:paraId="067439B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14:paraId="026AFC1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66CE82C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29529B1A">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1161D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3228ABD">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B40F4A4">
            <w:pPr>
              <w:widowControl/>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14:paraId="0762012D">
            <w:pPr>
              <w:widowControl/>
              <w:spacing w:line="240" w:lineRule="exact"/>
              <w:jc w:val="left"/>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5BE72B3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拓展宣传推介渠道</w:t>
            </w:r>
          </w:p>
        </w:tc>
        <w:tc>
          <w:tcPr>
            <w:tcW w:w="1311" w:type="dxa"/>
            <w:tcBorders>
              <w:top w:val="nil"/>
              <w:left w:val="nil"/>
              <w:bottom w:val="single" w:color="auto" w:sz="4" w:space="0"/>
              <w:right w:val="single" w:color="auto" w:sz="4" w:space="0"/>
            </w:tcBorders>
            <w:noWrap/>
            <w:vAlign w:val="center"/>
          </w:tcPr>
          <w:p w14:paraId="1BE224B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14:paraId="7F74558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14:paraId="40DC8E3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3CBAE27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7B67FD57">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6D4573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B50AD34">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075B3B5">
            <w:pPr>
              <w:widowControl/>
              <w:spacing w:line="240" w:lineRule="exact"/>
              <w:jc w:val="left"/>
              <w:rPr>
                <w:rFonts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ign w:val="center"/>
          </w:tcPr>
          <w:p w14:paraId="739730FA">
            <w:pPr>
              <w:widowControl/>
              <w:spacing w:line="240" w:lineRule="exact"/>
              <w:jc w:val="left"/>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14:paraId="406FAFF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加强廉政教育率</w:t>
            </w:r>
          </w:p>
        </w:tc>
        <w:tc>
          <w:tcPr>
            <w:tcW w:w="1311" w:type="dxa"/>
            <w:tcBorders>
              <w:top w:val="nil"/>
              <w:left w:val="nil"/>
              <w:bottom w:val="single" w:color="auto" w:sz="4" w:space="0"/>
              <w:right w:val="single" w:color="auto" w:sz="4" w:space="0"/>
            </w:tcBorders>
            <w:noWrap/>
            <w:vAlign w:val="center"/>
          </w:tcPr>
          <w:p w14:paraId="4463F10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14:paraId="5A27D14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14:paraId="6DD094D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57E6FB6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bottom"/>
          </w:tcPr>
          <w:p w14:paraId="016F922A">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AE125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2081630">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08BB9C1">
            <w:pPr>
              <w:widowControl/>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61879E8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14:paraId="6E573D8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311" w:type="dxa"/>
            <w:tcBorders>
              <w:top w:val="nil"/>
              <w:left w:val="nil"/>
              <w:bottom w:val="single" w:color="auto" w:sz="4" w:space="0"/>
              <w:right w:val="single" w:color="auto" w:sz="4" w:space="0"/>
            </w:tcBorders>
            <w:noWrap/>
            <w:vAlign w:val="center"/>
          </w:tcPr>
          <w:p w14:paraId="4E5360A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14:paraId="12C8BD5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16" w:type="dxa"/>
            <w:tcBorders>
              <w:top w:val="nil"/>
              <w:left w:val="nil"/>
              <w:bottom w:val="single" w:color="auto" w:sz="4" w:space="0"/>
              <w:right w:val="single" w:color="auto" w:sz="4" w:space="0"/>
            </w:tcBorders>
            <w:noWrap/>
            <w:vAlign w:val="center"/>
          </w:tcPr>
          <w:p w14:paraId="14904FC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7E013D4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bottom"/>
          </w:tcPr>
          <w:p w14:paraId="3C0F0F89">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02429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FC12B26">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3A6DC59">
            <w:pPr>
              <w:widowControl/>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27617ED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14:paraId="27FE4D1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311" w:type="dxa"/>
            <w:tcBorders>
              <w:top w:val="nil"/>
              <w:left w:val="nil"/>
              <w:bottom w:val="single" w:color="auto" w:sz="4" w:space="0"/>
              <w:right w:val="single" w:color="auto" w:sz="4" w:space="0"/>
            </w:tcBorders>
            <w:noWrap/>
            <w:vAlign w:val="center"/>
          </w:tcPr>
          <w:p w14:paraId="3C080C6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14:paraId="181022F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716" w:type="dxa"/>
            <w:tcBorders>
              <w:top w:val="nil"/>
              <w:left w:val="nil"/>
              <w:bottom w:val="single" w:color="auto" w:sz="4" w:space="0"/>
              <w:right w:val="single" w:color="auto" w:sz="4" w:space="0"/>
            </w:tcBorders>
            <w:noWrap/>
            <w:vAlign w:val="center"/>
          </w:tcPr>
          <w:p w14:paraId="57A8B00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05FBF64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bottom"/>
          </w:tcPr>
          <w:p w14:paraId="24AA0A8A">
            <w:pPr>
              <w:rPr>
                <w:rFonts w:ascii="仿宋_GB2312" w:hAnsi="宋体" w:eastAsia="仿宋_GB2312" w:cs="宋体"/>
                <w:color w:val="000000"/>
                <w:sz w:val="20"/>
                <w:szCs w:val="20"/>
              </w:rPr>
            </w:pPr>
            <w:r>
              <w:rPr>
                <w:rFonts w:hint="eastAsia" w:ascii="仿宋_GB2312" w:eastAsia="仿宋_GB2312"/>
                <w:color w:val="000000"/>
                <w:sz w:val="20"/>
                <w:szCs w:val="20"/>
              </w:rPr>
              <w:t>　无偏差</w:t>
            </w:r>
          </w:p>
        </w:tc>
      </w:tr>
      <w:tr w14:paraId="53A37E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5E85E78">
            <w:pPr>
              <w:widowControl/>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4B7F2C5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21833A5">
            <w:pPr>
              <w:widowControl/>
              <w:spacing w:line="240" w:lineRule="exact"/>
              <w:jc w:val="left"/>
              <w:rPr>
                <w:rFonts w:ascii="仿宋_GB2312" w:hAnsi="仿宋_GB2312" w:eastAsia="仿宋_GB2312" w:cs="仿宋_GB2312"/>
                <w:color w:val="000000"/>
                <w:sz w:val="20"/>
                <w:szCs w:val="20"/>
              </w:rPr>
            </w:pPr>
          </w:p>
          <w:p w14:paraId="067022F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C8D720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nil"/>
              <w:left w:val="nil"/>
              <w:right w:val="single" w:color="auto" w:sz="4" w:space="0"/>
            </w:tcBorders>
            <w:noWrap/>
            <w:vAlign w:val="center"/>
          </w:tcPr>
          <w:p w14:paraId="18370A1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56C164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2A65C97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招商引资</w:t>
            </w:r>
          </w:p>
        </w:tc>
        <w:tc>
          <w:tcPr>
            <w:tcW w:w="1311" w:type="dxa"/>
            <w:tcBorders>
              <w:top w:val="nil"/>
              <w:left w:val="nil"/>
              <w:bottom w:val="single" w:color="auto" w:sz="4" w:space="0"/>
              <w:right w:val="single" w:color="auto" w:sz="4" w:space="0"/>
            </w:tcBorders>
            <w:noWrap/>
            <w:vAlign w:val="center"/>
          </w:tcPr>
          <w:p w14:paraId="489B012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定性</w:t>
            </w:r>
          </w:p>
        </w:tc>
        <w:tc>
          <w:tcPr>
            <w:tcW w:w="1269" w:type="dxa"/>
            <w:tcBorders>
              <w:top w:val="nil"/>
              <w:left w:val="nil"/>
              <w:bottom w:val="single" w:color="auto" w:sz="4" w:space="0"/>
              <w:right w:val="single" w:color="auto" w:sz="4" w:space="0"/>
            </w:tcBorders>
            <w:noWrap/>
            <w:vAlign w:val="center"/>
          </w:tcPr>
          <w:p w14:paraId="3511F4C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有效推进</w:t>
            </w:r>
          </w:p>
        </w:tc>
        <w:tc>
          <w:tcPr>
            <w:tcW w:w="716" w:type="dxa"/>
            <w:tcBorders>
              <w:top w:val="nil"/>
              <w:left w:val="nil"/>
              <w:bottom w:val="single" w:color="auto" w:sz="4" w:space="0"/>
              <w:right w:val="single" w:color="auto" w:sz="4" w:space="0"/>
            </w:tcBorders>
            <w:noWrap/>
            <w:vAlign w:val="center"/>
          </w:tcPr>
          <w:p w14:paraId="7A96EDF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w:t>
            </w:r>
          </w:p>
        </w:tc>
        <w:tc>
          <w:tcPr>
            <w:tcW w:w="873" w:type="dxa"/>
            <w:tcBorders>
              <w:top w:val="nil"/>
              <w:left w:val="nil"/>
              <w:bottom w:val="single" w:color="auto" w:sz="4" w:space="0"/>
              <w:right w:val="single" w:color="auto" w:sz="4" w:space="0"/>
            </w:tcBorders>
            <w:noWrap/>
            <w:vAlign w:val="center"/>
          </w:tcPr>
          <w:p w14:paraId="15F8850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1446" w:type="dxa"/>
            <w:tcBorders>
              <w:top w:val="nil"/>
              <w:left w:val="nil"/>
              <w:bottom w:val="single" w:color="auto" w:sz="4" w:space="0"/>
              <w:right w:val="single" w:color="auto" w:sz="4" w:space="0"/>
            </w:tcBorders>
            <w:noWrap/>
            <w:vAlign w:val="bottom"/>
          </w:tcPr>
          <w:p w14:paraId="5C6925E9">
            <w:pPr>
              <w:rPr>
                <w:rFonts w:ascii="仿宋_GB2312" w:hAnsi="宋体" w:eastAsia="仿宋_GB2312" w:cs="宋体"/>
                <w:color w:val="000000"/>
                <w:sz w:val="20"/>
                <w:szCs w:val="20"/>
              </w:rPr>
            </w:pPr>
            <w:r>
              <w:rPr>
                <w:rFonts w:hint="eastAsia" w:ascii="仿宋_GB2312" w:eastAsia="仿宋_GB2312"/>
                <w:color w:val="000000"/>
                <w:sz w:val="20"/>
                <w:szCs w:val="20"/>
              </w:rPr>
              <w:t>提升经济措施未到位，下年将加强措施</w:t>
            </w:r>
          </w:p>
        </w:tc>
      </w:tr>
      <w:tr w14:paraId="044D35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1EF5B1">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644F55C">
            <w:pPr>
              <w:widowControl/>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04D08C7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B9E823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1090359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推进“湘商回归”</w:t>
            </w:r>
          </w:p>
        </w:tc>
        <w:tc>
          <w:tcPr>
            <w:tcW w:w="1311" w:type="dxa"/>
            <w:tcBorders>
              <w:top w:val="nil"/>
              <w:left w:val="nil"/>
              <w:bottom w:val="single" w:color="auto" w:sz="4" w:space="0"/>
              <w:right w:val="single" w:color="auto" w:sz="4" w:space="0"/>
            </w:tcBorders>
            <w:noWrap/>
            <w:vAlign w:val="center"/>
          </w:tcPr>
          <w:p w14:paraId="792CE4B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定性</w:t>
            </w:r>
          </w:p>
        </w:tc>
        <w:tc>
          <w:tcPr>
            <w:tcW w:w="1269" w:type="dxa"/>
            <w:tcBorders>
              <w:top w:val="nil"/>
              <w:left w:val="nil"/>
              <w:bottom w:val="single" w:color="auto" w:sz="4" w:space="0"/>
              <w:right w:val="single" w:color="auto" w:sz="4" w:space="0"/>
            </w:tcBorders>
            <w:noWrap/>
            <w:vAlign w:val="center"/>
          </w:tcPr>
          <w:p w14:paraId="2A8E8D8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有效推进</w:t>
            </w:r>
          </w:p>
        </w:tc>
        <w:tc>
          <w:tcPr>
            <w:tcW w:w="716" w:type="dxa"/>
            <w:tcBorders>
              <w:top w:val="nil"/>
              <w:left w:val="nil"/>
              <w:bottom w:val="single" w:color="auto" w:sz="4" w:space="0"/>
              <w:right w:val="single" w:color="auto" w:sz="4" w:space="0"/>
            </w:tcBorders>
            <w:noWrap/>
            <w:vAlign w:val="center"/>
          </w:tcPr>
          <w:p w14:paraId="36A7511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w:t>
            </w:r>
          </w:p>
        </w:tc>
        <w:tc>
          <w:tcPr>
            <w:tcW w:w="873" w:type="dxa"/>
            <w:tcBorders>
              <w:top w:val="nil"/>
              <w:left w:val="nil"/>
              <w:bottom w:val="single" w:color="auto" w:sz="4" w:space="0"/>
              <w:right w:val="single" w:color="auto" w:sz="4" w:space="0"/>
            </w:tcBorders>
            <w:noWrap/>
            <w:vAlign w:val="center"/>
          </w:tcPr>
          <w:p w14:paraId="57D64B0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1446" w:type="dxa"/>
            <w:tcBorders>
              <w:top w:val="nil"/>
              <w:left w:val="nil"/>
              <w:bottom w:val="single" w:color="auto" w:sz="4" w:space="0"/>
              <w:right w:val="single" w:color="auto" w:sz="4" w:space="0"/>
            </w:tcBorders>
            <w:noWrap/>
            <w:vAlign w:val="bottom"/>
          </w:tcPr>
          <w:p w14:paraId="5BC39195">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0FA7E2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3F87BC4">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1CBCBC4">
            <w:pPr>
              <w:widowControl/>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716B63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1C6E30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6C6AF27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无生态效益</w:t>
            </w:r>
          </w:p>
        </w:tc>
        <w:tc>
          <w:tcPr>
            <w:tcW w:w="1311" w:type="dxa"/>
            <w:tcBorders>
              <w:top w:val="nil"/>
              <w:left w:val="nil"/>
              <w:bottom w:val="single" w:color="auto" w:sz="4" w:space="0"/>
              <w:right w:val="single" w:color="auto" w:sz="4" w:space="0"/>
            </w:tcBorders>
            <w:noWrap/>
            <w:vAlign w:val="center"/>
          </w:tcPr>
          <w:p w14:paraId="054C927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无生态效益</w:t>
            </w:r>
          </w:p>
        </w:tc>
        <w:tc>
          <w:tcPr>
            <w:tcW w:w="1269" w:type="dxa"/>
            <w:tcBorders>
              <w:top w:val="nil"/>
              <w:left w:val="nil"/>
              <w:bottom w:val="single" w:color="auto" w:sz="4" w:space="0"/>
              <w:right w:val="single" w:color="auto" w:sz="4" w:space="0"/>
            </w:tcBorders>
            <w:noWrap/>
            <w:vAlign w:val="center"/>
          </w:tcPr>
          <w:p w14:paraId="1CBA4F7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无生态效益</w:t>
            </w:r>
          </w:p>
        </w:tc>
        <w:tc>
          <w:tcPr>
            <w:tcW w:w="716" w:type="dxa"/>
            <w:tcBorders>
              <w:top w:val="nil"/>
              <w:left w:val="nil"/>
              <w:bottom w:val="single" w:color="auto" w:sz="4" w:space="0"/>
              <w:right w:val="single" w:color="auto" w:sz="4" w:space="0"/>
            </w:tcBorders>
            <w:noWrap/>
            <w:vAlign w:val="center"/>
          </w:tcPr>
          <w:p w14:paraId="537EA14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73" w:type="dxa"/>
            <w:tcBorders>
              <w:top w:val="nil"/>
              <w:left w:val="nil"/>
              <w:bottom w:val="single" w:color="auto" w:sz="4" w:space="0"/>
              <w:right w:val="single" w:color="auto" w:sz="4" w:space="0"/>
            </w:tcBorders>
            <w:noWrap/>
            <w:vAlign w:val="center"/>
          </w:tcPr>
          <w:p w14:paraId="672B3B0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nil"/>
              <w:left w:val="nil"/>
              <w:bottom w:val="single" w:color="auto" w:sz="4" w:space="0"/>
              <w:right w:val="single" w:color="auto" w:sz="4" w:space="0"/>
            </w:tcBorders>
            <w:noWrap/>
            <w:vAlign w:val="bottom"/>
          </w:tcPr>
          <w:p w14:paraId="68A2E925">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78146417">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5FC8ACEE">
            <w:pPr>
              <w:widowControl/>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397B5CF">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14:paraId="5D288D6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322FB60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无可持续影响</w:t>
            </w:r>
          </w:p>
        </w:tc>
        <w:tc>
          <w:tcPr>
            <w:tcW w:w="1311" w:type="dxa"/>
            <w:tcBorders>
              <w:top w:val="single" w:color="auto" w:sz="4" w:space="0"/>
              <w:left w:val="single" w:color="auto" w:sz="4" w:space="0"/>
              <w:bottom w:val="single" w:color="auto" w:sz="4" w:space="0"/>
              <w:right w:val="single" w:color="auto" w:sz="4" w:space="0"/>
            </w:tcBorders>
            <w:noWrap/>
            <w:vAlign w:val="center"/>
          </w:tcPr>
          <w:p w14:paraId="06A107F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无可持续影响</w:t>
            </w:r>
          </w:p>
        </w:tc>
        <w:tc>
          <w:tcPr>
            <w:tcW w:w="1269" w:type="dxa"/>
            <w:tcBorders>
              <w:top w:val="single" w:color="auto" w:sz="4" w:space="0"/>
              <w:left w:val="single" w:color="auto" w:sz="4" w:space="0"/>
              <w:bottom w:val="single" w:color="auto" w:sz="4" w:space="0"/>
              <w:right w:val="single" w:color="auto" w:sz="4" w:space="0"/>
            </w:tcBorders>
            <w:noWrap/>
            <w:vAlign w:val="center"/>
          </w:tcPr>
          <w:p w14:paraId="1EC25DD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无可持续影响</w:t>
            </w:r>
          </w:p>
        </w:tc>
        <w:tc>
          <w:tcPr>
            <w:tcW w:w="716" w:type="dxa"/>
            <w:tcBorders>
              <w:top w:val="single" w:color="auto" w:sz="4" w:space="0"/>
              <w:left w:val="single" w:color="auto" w:sz="4" w:space="0"/>
              <w:bottom w:val="single" w:color="auto" w:sz="4" w:space="0"/>
              <w:right w:val="single" w:color="auto" w:sz="4" w:space="0"/>
            </w:tcBorders>
            <w:noWrap/>
            <w:vAlign w:val="center"/>
          </w:tcPr>
          <w:p w14:paraId="2E761B0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73" w:type="dxa"/>
            <w:tcBorders>
              <w:top w:val="single" w:color="auto" w:sz="4" w:space="0"/>
              <w:left w:val="single" w:color="auto" w:sz="4" w:space="0"/>
              <w:bottom w:val="single" w:color="auto" w:sz="4" w:space="0"/>
              <w:right w:val="single" w:color="auto" w:sz="4" w:space="0"/>
            </w:tcBorders>
            <w:noWrap/>
            <w:vAlign w:val="center"/>
          </w:tcPr>
          <w:p w14:paraId="7DF36B2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single" w:color="auto" w:sz="4" w:space="0"/>
              <w:left w:val="single" w:color="auto" w:sz="4" w:space="0"/>
              <w:bottom w:val="single" w:color="auto" w:sz="4" w:space="0"/>
              <w:right w:val="single" w:color="auto" w:sz="4" w:space="0"/>
            </w:tcBorders>
            <w:noWrap/>
            <w:vAlign w:val="bottom"/>
          </w:tcPr>
          <w:p w14:paraId="3B9E2E01">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24B1F2C7">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1EE577C0">
            <w:pPr>
              <w:widowControl/>
              <w:spacing w:line="24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6EACFAF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636203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A5034A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nil"/>
              <w:left w:val="nil"/>
              <w:right w:val="single" w:color="auto" w:sz="4" w:space="0"/>
            </w:tcBorders>
            <w:noWrap/>
            <w:vAlign w:val="center"/>
          </w:tcPr>
          <w:p w14:paraId="7EDCAFE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14:paraId="602785D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招商对象满意度</w:t>
            </w:r>
          </w:p>
        </w:tc>
        <w:tc>
          <w:tcPr>
            <w:tcW w:w="1311" w:type="dxa"/>
            <w:tcBorders>
              <w:top w:val="nil"/>
              <w:left w:val="nil"/>
              <w:bottom w:val="single" w:color="auto" w:sz="4" w:space="0"/>
              <w:right w:val="single" w:color="auto" w:sz="4" w:space="0"/>
            </w:tcBorders>
            <w:noWrap/>
            <w:vAlign w:val="center"/>
          </w:tcPr>
          <w:p w14:paraId="6801F21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269" w:type="dxa"/>
            <w:tcBorders>
              <w:top w:val="nil"/>
              <w:left w:val="nil"/>
              <w:bottom w:val="single" w:color="auto" w:sz="4" w:space="0"/>
              <w:right w:val="single" w:color="auto" w:sz="4" w:space="0"/>
            </w:tcBorders>
            <w:noWrap/>
            <w:vAlign w:val="center"/>
          </w:tcPr>
          <w:p w14:paraId="30BA75F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716" w:type="dxa"/>
            <w:tcBorders>
              <w:top w:val="nil"/>
              <w:left w:val="nil"/>
              <w:bottom w:val="single" w:color="auto" w:sz="4" w:space="0"/>
              <w:right w:val="single" w:color="auto" w:sz="4" w:space="0"/>
            </w:tcBorders>
            <w:noWrap/>
            <w:vAlign w:val="center"/>
          </w:tcPr>
          <w:p w14:paraId="3A15354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198FD09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bottom"/>
          </w:tcPr>
          <w:p w14:paraId="7843004F">
            <w:pPr>
              <w:rPr>
                <w:rFonts w:ascii="仿宋_GB2312" w:hAnsi="宋体" w:eastAsia="仿宋_GB2312" w:cs="宋体"/>
                <w:color w:val="000000"/>
                <w:sz w:val="20"/>
                <w:szCs w:val="20"/>
              </w:rPr>
            </w:pPr>
            <w:r>
              <w:rPr>
                <w:rFonts w:hint="eastAsia" w:ascii="仿宋_GB2312" w:eastAsia="仿宋_GB2312"/>
                <w:color w:val="000000"/>
                <w:sz w:val="20"/>
                <w:szCs w:val="20"/>
              </w:rPr>
              <w:t>无偏差</w:t>
            </w:r>
          </w:p>
        </w:tc>
      </w:tr>
      <w:tr w14:paraId="48A1AF14">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14:paraId="1E835B3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14:paraId="1D0C32B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506DEF5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446" w:type="dxa"/>
            <w:tcBorders>
              <w:top w:val="nil"/>
              <w:left w:val="nil"/>
              <w:bottom w:val="single" w:color="auto" w:sz="4" w:space="0"/>
              <w:right w:val="single" w:color="auto" w:sz="4" w:space="0"/>
            </w:tcBorders>
            <w:noWrap/>
            <w:vAlign w:val="center"/>
          </w:tcPr>
          <w:p w14:paraId="4334F38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32C2210">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填表人</w:t>
      </w:r>
      <w:r>
        <w:rPr>
          <w:rFonts w:hint="eastAsia" w:ascii="仿宋_GB2312" w:hAnsi="仿宋_GB2312" w:eastAsia="仿宋_GB2312" w:cs="仿宋_GB2312"/>
          <w:color w:val="000000"/>
          <w:sz w:val="20"/>
          <w:szCs w:val="20"/>
        </w:rPr>
        <w:t xml:space="preserve">：     </w:t>
      </w:r>
      <w:r>
        <w:rPr>
          <w:rFonts w:ascii="仿宋_GB2312" w:hAnsi="仿宋_GB2312" w:eastAsia="仿宋_GB2312" w:cs="仿宋_GB2312"/>
          <w:color w:val="000000"/>
          <w:sz w:val="20"/>
          <w:szCs w:val="20"/>
        </w:rPr>
        <w:t>填报日期：</w:t>
      </w:r>
      <w:r>
        <w:rPr>
          <w:rFonts w:hint="eastAsia" w:ascii="仿宋_GB2312" w:hAnsi="仿宋_GB2312" w:eastAsia="仿宋_GB2312" w:cs="仿宋_GB2312"/>
          <w:color w:val="000000"/>
          <w:sz w:val="20"/>
          <w:szCs w:val="20"/>
        </w:rPr>
        <w:t xml:space="preserve">       </w:t>
      </w:r>
      <w:r>
        <w:rPr>
          <w:rFonts w:ascii="仿宋_GB2312" w:hAnsi="仿宋_GB2312" w:eastAsia="仿宋_GB2312" w:cs="仿宋_GB2312"/>
          <w:color w:val="000000"/>
          <w:sz w:val="20"/>
          <w:szCs w:val="20"/>
        </w:rPr>
        <w:t xml:space="preserve"> 联系电话：</w:t>
      </w:r>
      <w:r>
        <w:rPr>
          <w:rFonts w:hint="eastAsia" w:ascii="仿宋_GB2312" w:hAnsi="仿宋_GB2312" w:eastAsia="仿宋_GB2312" w:cs="仿宋_GB2312"/>
          <w:color w:val="000000"/>
          <w:sz w:val="20"/>
          <w:szCs w:val="20"/>
        </w:rPr>
        <w:t xml:space="preserve">                  </w:t>
      </w:r>
      <w:r>
        <w:rPr>
          <w:rFonts w:ascii="仿宋_GB2312" w:hAnsi="仿宋_GB2312" w:eastAsia="仿宋_GB2312" w:cs="仿宋_GB2312"/>
          <w:color w:val="000000"/>
          <w:sz w:val="20"/>
          <w:szCs w:val="20"/>
        </w:rPr>
        <w:t>单位负责人签字：</w:t>
      </w:r>
    </w:p>
    <w:p w14:paraId="4C847319">
      <w:pPr>
        <w:widowControl/>
        <w:spacing w:line="240" w:lineRule="exact"/>
        <w:jc w:val="left"/>
        <w:rPr>
          <w:rFonts w:ascii="仿宋_GB2312" w:hAnsi="仿宋_GB2312" w:eastAsia="仿宋_GB2312" w:cs="仿宋_GB2312"/>
          <w:color w:val="000000"/>
          <w:sz w:val="20"/>
          <w:szCs w:val="20"/>
        </w:rPr>
      </w:pPr>
    </w:p>
    <w:p w14:paraId="60C55D7F">
      <w:pPr>
        <w:widowControl/>
        <w:spacing w:line="600" w:lineRule="exact"/>
        <w:jc w:val="left"/>
        <w:rPr>
          <w:rFonts w:ascii="黑体" w:hAnsi="黑体" w:eastAsia="黑体" w:cs="黑体"/>
          <w:sz w:val="32"/>
          <w:szCs w:val="32"/>
        </w:rPr>
      </w:pPr>
      <w:r>
        <w:rPr>
          <w:rFonts w:ascii="Times New Roman" w:hAnsi="Times New Roman" w:eastAsia="仿宋_GB2312"/>
          <w:sz w:val="22"/>
          <w:szCs w:val="22"/>
        </w:rPr>
        <w:br w:type="page"/>
      </w:r>
    </w:p>
    <w:p w14:paraId="22E8E7D2">
      <w:pPr>
        <w:widowControl/>
        <w:spacing w:line="600" w:lineRule="exact"/>
        <w:jc w:val="left"/>
        <w:rPr>
          <w:rFonts w:ascii="黑体" w:hAnsi="黑体" w:eastAsia="黑体" w:cs="黑体"/>
          <w:sz w:val="32"/>
          <w:szCs w:val="32"/>
        </w:rPr>
      </w:pPr>
    </w:p>
    <w:p w14:paraId="5B34AD8A">
      <w:pPr>
        <w:widowControl/>
        <w:spacing w:line="600" w:lineRule="exact"/>
        <w:jc w:val="left"/>
        <w:rPr>
          <w:rFonts w:ascii="黑体" w:hAnsi="黑体" w:eastAsia="黑体" w:cs="黑体"/>
          <w:sz w:val="32"/>
          <w:szCs w:val="32"/>
        </w:rPr>
      </w:pPr>
    </w:p>
    <w:p w14:paraId="4577E4AD">
      <w:pPr>
        <w:widowControl/>
        <w:spacing w:line="600" w:lineRule="exact"/>
        <w:jc w:val="left"/>
        <w:rPr>
          <w:rFonts w:ascii="黑体" w:hAnsi="黑体" w:eastAsia="黑体" w:cs="黑体"/>
          <w:sz w:val="32"/>
          <w:szCs w:val="32"/>
        </w:rPr>
      </w:pPr>
    </w:p>
    <w:p w14:paraId="2667A821">
      <w:pPr>
        <w:widowControl/>
        <w:spacing w:line="600" w:lineRule="exact"/>
        <w:jc w:val="left"/>
        <w:rPr>
          <w:rFonts w:ascii="黑体" w:hAnsi="黑体" w:eastAsia="黑体" w:cs="黑体"/>
          <w:sz w:val="32"/>
          <w:szCs w:val="32"/>
        </w:rPr>
      </w:pPr>
    </w:p>
    <w:p w14:paraId="5D108815">
      <w:pPr>
        <w:widowControl/>
        <w:spacing w:line="600" w:lineRule="exact"/>
        <w:jc w:val="left"/>
        <w:rPr>
          <w:rFonts w:ascii="黑体" w:hAnsi="黑体" w:eastAsia="黑体" w:cs="黑体"/>
          <w:sz w:val="32"/>
          <w:szCs w:val="32"/>
        </w:rPr>
      </w:pPr>
    </w:p>
    <w:p w14:paraId="28B773CF">
      <w:pPr>
        <w:widowControl/>
        <w:spacing w:line="600" w:lineRule="exact"/>
        <w:jc w:val="left"/>
        <w:rPr>
          <w:rFonts w:ascii="黑体" w:hAnsi="黑体" w:eastAsia="黑体" w:cs="黑体"/>
          <w:sz w:val="32"/>
          <w:szCs w:val="32"/>
        </w:rPr>
      </w:pPr>
    </w:p>
    <w:p w14:paraId="6B5DDDF3">
      <w:pPr>
        <w:widowControl/>
        <w:spacing w:line="600" w:lineRule="exact"/>
        <w:jc w:val="left"/>
        <w:rPr>
          <w:rFonts w:ascii="黑体" w:hAnsi="黑体" w:eastAsia="黑体" w:cs="黑体"/>
          <w:sz w:val="32"/>
          <w:szCs w:val="32"/>
        </w:rPr>
      </w:pPr>
    </w:p>
    <w:p w14:paraId="48F97DE9">
      <w:pPr>
        <w:widowControl/>
        <w:spacing w:line="600" w:lineRule="exact"/>
        <w:jc w:val="left"/>
        <w:rPr>
          <w:rFonts w:ascii="黑体" w:hAnsi="黑体" w:eastAsia="黑体" w:cs="黑体"/>
          <w:sz w:val="32"/>
          <w:szCs w:val="32"/>
        </w:rPr>
      </w:pPr>
    </w:p>
    <w:p w14:paraId="209816D2">
      <w:pPr>
        <w:widowControl/>
        <w:spacing w:line="600" w:lineRule="exact"/>
        <w:jc w:val="left"/>
        <w:rPr>
          <w:rFonts w:ascii="黑体" w:hAnsi="黑体" w:eastAsia="黑体" w:cs="黑体"/>
          <w:sz w:val="32"/>
          <w:szCs w:val="32"/>
        </w:rPr>
      </w:pPr>
    </w:p>
    <w:p w14:paraId="4F45685C">
      <w:pPr>
        <w:widowControl/>
        <w:spacing w:line="600" w:lineRule="exact"/>
        <w:jc w:val="left"/>
        <w:rPr>
          <w:rFonts w:ascii="黑体" w:hAnsi="黑体" w:eastAsia="黑体" w:cs="黑体"/>
          <w:sz w:val="32"/>
          <w:szCs w:val="32"/>
        </w:rPr>
      </w:pPr>
    </w:p>
    <w:p w14:paraId="3E9E87D3">
      <w:pPr>
        <w:widowControl/>
        <w:spacing w:line="600" w:lineRule="exact"/>
        <w:jc w:val="left"/>
        <w:rPr>
          <w:rFonts w:ascii="黑体" w:hAnsi="黑体" w:eastAsia="黑体" w:cs="黑体"/>
          <w:sz w:val="32"/>
          <w:szCs w:val="32"/>
        </w:rPr>
      </w:pPr>
    </w:p>
    <w:p w14:paraId="21B73B57">
      <w:pPr>
        <w:widowControl/>
        <w:spacing w:line="600" w:lineRule="exact"/>
        <w:jc w:val="left"/>
        <w:rPr>
          <w:rFonts w:ascii="黑体" w:hAnsi="黑体" w:eastAsia="黑体" w:cs="黑体"/>
          <w:sz w:val="32"/>
          <w:szCs w:val="32"/>
        </w:rPr>
      </w:pPr>
    </w:p>
    <w:p w14:paraId="2F5102B2">
      <w:pPr>
        <w:widowControl/>
        <w:spacing w:line="600" w:lineRule="exact"/>
        <w:jc w:val="left"/>
        <w:rPr>
          <w:rFonts w:ascii="黑体" w:hAnsi="黑体" w:eastAsia="黑体" w:cs="黑体"/>
          <w:sz w:val="32"/>
          <w:szCs w:val="32"/>
        </w:rPr>
      </w:pPr>
    </w:p>
    <w:p w14:paraId="4373472C">
      <w:pPr>
        <w:widowControl/>
        <w:spacing w:line="600" w:lineRule="exact"/>
        <w:jc w:val="left"/>
        <w:rPr>
          <w:rFonts w:ascii="黑体" w:hAnsi="黑体" w:eastAsia="黑体" w:cs="黑体"/>
          <w:sz w:val="32"/>
          <w:szCs w:val="32"/>
        </w:rPr>
      </w:pPr>
    </w:p>
    <w:p w14:paraId="3E2B99C4">
      <w:pPr>
        <w:widowControl/>
        <w:spacing w:line="600" w:lineRule="exact"/>
        <w:jc w:val="left"/>
        <w:rPr>
          <w:rFonts w:ascii="黑体" w:hAnsi="黑体" w:eastAsia="黑体" w:cs="黑体"/>
          <w:sz w:val="32"/>
          <w:szCs w:val="32"/>
        </w:rPr>
      </w:pPr>
    </w:p>
    <w:p w14:paraId="08C57AFD">
      <w:pPr>
        <w:widowControl/>
        <w:spacing w:line="600" w:lineRule="exact"/>
        <w:jc w:val="left"/>
        <w:rPr>
          <w:rFonts w:ascii="黑体" w:hAnsi="黑体" w:eastAsia="黑体" w:cs="黑体"/>
          <w:sz w:val="32"/>
          <w:szCs w:val="32"/>
        </w:rPr>
      </w:pPr>
    </w:p>
    <w:p w14:paraId="5DEEB05D">
      <w:pPr>
        <w:rPr>
          <w:rFonts w:ascii="黑体" w:hAnsi="黑体" w:eastAsia="黑体" w:cs="黑体"/>
          <w:sz w:val="32"/>
          <w:szCs w:val="32"/>
        </w:rPr>
      </w:pPr>
    </w:p>
    <w:p w14:paraId="042ABE97">
      <w:pPr>
        <w:rPr>
          <w:rFonts w:ascii="黑体" w:hAnsi="黑体" w:eastAsia="黑体" w:cs="黑体"/>
          <w:sz w:val="32"/>
          <w:szCs w:val="32"/>
        </w:rPr>
      </w:pPr>
    </w:p>
    <w:p w14:paraId="7C9F9B73">
      <w:pPr>
        <w:rPr>
          <w:rFonts w:ascii="黑体" w:hAnsi="黑体" w:eastAsia="黑体" w:cs="黑体"/>
          <w:sz w:val="32"/>
          <w:szCs w:val="32"/>
        </w:rPr>
      </w:pPr>
    </w:p>
    <w:p w14:paraId="3E801126">
      <w:pPr>
        <w:rPr>
          <w:rFonts w:ascii="黑体" w:hAnsi="黑体" w:eastAsia="黑体" w:cs="黑体"/>
          <w:sz w:val="32"/>
          <w:szCs w:val="32"/>
        </w:rPr>
      </w:pPr>
    </w:p>
    <w:p w14:paraId="431A5CCC">
      <w:pPr>
        <w:jc w:val="center"/>
        <w:rPr>
          <w:rFonts w:ascii="Times New Roman" w:hAnsi="Times New Roman" w:eastAsia="方正小标宋_GBK"/>
          <w:sz w:val="52"/>
          <w:szCs w:val="52"/>
        </w:rPr>
      </w:pPr>
    </w:p>
    <w:p w14:paraId="4071ACA3">
      <w:pPr>
        <w:pStyle w:val="2"/>
        <w:ind w:left="560" w:firstLine="560"/>
      </w:pPr>
    </w:p>
    <w:p w14:paraId="49FCFC28">
      <w:pPr>
        <w:widowControl/>
        <w:spacing w:line="640" w:lineRule="exact"/>
        <w:rPr>
          <w:rFonts w:ascii="黑体" w:hAnsi="黑体" w:eastAsia="黑体" w:cs="黑体"/>
          <w:sz w:val="32"/>
          <w:szCs w:val="32"/>
        </w:rPr>
      </w:pPr>
      <w:r>
        <w:rPr>
          <w:rFonts w:hint="eastAsia" w:ascii="黑体" w:hAnsi="黑体" w:eastAsia="黑体" w:cs="黑体"/>
          <w:sz w:val="32"/>
          <w:szCs w:val="32"/>
        </w:rPr>
        <w:t>附件5</w:t>
      </w:r>
    </w:p>
    <w:p w14:paraId="131075F5">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0276453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E76DA60">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5C0A16C0">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482C7E31">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3EF07E26">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1BDFD87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3DF983A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2D8F71FC">
            <w:pPr>
              <w:spacing w:line="300" w:lineRule="exact"/>
              <w:jc w:val="center"/>
              <w:rPr>
                <w:rFonts w:ascii="Times New Roman" w:hAnsi="Times New Roman" w:eastAsia="仿宋_GB2312"/>
                <w:sz w:val="20"/>
                <w:szCs w:val="20"/>
              </w:rPr>
            </w:pPr>
          </w:p>
          <w:p w14:paraId="7727166A">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7557AEC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6FF13F8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5563E6D7">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5EAE6AFB">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78012AA8">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095CEE7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75B6C2C6">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6ED94D0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6B8278D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179EC3DC">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20A5632A">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5BBF401C">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7042464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4F46924D">
            <w:pPr>
              <w:spacing w:line="300" w:lineRule="exact"/>
              <w:jc w:val="center"/>
              <w:rPr>
                <w:rFonts w:ascii="Times New Roman" w:hAnsi="Times New Roman" w:eastAsia="仿宋_GB2312"/>
                <w:sz w:val="20"/>
                <w:szCs w:val="20"/>
              </w:rPr>
            </w:pPr>
          </w:p>
          <w:p w14:paraId="1083585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136D299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59872B8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7642E8F0">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01F4F051">
            <w:pPr>
              <w:numPr>
                <w:ilvl w:val="0"/>
                <w:numId w:val="7"/>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49D89E41">
            <w:pPr>
              <w:numPr>
                <w:ilvl w:val="0"/>
                <w:numId w:val="7"/>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7908584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3E0EE71D">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15170B3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3E7C5866">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1A6BC8F6">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4B512235">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669982C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6C74B52E">
            <w:pPr>
              <w:spacing w:line="300" w:lineRule="exact"/>
              <w:jc w:val="center"/>
              <w:rPr>
                <w:rFonts w:ascii="Times New Roman" w:hAnsi="Times New Roman" w:eastAsia="仿宋_GB2312"/>
                <w:sz w:val="20"/>
                <w:szCs w:val="20"/>
              </w:rPr>
            </w:pPr>
          </w:p>
          <w:p w14:paraId="638735F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5FA9AED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2012A8E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640000F6">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19EFED96">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2359F8E6">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6C24C2FE">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095ED8F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58133E0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1F9ACED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22D37D7B">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103C1034">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4278838F">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E76C5D4">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8BF611C">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00DB3122">
            <w:pPr>
              <w:jc w:val="center"/>
              <w:rPr>
                <w:rFonts w:ascii="Times New Roman" w:hAnsi="Times New Roman"/>
              </w:rPr>
            </w:pPr>
          </w:p>
          <w:p w14:paraId="529220AB">
            <w:pPr>
              <w:jc w:val="center"/>
              <w:rPr>
                <w:rFonts w:ascii="Times New Roman" w:hAnsi="Times New Roman" w:eastAsia="仿宋_GB2312"/>
                <w:sz w:val="20"/>
                <w:szCs w:val="20"/>
              </w:rPr>
            </w:pPr>
            <w:r>
              <w:rPr>
                <w:rFonts w:ascii="Times New Roman" w:hAnsi="Times New Roman" w:eastAsia="仿宋_GB2312"/>
                <w:sz w:val="20"/>
                <w:szCs w:val="20"/>
              </w:rPr>
              <w:t>反映问</w:t>
            </w:r>
          </w:p>
          <w:p w14:paraId="677E9274">
            <w:pPr>
              <w:jc w:val="center"/>
              <w:rPr>
                <w:rFonts w:ascii="Times New Roman" w:hAnsi="Times New Roman" w:eastAsia="仿宋_GB2312"/>
                <w:sz w:val="20"/>
                <w:szCs w:val="20"/>
              </w:rPr>
            </w:pPr>
            <w:r>
              <w:rPr>
                <w:rFonts w:ascii="Times New Roman" w:hAnsi="Times New Roman" w:eastAsia="仿宋_GB2312"/>
                <w:sz w:val="20"/>
                <w:szCs w:val="20"/>
              </w:rPr>
              <w:t>题情况</w:t>
            </w:r>
          </w:p>
          <w:p w14:paraId="7006D53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3ABEAD51">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351EFFC5">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E8B76B9">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593BF0D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2AF8B30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159E903F">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064D6976">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3C7143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4A31808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36C6DAFF">
            <w:pPr>
              <w:spacing w:line="300" w:lineRule="exact"/>
              <w:rPr>
                <w:rFonts w:ascii="Times New Roman" w:hAnsi="Times New Roman" w:eastAsia="仿宋_GB2312"/>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98</w:t>
            </w:r>
          </w:p>
        </w:tc>
      </w:tr>
    </w:tbl>
    <w:p w14:paraId="1C38F896">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BCD131B"/>
    <w:multiLevelType w:val="singleLevel"/>
    <w:tmpl w:val="1BCD131B"/>
    <w:lvl w:ilvl="0" w:tentative="0">
      <w:start w:val="8"/>
      <w:numFmt w:val="chineseCounting"/>
      <w:suff w:val="nothing"/>
      <w:lvlText w:val="%1、"/>
      <w:lvlJc w:val="left"/>
      <w:rPr>
        <w:rFonts w:hint="eastAsia"/>
      </w:rPr>
    </w:lvl>
  </w:abstractNum>
  <w:abstractNum w:abstractNumId="3">
    <w:nsid w:val="1DD36296"/>
    <w:multiLevelType w:val="singleLevel"/>
    <w:tmpl w:val="1DD36296"/>
    <w:lvl w:ilvl="0" w:tentative="0">
      <w:start w:val="1"/>
      <w:numFmt w:val="chineseCounting"/>
      <w:suff w:val="nothing"/>
      <w:lvlText w:val="%1、"/>
      <w:lvlJc w:val="left"/>
      <w:rPr>
        <w:rFonts w:hint="eastAsia"/>
      </w:rPr>
    </w:lvl>
  </w:abstractNum>
  <w:abstractNum w:abstractNumId="4">
    <w:nsid w:val="59CC8B3D"/>
    <w:multiLevelType w:val="singleLevel"/>
    <w:tmpl w:val="59CC8B3D"/>
    <w:lvl w:ilvl="0" w:tentative="0">
      <w:start w:val="1"/>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abstractNum w:abstractNumId="6">
    <w:nsid w:val="72666873"/>
    <w:multiLevelType w:val="singleLevel"/>
    <w:tmpl w:val="72666873"/>
    <w:lvl w:ilvl="0" w:tentative="0">
      <w:start w:val="4"/>
      <w:numFmt w:val="chineseCounting"/>
      <w:suff w:val="nothing"/>
      <w:lvlText w:val="%1、"/>
      <w:lvlJc w:val="left"/>
      <w:rPr>
        <w:rFonts w:hint="eastAsia"/>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RhMjdlZjQ5YjRhZjNkYTU5MWJjNTdiM2YyYzk4OWIifQ=="/>
  </w:docVars>
  <w:rsids>
    <w:rsidRoot w:val="59886344"/>
    <w:rsid w:val="00201A1F"/>
    <w:rsid w:val="00377C7C"/>
    <w:rsid w:val="00413429"/>
    <w:rsid w:val="0048282C"/>
    <w:rsid w:val="00591D36"/>
    <w:rsid w:val="00601D08"/>
    <w:rsid w:val="00C349B4"/>
    <w:rsid w:val="0A467A21"/>
    <w:rsid w:val="0E710FB3"/>
    <w:rsid w:val="1356560D"/>
    <w:rsid w:val="1AD81A1B"/>
    <w:rsid w:val="1CB462C1"/>
    <w:rsid w:val="1F38206B"/>
    <w:rsid w:val="22220C72"/>
    <w:rsid w:val="274176DD"/>
    <w:rsid w:val="2CB52ADF"/>
    <w:rsid w:val="2D7A1A9E"/>
    <w:rsid w:val="2E114AFB"/>
    <w:rsid w:val="36C93C0A"/>
    <w:rsid w:val="3A0164D6"/>
    <w:rsid w:val="3CE26112"/>
    <w:rsid w:val="43A364AD"/>
    <w:rsid w:val="49C65963"/>
    <w:rsid w:val="52E92CAF"/>
    <w:rsid w:val="538256AC"/>
    <w:rsid w:val="55004DFD"/>
    <w:rsid w:val="58670CF0"/>
    <w:rsid w:val="597B2CA5"/>
    <w:rsid w:val="59886344"/>
    <w:rsid w:val="5A5A0E47"/>
    <w:rsid w:val="5C5A0BD2"/>
    <w:rsid w:val="5CCD6BA5"/>
    <w:rsid w:val="5CF9234B"/>
    <w:rsid w:val="6516562F"/>
    <w:rsid w:val="66954A48"/>
    <w:rsid w:val="66D77B48"/>
    <w:rsid w:val="68193552"/>
    <w:rsid w:val="6AD037C8"/>
    <w:rsid w:val="70C62A07"/>
    <w:rsid w:val="7A050594"/>
    <w:rsid w:val="7ED84A3E"/>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eastAsia="仿宋" w:cs="仿宋"/>
      <w:sz w:val="31"/>
      <w:szCs w:val="31"/>
      <w:lang w:eastAsia="en-US"/>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页眉 Char"/>
    <w:basedOn w:val="9"/>
    <w:link w:val="6"/>
    <w:uiPriority w:val="0"/>
    <w:rPr>
      <w:rFonts w:ascii="仿宋" w:hAnsi="仿宋"/>
      <w:sz w:val="18"/>
      <w:szCs w:val="18"/>
    </w:rPr>
  </w:style>
  <w:style w:type="character" w:customStyle="1" w:styleId="13">
    <w:name w:val="页脚 Char"/>
    <w:basedOn w:val="9"/>
    <w:link w:val="5"/>
    <w:uiPriority w:val="0"/>
    <w:rPr>
      <w:rFonts w:ascii="仿宋" w:hAnsi="仿宋"/>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1108</Words>
  <Characters>1160</Characters>
  <Lines>9</Lines>
  <Paragraphs>13</Paragraphs>
  <TotalTime>39</TotalTime>
  <ScaleCrop>false</ScaleCrop>
  <LinksUpToDate>false</LinksUpToDate>
  <CharactersWithSpaces>1166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Mr.1.689小姐</cp:lastModifiedBy>
  <dcterms:modified xsi:type="dcterms:W3CDTF">2025-05-27T01:13:15Z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5079B13C6D544FC8A724CC6DC831BDD8_13</vt:lpwstr>
  </property>
  <property fmtid="{D5CDD505-2E9C-101B-9397-08002B2CF9AE}" pid="4" name="KSOTemplateDocerSaveRecord">
    <vt:lpwstr>eyJoZGlkIjoiNDM1OWIzYzk1MWM3N2I3MjEzZjQ5NzNmYzQ5ZWNlZGYiLCJ1c2VySWQiOiI1ODEwMzE3NDEifQ==</vt:lpwstr>
  </property>
</Properties>
</file>