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Ind w:w="0" w:type="dxa"/>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Layout w:type="fixed"/>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61.92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68.83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77.14</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61.92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68.83</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信息中心建设经费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16.52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11.5</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3.1</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15.33</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11.5</w:t>
            </w: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2.7</w:t>
            </w:r>
            <w:r>
              <w:rPr>
                <w:rFonts w:hint="eastAsia" w:ascii="仿宋_GB2312" w:hAnsi="仿宋_GB2312" w:eastAsia="仿宋_GB2312" w:cs="仿宋_GB2312"/>
                <w:color w:val="FF0000"/>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0.4</w:t>
            </w:r>
            <w:r>
              <w:rPr>
                <w:rFonts w:hint="eastAsia" w:ascii="仿宋_GB2312" w:hAnsi="仿宋_GB2312" w:eastAsia="仿宋_GB2312" w:cs="仿宋_GB2312"/>
                <w:color w:val="FF0000"/>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64.2</w:t>
            </w: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Layout w:type="fixed"/>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Layout w:type="fixed"/>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戴鑫</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2025.04.29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13487306977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Ind w:w="0" w:type="dxa"/>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岳阳市君山区国库集中支付核算中心</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207.62</w:t>
            </w:r>
          </w:p>
        </w:tc>
        <w:tc>
          <w:tcPr>
            <w:tcW w:w="1311"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234.52</w:t>
            </w:r>
          </w:p>
        </w:tc>
        <w:tc>
          <w:tcPr>
            <w:tcW w:w="1269"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209.59</w:t>
            </w:r>
          </w:p>
        </w:tc>
        <w:tc>
          <w:tcPr>
            <w:tcW w:w="716"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89.37%</w:t>
            </w:r>
          </w:p>
        </w:tc>
        <w:tc>
          <w:tcPr>
            <w:tcW w:w="1446" w:type="dxa"/>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8.94</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209.59</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140.76</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68.83</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目标1：严格落实财务管理制度，加强会计核算和会计监督。</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目标2：优化国库集中支付业务流程，提升国库集中支付效率。</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目标3：加强作风纪律和廉政建设，提升队伍纪律作风水平。</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目标4：保证日常工作正常运转。　　</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1：严格落实财务管理制度，加强会计核算和会计监督。</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2：优化国库集中支付业务流程，提升国库集中支付效率。</w:t>
            </w:r>
          </w:p>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3：加强作风纪律和廉政建设，提升队伍纪律作风水平。</w:t>
            </w:r>
          </w:p>
          <w:p>
            <w:pPr>
              <w:widowControl/>
              <w:spacing w:line="240" w:lineRule="exact"/>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0"/>
                <w:szCs w:val="20"/>
                <w:highlight w:val="none"/>
              </w:rPr>
              <w:t>4：保证日常工作正常运转。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2.72万笔</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3.78万笔</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支付业务审核率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31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207.61</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209.96</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31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269"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71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97.94</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2025.04.29</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Ind w:w="0" w:type="dxa"/>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Layout w:type="fixed"/>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君山区财政局</w:t>
            </w:r>
          </w:p>
        </w:tc>
        <w:tc>
          <w:tcPr>
            <w:tcW w:w="1134"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君山区国库集中支付核算中心</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61.92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68.83</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61.92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68.83</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Layout w:type="fixed"/>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目标1：严格落实财务管理制度，加强会计核算和会计监督。</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目标2：优化国库集中支付业务流程，提升国库集中支付效率。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目标3：加强作风纪律和廉政建设，提升队伍纪律作风水平。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目标4：保证日常工作正常运转</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1：严格落实财务管理制度，加强会计核算和会计监督。</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2：优化国库集中支付业务流程，提升国库集中支付效率。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3：加强作风纪律和廉政建设，提升队伍纪律作风水平。</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4：保证日常工作正常运转。</w:t>
            </w:r>
          </w:p>
        </w:tc>
      </w:tr>
      <w:tr>
        <w:tblPrEx>
          <w:tblLayout w:type="fixed"/>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国库集中支付单位</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121</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both"/>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财政直接支付量</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2万笔</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2.72万笔</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财政授权支付量</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3万笔</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3.78万笔</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单位其他资金直接支付申请清算率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nil"/>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单位其他资金授权支付申请清算率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支付拨付事故率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会计核算工作正常运行率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支付业务审核率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单位其他资金支付申请清算及时率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工作完成及时率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国库集中支付效率</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监管与服务水平</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部门预算约束性</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已提升</w:t>
            </w:r>
          </w:p>
        </w:tc>
        <w:tc>
          <w:tcPr>
            <w:tcW w:w="828"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预算单位满意度95%以上得15分，每减少1%扣1分，扣完为止</w:t>
            </w:r>
          </w:p>
        </w:tc>
      </w:tr>
      <w:tr>
        <w:tblPrEx>
          <w:tblLayout w:type="fixed"/>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Layout w:type="fixed"/>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戴鑫</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2025.04.29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13487306977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岳阳市君山区国库集中支付核算中心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04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29</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岳阳市君山区国库集中支付核算中心</w:t>
      </w:r>
      <w:r>
        <w:rPr>
          <w:rFonts w:hint="eastAsia" w:ascii="方正小标宋简体" w:hAnsi="方正小标宋简体" w:eastAsia="方正小标宋简体" w:cs="方正小标宋简体"/>
          <w:sz w:val="44"/>
          <w:szCs w:val="44"/>
          <w:highlight w:val="none"/>
        </w:rPr>
        <w:t>部门（单位）整体支出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lang w:eastAsia="zh-CN"/>
        </w:rPr>
        <w:t>（一）职能</w:t>
      </w:r>
      <w:r>
        <w:rPr>
          <w:rFonts w:hint="eastAsia" w:ascii="仿宋" w:hAnsi="仿宋" w:eastAsia="仿宋" w:cs="仿宋"/>
          <w:spacing w:val="9"/>
          <w:sz w:val="29"/>
          <w:szCs w:val="29"/>
        </w:rPr>
        <w:t>职责</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1、贯彻执行国家财经纪律、法规和方针政策，建立和和管理国库单一账户体系。</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2、负责研究制订国家集中支付相关制度，协调人民银行国库部门、代理银行、预算单位等各有关方的相关业务工作，办理财政直接支付零余额账户和授权支付零余额账户的业务。</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3、负责财政国库集中支付业务相关账务处理，办理预算单位财政性资金支出明细账，监督预算单位的预算指标、用款计划情况。</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4、负责制定收付系统内部管理和监督制度，对财政支付机构和收付系统内部进行监督检查。</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5、负责建设并维护局内收付管理信息系统，以及受委托的财政系统网络信息化管理。</w:t>
      </w:r>
    </w:p>
    <w:p>
      <w:pPr>
        <w:spacing w:before="95" w:line="396" w:lineRule="auto"/>
        <w:ind w:left="20" w:leftChars="7" w:right="11" w:firstLine="616" w:firstLineChars="200"/>
        <w:rPr>
          <w:rFonts w:hint="eastAsia" w:ascii="仿宋" w:hAnsi="仿宋" w:eastAsia="仿宋" w:cs="仿宋"/>
          <w:spacing w:val="9"/>
          <w:sz w:val="29"/>
          <w:szCs w:val="29"/>
        </w:rPr>
      </w:pPr>
      <w:r>
        <w:rPr>
          <w:rFonts w:hint="eastAsia" w:ascii="仿宋" w:hAnsi="仿宋" w:eastAsia="仿宋" w:cs="仿宋"/>
          <w:spacing w:val="9"/>
          <w:sz w:val="29"/>
          <w:szCs w:val="29"/>
        </w:rPr>
        <w:t>6、负责各预算单位财政工资统发工作。</w:t>
      </w:r>
    </w:p>
    <w:p>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spacing w:val="9"/>
          <w:sz w:val="29"/>
          <w:szCs w:val="29"/>
        </w:rPr>
      </w:pPr>
      <w:r>
        <w:rPr>
          <w:rFonts w:hint="eastAsia" w:ascii="仿宋" w:hAnsi="仿宋" w:eastAsia="仿宋" w:cs="仿宋"/>
          <w:spacing w:val="9"/>
          <w:sz w:val="29"/>
          <w:szCs w:val="29"/>
        </w:rPr>
        <w:t>负责办理部分行政事业单位会计集中核算工作。</w:t>
      </w:r>
    </w:p>
    <w:p>
      <w:pPr>
        <w:keepNext w:val="0"/>
        <w:keepLines w:val="0"/>
        <w:pageBreakBefore w:val="0"/>
        <w:numPr>
          <w:ilvl w:val="0"/>
          <w:numId w:val="2"/>
        </w:numPr>
        <w:kinsoku/>
        <w:wordWrap/>
        <w:overflowPunct/>
        <w:topLinePunct w:val="0"/>
        <w:autoSpaceDE/>
        <w:autoSpaceDN/>
        <w:bidi w:val="0"/>
        <w:adjustRightInd/>
        <w:snapToGrid/>
        <w:spacing w:line="640" w:lineRule="exact"/>
        <w:ind w:left="560" w:leftChars="0" w:firstLineChars="0"/>
        <w:jc w:val="both"/>
        <w:textAlignment w:val="auto"/>
        <w:rPr>
          <w:rFonts w:hint="eastAsia" w:ascii="仿宋" w:hAnsi="仿宋" w:eastAsia="仿宋" w:cs="仿宋"/>
          <w:b w:val="0"/>
          <w:bCs w:val="0"/>
          <w:sz w:val="32"/>
          <w:szCs w:val="32"/>
          <w:highlight w:val="none"/>
        </w:rPr>
      </w:pPr>
      <w:r>
        <w:rPr>
          <w:rFonts w:hint="eastAsia" w:ascii="仿宋" w:hAnsi="仿宋" w:eastAsia="仿宋" w:cs="仿宋"/>
          <w:spacing w:val="9"/>
          <w:sz w:val="29"/>
          <w:szCs w:val="29"/>
        </w:rPr>
        <w:t>完成上级交办的其他工作。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（二）</w:t>
      </w:r>
      <w:r>
        <w:rPr>
          <w:rFonts w:hint="eastAsia" w:ascii="仿宋_GB2312" w:hAnsi="仿宋" w:eastAsia="仿宋_GB2312"/>
          <w:sz w:val="32"/>
          <w:szCs w:val="32"/>
        </w:rPr>
        <w:t>机构情况。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支付核算中心内设三个职能股室：结算中心、支付股、核算股。</w:t>
      </w:r>
    </w:p>
    <w:p>
      <w:pPr>
        <w:snapToGrid w:val="0"/>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lang w:eastAsia="zh-CN"/>
        </w:rPr>
        <w:t>（三）</w:t>
      </w:r>
      <w:r>
        <w:rPr>
          <w:rFonts w:hint="eastAsia" w:ascii="仿宋_GB2312" w:hAnsi="仿宋" w:eastAsia="仿宋_GB2312"/>
          <w:sz w:val="32"/>
          <w:szCs w:val="32"/>
        </w:rPr>
        <w:t>人员情况。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仿宋_GB2312"/>
          <w:sz w:val="32"/>
          <w:szCs w:val="32"/>
        </w:rPr>
        <w:t>财政全额拨款事业编制10名。</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140.76</w:t>
      </w:r>
      <w:r>
        <w:rPr>
          <w:rFonts w:hint="eastAsia" w:ascii="Times New Roman" w:hAnsi="Times New Roman" w:eastAsia="仿宋_GB2312"/>
          <w:sz w:val="32"/>
          <w:szCs w:val="32"/>
        </w:rPr>
        <w:t>万元，其中：</w:t>
      </w:r>
    </w:p>
    <w:p>
      <w:pPr>
        <w:pStyle w:val="7"/>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137.64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97.78</w:t>
      </w:r>
      <w:r>
        <w:rPr>
          <w:rFonts w:hint="eastAsia" w:ascii="Times New Roman" w:hAnsi="Times New Roman" w:eastAsia="仿宋_GB2312"/>
          <w:sz w:val="32"/>
          <w:szCs w:val="32"/>
        </w:rPr>
        <w:t>%,主要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pPr>
        <w:pStyle w:val="7"/>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b w:val="0"/>
          <w:bCs w:val="0"/>
          <w:sz w:val="32"/>
          <w:szCs w:val="32"/>
          <w:lang w:val="en-US" w:eastAsia="zh-CN"/>
        </w:rPr>
        <w:t>3.12</w:t>
      </w:r>
      <w:r>
        <w:rPr>
          <w:rFonts w:hint="eastAsia" w:ascii="Times New Roman" w:hAnsi="Times New Roman" w:eastAsia="仿宋_GB2312"/>
          <w:b w:val="0"/>
          <w:bCs w:val="0"/>
          <w:sz w:val="32"/>
          <w:szCs w:val="32"/>
        </w:rPr>
        <w:t>万元，占基本支出的</w:t>
      </w:r>
      <w:r>
        <w:rPr>
          <w:rFonts w:hint="eastAsia" w:ascii="Times New Roman" w:hAnsi="Times New Roman" w:eastAsia="仿宋_GB2312"/>
          <w:b w:val="0"/>
          <w:bCs w:val="0"/>
          <w:sz w:val="32"/>
          <w:szCs w:val="32"/>
          <w:lang w:val="en-US" w:eastAsia="zh-CN"/>
        </w:rPr>
        <w:t>2.22</w:t>
      </w:r>
      <w:r>
        <w:rPr>
          <w:rFonts w:hint="eastAsia" w:ascii="Times New Roman" w:hAnsi="Times New Roman" w:eastAsia="仿宋_GB2312"/>
          <w:b w:val="0"/>
          <w:bCs w:val="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b w:val="0"/>
          <w:bCs w:val="0"/>
          <w:sz w:val="32"/>
          <w:szCs w:val="32"/>
          <w:highlight w:val="none"/>
        </w:rPr>
        <w:t>。</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2024年本部门项目预算总计68.83万元，其中业务工作经费68.83万元，均严格按照年初预算进行部门整体支出。</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2024年度本部门无</w:t>
      </w:r>
      <w:r>
        <w:rPr>
          <w:rFonts w:hint="default" w:ascii="Times New Roman" w:hAnsi="Times New Roman" w:eastAsia="仿宋_GB2312" w:cs="黑体"/>
          <w:b w:val="0"/>
          <w:bCs w:val="0"/>
          <w:color w:val="000000"/>
          <w:kern w:val="0"/>
          <w:sz w:val="32"/>
          <w:szCs w:val="32"/>
          <w:lang w:val="en-US" w:eastAsia="zh-CN" w:bidi="ar-SA"/>
        </w:rPr>
        <w:t>政府性基金预算</w:t>
      </w:r>
      <w:r>
        <w:rPr>
          <w:rFonts w:hint="eastAsia" w:ascii="Times New Roman" w:hAnsi="Times New Roman" w:eastAsia="仿宋_GB2312" w:cs="黑体"/>
          <w:b w:val="0"/>
          <w:bCs w:val="0"/>
          <w:color w:val="000000"/>
          <w:kern w:val="0"/>
          <w:sz w:val="32"/>
          <w:szCs w:val="32"/>
          <w:lang w:val="en-US" w:eastAsia="zh-CN" w:bidi="ar-SA"/>
        </w:rPr>
        <w:t>支出。</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b/>
          <w:bCs/>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2024年度本部门无</w:t>
      </w:r>
      <w:r>
        <w:rPr>
          <w:rFonts w:hint="default" w:ascii="Times New Roman" w:hAnsi="Times New Roman" w:eastAsia="仿宋_GB2312" w:cs="黑体"/>
          <w:b w:val="0"/>
          <w:bCs w:val="0"/>
          <w:color w:val="000000"/>
          <w:kern w:val="0"/>
          <w:sz w:val="32"/>
          <w:szCs w:val="32"/>
          <w:lang w:val="en-US" w:eastAsia="zh-CN" w:bidi="ar-SA"/>
        </w:rPr>
        <w:t>国有资本经营预算支出</w:t>
      </w:r>
      <w:r>
        <w:rPr>
          <w:rFonts w:hint="eastAsia" w:ascii="Times New Roman" w:hAnsi="Times New Roman" w:eastAsia="仿宋_GB2312" w:cs="黑体"/>
          <w:b w:val="0"/>
          <w:bCs w:val="0"/>
          <w:color w:val="000000"/>
          <w:kern w:val="0"/>
          <w:sz w:val="32"/>
          <w:szCs w:val="32"/>
          <w:lang w:val="en-US" w:eastAsia="zh-CN" w:bidi="ar-SA"/>
        </w:rPr>
        <w:t>。</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黑体"/>
          <w:b w:val="0"/>
          <w:bCs w:val="0"/>
          <w:color w:val="000000"/>
          <w:kern w:val="0"/>
          <w:sz w:val="32"/>
          <w:szCs w:val="32"/>
          <w:lang w:val="en-US" w:eastAsia="zh-CN" w:bidi="ar-SA"/>
        </w:rPr>
        <w:t>2024年度本部门无社会保险基金预算支出。</w:t>
      </w:r>
    </w:p>
    <w:p>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ind w:firstLine="551" w:firstLineChars="196"/>
        <w:rPr>
          <w:rFonts w:ascii="仿宋" w:hAnsi="仿宋" w:eastAsia="仿宋" w:cstheme="minorEastAsia"/>
          <w:b/>
          <w:bCs/>
          <w:kern w:val="0"/>
          <w:sz w:val="28"/>
          <w:szCs w:val="28"/>
        </w:rPr>
      </w:pPr>
      <w:r>
        <w:rPr>
          <w:rFonts w:hint="eastAsia" w:ascii="仿宋" w:hAnsi="仿宋" w:eastAsia="仿宋" w:cstheme="minorEastAsia"/>
          <w:b/>
          <w:bCs/>
          <w:kern w:val="0"/>
          <w:sz w:val="28"/>
          <w:szCs w:val="28"/>
        </w:rPr>
        <w:t>（一）严格落实财务管理制度，加强会计核算和会计监督。</w:t>
      </w:r>
      <w:r>
        <w:rPr>
          <w:rFonts w:hint="eastAsia" w:ascii="仿宋" w:hAnsi="仿宋" w:eastAsia="仿宋" w:cstheme="minorEastAsia"/>
          <w:kern w:val="0"/>
          <w:sz w:val="28"/>
          <w:szCs w:val="28"/>
        </w:rPr>
        <w:t>工作中，我们坚持做到以下几点：一是严格落实中央“八项规定”，强化会计监督职能，严肃财经纪律，严控一般性行政支出，协助会计集中核算单位管好用好财政资金。二是集中精力履行好会计核算职能，按照《政府会计制度》的要求，管好会计集中核算单位的会计账套，发挥好审核、核算、记账、分析的作用。</w:t>
      </w:r>
    </w:p>
    <w:p>
      <w:pPr>
        <w:ind w:firstLine="416" w:firstLineChars="148"/>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（二）优化国库集中支付业务流程，提升国库集中支付效率。</w:t>
      </w:r>
      <w:r>
        <w:rPr>
          <w:rFonts w:hint="eastAsia" w:ascii="仿宋" w:hAnsi="仿宋" w:eastAsia="仿宋" w:cstheme="minorEastAsia"/>
          <w:kern w:val="0"/>
          <w:sz w:val="28"/>
          <w:szCs w:val="28"/>
        </w:rPr>
        <w:t>一是实行了电子支付改革。改革后，预算单位的业务通过一体化系统办理，资料通过网络上传，真正做到“让数据多跑路”，减轻了预算单位财务人员的工作量，提高了工作效率。二是严格控制现金使用，按照国库集中支付改革的要求，严格执行现金管理规定，防范因大额使用现金造成的财务风险。三是实行数据自动对接。解决好银行、财政、预算单位之间的数据自动对接问题，使国库集中支付业务和会计集中核算业务办理更加顺畅。</w:t>
      </w:r>
      <w:r>
        <w:rPr>
          <w:rFonts w:hint="eastAsia" w:ascii="仿宋" w:hAnsi="仿宋" w:eastAsia="仿宋" w:cstheme="minorEastAsia"/>
          <w:kern w:val="0"/>
          <w:sz w:val="28"/>
          <w:szCs w:val="28"/>
          <w:lang w:eastAsia="zh-CN"/>
        </w:rPr>
        <w:t>四是</w:t>
      </w:r>
      <w:r>
        <w:rPr>
          <w:rFonts w:hint="eastAsia" w:ascii="仿宋" w:hAnsi="仿宋" w:eastAsia="仿宋" w:cstheme="minorEastAsia"/>
          <w:kern w:val="0"/>
          <w:sz w:val="28"/>
          <w:szCs w:val="28"/>
          <w:lang w:val="en-US" w:eastAsia="zh-CN"/>
        </w:rPr>
        <w:t>202</w:t>
      </w:r>
      <w:r>
        <w:rPr>
          <w:rFonts w:hint="eastAsia" w:eastAsia="仿宋" w:cstheme="minorEastAsia"/>
          <w:kern w:val="0"/>
          <w:sz w:val="28"/>
          <w:szCs w:val="28"/>
          <w:lang w:val="en-US" w:eastAsia="zh-CN"/>
        </w:rPr>
        <w:t>4</w:t>
      </w:r>
      <w:r>
        <w:rPr>
          <w:rFonts w:hint="eastAsia" w:ascii="仿宋" w:hAnsi="仿宋" w:eastAsia="仿宋" w:cstheme="minorEastAsia"/>
          <w:kern w:val="0"/>
          <w:sz w:val="28"/>
          <w:szCs w:val="28"/>
          <w:lang w:val="en-US" w:eastAsia="zh-CN"/>
        </w:rPr>
        <w:t>年度，我区国库集中支付业务</w:t>
      </w:r>
      <w:r>
        <w:rPr>
          <w:rFonts w:hint="eastAsia" w:eastAsia="仿宋" w:cstheme="minorEastAsia"/>
          <w:kern w:val="0"/>
          <w:sz w:val="28"/>
          <w:szCs w:val="28"/>
          <w:lang w:val="en-US" w:eastAsia="zh-CN"/>
        </w:rPr>
        <w:t>64973</w:t>
      </w:r>
      <w:r>
        <w:rPr>
          <w:rFonts w:hint="eastAsia" w:ascii="仿宋" w:hAnsi="仿宋" w:eastAsia="仿宋" w:cstheme="minorEastAsia"/>
          <w:kern w:val="0"/>
          <w:sz w:val="28"/>
          <w:szCs w:val="28"/>
          <w:lang w:val="en-US" w:eastAsia="zh-CN"/>
        </w:rPr>
        <w:t>笔，资金支出</w:t>
      </w:r>
      <w:r>
        <w:rPr>
          <w:rFonts w:hint="eastAsia" w:eastAsia="仿宋" w:cstheme="minorEastAsia"/>
          <w:kern w:val="0"/>
          <w:sz w:val="28"/>
          <w:szCs w:val="28"/>
          <w:lang w:val="en-US" w:eastAsia="zh-CN"/>
        </w:rPr>
        <w:t>35.89</w:t>
      </w:r>
      <w:r>
        <w:rPr>
          <w:rFonts w:hint="eastAsia" w:ascii="仿宋" w:hAnsi="仿宋" w:eastAsia="仿宋" w:cstheme="minorEastAsia"/>
          <w:kern w:val="0"/>
          <w:sz w:val="28"/>
          <w:szCs w:val="28"/>
          <w:lang w:val="en-US" w:eastAsia="zh-CN"/>
        </w:rPr>
        <w:t>亿元。逐渐提高财政资金的运行效率的使用效益，通过不断的摸索总结，带动财政、银行、预算单位支付行为的规范化、流程化、逐步提高财政资金的运行及使用效率。</w:t>
      </w:r>
    </w:p>
    <w:p>
      <w:pPr>
        <w:ind w:firstLine="562" w:firstLineChars="200"/>
        <w:rPr>
          <w:rFonts w:ascii="仿宋" w:hAnsi="仿宋" w:eastAsia="仿宋" w:cstheme="minorEastAsia"/>
          <w:kern w:val="0"/>
          <w:sz w:val="28"/>
          <w:szCs w:val="28"/>
        </w:rPr>
      </w:pPr>
      <w:r>
        <w:rPr>
          <w:rFonts w:hint="eastAsia" w:ascii="仿宋" w:hAnsi="仿宋" w:eastAsia="仿宋" w:cstheme="minorEastAsia"/>
          <w:b/>
          <w:bCs/>
          <w:kern w:val="0"/>
          <w:sz w:val="28"/>
          <w:szCs w:val="28"/>
        </w:rPr>
        <w:t>（三）完善学习培训机制，努力提高政治业务水平。</w:t>
      </w:r>
      <w:r>
        <w:rPr>
          <w:rFonts w:hint="eastAsia" w:ascii="仿宋" w:hAnsi="仿宋" w:eastAsia="仿宋" w:cstheme="minorEastAsia"/>
          <w:kern w:val="0"/>
          <w:sz w:val="28"/>
          <w:szCs w:val="28"/>
        </w:rPr>
        <w:t>一是加强政治理论学习，在局党组的精心组织下，支付核算中心认真学习党的二十大精神，严格按照学习要求记好笔记、写好心得体会。二是加强会计业务知识的学习与培训，特别是国库改革的新知识、新政策、新制度，着力提高业务素质，适应新形势下工作的需要。三是举办会计集中核算工作报账员培训班，解读了《关于加强区直有关预算单位财务集中核算的若干规定》，明确了报账员的工作职能职责和工作流程，进一步提升了报账员的业务水平和能力。</w:t>
      </w:r>
    </w:p>
    <w:p>
      <w:pPr>
        <w:ind w:firstLine="551" w:firstLineChars="196"/>
        <w:rPr>
          <w:rFonts w:hint="default" w:ascii="Times New Roman" w:hAnsi="Times New Roman" w:eastAsia="仿宋_GB2312" w:cs="Times New Roman"/>
          <w:color w:val="000000"/>
          <w:sz w:val="32"/>
          <w:szCs w:val="32"/>
          <w:highlight w:val="none"/>
        </w:rPr>
      </w:pPr>
      <w:r>
        <w:rPr>
          <w:rFonts w:hint="eastAsia" w:ascii="仿宋" w:hAnsi="仿宋" w:eastAsia="仿宋" w:cstheme="minorEastAsia"/>
          <w:b/>
          <w:bCs/>
          <w:kern w:val="0"/>
          <w:sz w:val="28"/>
          <w:szCs w:val="28"/>
        </w:rPr>
        <w:t>（四）加强作风纪律和廉政建设，提升队伍纪律作风水平。</w:t>
      </w:r>
      <w:r>
        <w:rPr>
          <w:rFonts w:hint="eastAsia" w:ascii="仿宋" w:hAnsi="仿宋" w:eastAsia="仿宋" w:cstheme="minorEastAsia"/>
          <w:kern w:val="0"/>
          <w:sz w:val="28"/>
          <w:szCs w:val="28"/>
        </w:rPr>
        <w:t>一是加强作风建设。规范日常管理，严格纪律作风考核，使支付核算工作忙而不乱，有条不紊，维护好窗口形象。二是加强廉政建设。认真执行廉政建设的有干规定，杜绝“吃、拿、卡、要”和报人情账、关系账现象。</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、存在的问题及原因分析</w:t>
      </w:r>
    </w:p>
    <w:p>
      <w:pPr>
        <w:numPr>
          <w:ilvl w:val="0"/>
          <w:numId w:val="0"/>
        </w:numPr>
        <w:ind w:firstLine="600"/>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1、思想认识还有待进一步统一和提高。区直一</w:t>
      </w:r>
      <w:r>
        <w:rPr>
          <w:rFonts w:hint="eastAsia" w:eastAsia="仿宋" w:cs="Courier New"/>
          <w:kern w:val="0"/>
          <w:sz w:val="30"/>
          <w:szCs w:val="30"/>
          <w:lang w:val="en-US" w:eastAsia="zh-CN" w:bidi="ar-SA"/>
        </w:rPr>
        <w:t>些</w:t>
      </w:r>
      <w:r>
        <w:rPr>
          <w:rFonts w:hint="eastAsia" w:ascii="仿宋" w:hAnsi="仿宋" w:eastAsia="仿宋" w:cs="Courier New"/>
          <w:kern w:val="0"/>
          <w:sz w:val="30"/>
          <w:szCs w:val="30"/>
          <w:lang w:val="en-US" w:eastAsia="zh-CN" w:bidi="ar-SA"/>
        </w:rPr>
        <w:t>单位和部门对国库集中支付改革的重要性认识不够，学习新制度、新工作还存在抵触情绪，严重影响了国库集中支付工作效率。</w:t>
      </w:r>
    </w:p>
    <w:p>
      <w:pPr>
        <w:numPr>
          <w:ilvl w:val="0"/>
          <w:numId w:val="0"/>
        </w:numPr>
        <w:ind w:firstLine="600"/>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2、软件还需进一步完善。在实际使用国库集中支付系统软件时，有些操作环节不稳定，造成支付过程长，手续复杂，影响了工作效率。</w:t>
      </w:r>
    </w:p>
    <w:p>
      <w:pPr>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Courier New"/>
          <w:kern w:val="0"/>
          <w:sz w:val="30"/>
          <w:szCs w:val="30"/>
          <w:lang w:val="en-US" w:eastAsia="zh-CN" w:bidi="ar-SA"/>
        </w:rPr>
      </w:pPr>
      <w:r>
        <w:rPr>
          <w:rFonts w:hint="eastAsia" w:ascii="仿宋" w:hAnsi="仿宋" w:eastAsia="仿宋" w:cs="Courier New"/>
          <w:kern w:val="0"/>
          <w:sz w:val="30"/>
          <w:szCs w:val="30"/>
          <w:lang w:val="en-US" w:eastAsia="zh-CN" w:bidi="ar-SA"/>
        </w:rPr>
        <w:t>3、人员素质有待于进一步提高。国库集中支付业务是一项新工作，但目前支付核算中心的人员工作经验少，业务素质有待于提高。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、下一步改进措施</w:t>
      </w:r>
    </w:p>
    <w:p>
      <w:pPr>
        <w:widowControl/>
        <w:shd w:val="clear" w:color="auto" w:fill="FFFFFF"/>
        <w:spacing w:line="375" w:lineRule="atLeast"/>
        <w:ind w:left="196" w:leftChars="70" w:firstLine="422" w:firstLineChars="150"/>
        <w:jc w:val="left"/>
        <w:rPr>
          <w:rFonts w:hint="eastAsia" w:ascii="仿宋" w:hAnsi="仿宋" w:eastAsia="仿宋" w:cstheme="minorEastAsia"/>
          <w:color w:val="000000"/>
          <w:kern w:val="0"/>
          <w:sz w:val="28"/>
          <w:szCs w:val="28"/>
          <w:lang w:eastAsia="zh-CN"/>
        </w:rPr>
      </w:pPr>
      <w:r>
        <w:rPr>
          <w:rFonts w:hint="eastAsia" w:ascii="仿宋" w:hAnsi="仿宋" w:eastAsia="仿宋" w:cstheme="minorEastAsia"/>
          <w:b/>
          <w:color w:val="000000"/>
          <w:kern w:val="0"/>
          <w:sz w:val="28"/>
          <w:szCs w:val="28"/>
        </w:rPr>
        <w:t>一是继续深化和完善国库集中支付制度改革。</w:t>
      </w:r>
      <w:r>
        <w:rPr>
          <w:rFonts w:hint="eastAsia" w:ascii="仿宋" w:hAnsi="仿宋" w:eastAsia="仿宋" w:cstheme="minorEastAsia"/>
          <w:color w:val="000000"/>
          <w:kern w:val="0"/>
          <w:sz w:val="28"/>
          <w:szCs w:val="28"/>
        </w:rPr>
        <w:t>进一步规范和简化业务流程，探索、完善相关制度和机制，加强财政资金安全管理。配合相关业务股室进一步加强对公务卡的推广应用和资金动态监控管理工作，学习各县市的先进做法，探索降低支付的日常工作业务量，减轻财务人员的工作强度。</w:t>
      </w:r>
    </w:p>
    <w:p>
      <w:pPr>
        <w:widowControl/>
        <w:shd w:val="clear" w:color="auto" w:fill="FFFFFF"/>
        <w:spacing w:line="375" w:lineRule="atLeast"/>
        <w:ind w:left="196" w:leftChars="70" w:firstLine="422" w:firstLineChars="150"/>
        <w:jc w:val="left"/>
        <w:rPr>
          <w:rFonts w:ascii="仿宋" w:hAnsi="仿宋" w:eastAsia="仿宋" w:cstheme="minorEastAsia"/>
          <w:sz w:val="28"/>
          <w:szCs w:val="28"/>
        </w:rPr>
      </w:pPr>
      <w:r>
        <w:rPr>
          <w:rFonts w:hint="eastAsia" w:ascii="仿宋" w:hAnsi="仿宋" w:eastAsia="仿宋" w:cstheme="minorEastAsia"/>
          <w:b/>
          <w:bCs/>
          <w:color w:val="000000"/>
          <w:kern w:val="0"/>
          <w:sz w:val="28"/>
          <w:szCs w:val="28"/>
        </w:rPr>
        <w:t xml:space="preserve">    二是及时与工程师联系，反馈相关问题并做好整改。</w:t>
      </w:r>
      <w:r>
        <w:rPr>
          <w:rFonts w:hint="eastAsia" w:ascii="仿宋" w:hAnsi="仿宋" w:eastAsia="仿宋" w:cstheme="minorEastAsia"/>
          <w:color w:val="000000"/>
          <w:kern w:val="0"/>
          <w:sz w:val="28"/>
          <w:szCs w:val="28"/>
        </w:rPr>
        <w:t>平时耐心细致的解答预算单位在大平台系统运行操作中碰到的问题，对突出的重点问题做好重点解决，及时加强相互之间的沟通，积极思考和学习大平台里碰到的问题解决办法，做好服务工作，不断提高管理和处理问题的水平，认真做好大平台运行维护工作。</w:t>
      </w:r>
    </w:p>
    <w:p>
      <w:pPr>
        <w:widowControl/>
        <w:shd w:val="clear" w:color="auto" w:fill="FFFFFF"/>
        <w:spacing w:line="375" w:lineRule="atLeast"/>
        <w:ind w:left="196" w:leftChars="70" w:firstLine="559" w:firstLineChars="199"/>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三是规范财政直接支付项目报批程序和扩大支付比例</w:t>
      </w:r>
      <w:r>
        <w:rPr>
          <w:rFonts w:hint="eastAsia" w:ascii="仿宋" w:hAnsi="仿宋" w:eastAsia="仿宋" w:cstheme="minorEastAsia"/>
          <w:color w:val="000000"/>
          <w:kern w:val="0"/>
          <w:sz w:val="28"/>
          <w:szCs w:val="28"/>
        </w:rPr>
        <w:t>。加强对基础建设项目和行政事业专项的直接支付监管。一是对不符合项目要求、未按规定报送直接支付书面材料的直接支付事项不予办理。二是严格审核单位用款计划，对用款计划中符合直接支付范畴的事项申请授权支付类型的指标予以退回。三是对按进度拨款的直接支付重点项目严格把关。</w:t>
      </w:r>
    </w:p>
    <w:p>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四是建立全面的对账制度</w:t>
      </w:r>
      <w:r>
        <w:rPr>
          <w:rFonts w:hint="eastAsia" w:ascii="仿宋" w:hAnsi="仿宋" w:eastAsia="仿宋" w:cstheme="minorEastAsia"/>
          <w:color w:val="000000"/>
          <w:kern w:val="0"/>
          <w:sz w:val="28"/>
          <w:szCs w:val="28"/>
        </w:rPr>
        <w:t>，在认真处理各项账务的基础上，加强对账工作，定期、及时地与人民银行、代理银行、预算单位核对账务，对预算执行、资金支付、资金清算、财政决算中的重大事项组织调查。</w:t>
      </w:r>
    </w:p>
    <w:p>
      <w:pPr>
        <w:widowControl/>
        <w:shd w:val="clear" w:color="auto" w:fill="FFFFFF"/>
        <w:spacing w:line="375" w:lineRule="atLeast"/>
        <w:ind w:left="196" w:leftChars="70" w:firstLine="422" w:firstLineChars="150"/>
        <w:jc w:val="left"/>
        <w:rPr>
          <w:rFonts w:ascii="仿宋" w:hAnsi="仿宋" w:eastAsia="仿宋" w:cstheme="minorEastAsia"/>
          <w:color w:val="000000"/>
          <w:kern w:val="0"/>
          <w:sz w:val="28"/>
          <w:szCs w:val="28"/>
        </w:rPr>
      </w:pPr>
      <w:r>
        <w:rPr>
          <w:rFonts w:hint="eastAsia" w:ascii="仿宋" w:hAnsi="仿宋" w:eastAsia="仿宋" w:cstheme="minorEastAsia"/>
          <w:b/>
          <w:bCs/>
          <w:color w:val="000000"/>
          <w:kern w:val="0"/>
          <w:sz w:val="28"/>
          <w:szCs w:val="28"/>
        </w:rPr>
        <w:t>五是提高预、决算分析水平，更好地为领导决策服务</w:t>
      </w:r>
      <w:r>
        <w:rPr>
          <w:rFonts w:hint="eastAsia" w:ascii="仿宋" w:hAnsi="仿宋" w:eastAsia="仿宋" w:cstheme="minorEastAsia"/>
          <w:color w:val="000000"/>
          <w:kern w:val="0"/>
          <w:sz w:val="28"/>
          <w:szCs w:val="28"/>
        </w:rPr>
        <w:t>。运用国库集中支付系统软件对财政数据进行分析，加强财政与经济联系的分析，全面剖析、把握资金的走向，关注资金的使用效率，全面定位财政工作，发现问题，查找原因，提出对策，为领导决策做好服务工作。</w:t>
      </w:r>
    </w:p>
    <w:p>
      <w:pPr>
        <w:ind w:firstLine="560"/>
        <w:rPr>
          <w:rFonts w:hint="eastAsia" w:ascii="仿宋" w:hAnsi="仿宋" w:eastAsia="仿宋" w:cstheme="minorEastAsia"/>
          <w:kern w:val="0"/>
          <w:sz w:val="28"/>
          <w:szCs w:val="28"/>
        </w:rPr>
      </w:pPr>
      <w:r>
        <w:rPr>
          <w:rFonts w:hint="eastAsia" w:ascii="仿宋" w:hAnsi="仿宋" w:eastAsia="仿宋" w:cstheme="minorEastAsia"/>
          <w:b/>
          <w:bCs/>
          <w:kern w:val="0"/>
          <w:sz w:val="28"/>
          <w:szCs w:val="28"/>
        </w:rPr>
        <w:t>六是做好集中核算单位的账务工作。</w:t>
      </w:r>
      <w:r>
        <w:rPr>
          <w:rFonts w:hint="eastAsia" w:ascii="仿宋" w:hAnsi="仿宋" w:eastAsia="仿宋" w:cstheme="minorEastAsia"/>
          <w:kern w:val="0"/>
          <w:sz w:val="28"/>
          <w:szCs w:val="28"/>
        </w:rPr>
        <w:t>在集中核算的账务处理中，密切留意有关费用等政策方面的动态，并及时做出相应的账务处理，使这些单位的账务处理更具规范化。</w:t>
      </w: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Ind w:w="0" w:type="dxa"/>
        <w:tblLayout w:type="fixed"/>
        <w:tblCellMar>
          <w:top w:w="0" w:type="dxa"/>
          <w:left w:w="108" w:type="dxa"/>
          <w:bottom w:w="0" w:type="dxa"/>
          <w:right w:w="108" w:type="dxa"/>
        </w:tblCellMar>
      </w:tblPr>
      <w:tblGrid>
        <w:gridCol w:w="745"/>
        <w:gridCol w:w="1174"/>
        <w:gridCol w:w="5000"/>
        <w:gridCol w:w="3022"/>
      </w:tblGrid>
      <w:tr>
        <w:tblPrEx>
          <w:tblLayout w:type="fixed"/>
        </w:tblPrEx>
        <w:trPr>
          <w:tblHeader/>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Layout w:type="fixed"/>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Layout w:type="fixed"/>
        </w:tblPrEx>
        <w:trPr>
          <w:jc w:val="center"/>
        </w:trPr>
        <w:tc>
          <w:tcPr>
            <w:tcW w:w="745" w:type="dxa"/>
            <w:vMerge w:val="continue"/>
            <w:tcBorders>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Layout w:type="fixed"/>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Layout w:type="fixed"/>
        </w:tblPrEx>
        <w:trPr>
          <w:jc w:val="center"/>
        </w:trPr>
        <w:tc>
          <w:tcPr>
            <w:tcW w:w="745" w:type="dxa"/>
            <w:vMerge w:val="continue"/>
            <w:tcBorders>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Layout w:type="fixed"/>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Layout w:type="fixed"/>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Layout w:type="fixed"/>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Layout w:type="fixed"/>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Layout w:type="fixed"/>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E7CBF"/>
    <w:multiLevelType w:val="singleLevel"/>
    <w:tmpl w:val="364E7CBF"/>
    <w:lvl w:ilvl="0" w:tentative="0">
      <w:start w:val="7"/>
      <w:numFmt w:val="decimal"/>
      <w:suff w:val="nothing"/>
      <w:lvlText w:val="%1、"/>
      <w:lvlJc w:val="left"/>
      <w:pPr>
        <w:ind w:left="560"/>
      </w:pPr>
    </w:lvl>
  </w:abstractNum>
  <w:abstractNum w:abstractNumId="1">
    <w:nsid w:val="377E4D8A"/>
    <w:multiLevelType w:val="singleLevel"/>
    <w:tmpl w:val="377E4D8A"/>
    <w:lvl w:ilvl="0" w:tentative="0">
      <w:start w:val="2"/>
      <w:numFmt w:val="chineseCounting"/>
      <w:suff w:val="nothing"/>
      <w:lvlText w:val="（%1）"/>
      <w:lvlJc w:val="left"/>
      <w:rPr>
        <w:rFonts w:hint="eastAsia"/>
      </w:rPr>
    </w:lvl>
  </w:abstractNum>
  <w:abstractNum w:abstractNumId="2">
    <w:nsid w:val="386E91CF"/>
    <w:multiLevelType w:val="singleLevel"/>
    <w:tmpl w:val="386E91CF"/>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42D31222"/>
    <w:rsid w:val="508E6EA1"/>
    <w:rsid w:val="56BB1F4B"/>
    <w:rsid w:val="59886344"/>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jscz025</cp:lastModifiedBy>
  <cp:lastPrinted>2025-04-30T00:50:37Z</cp:lastPrinted>
  <dcterms:modified xsi:type="dcterms:W3CDTF">2025-04-30T00:58:55Z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6182D3A10D564617983F46DEE354AEAF</vt:lpwstr>
  </property>
</Properties>
</file>