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object>
          <v:shape id="_x0000_i1025" o:spt="75" type="#_x0000_t75" style="height:631.5pt;width:446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AcroExch.Document.7" ShapeID="_x0000_i1025" DrawAspect="Content" ObjectID="_1468075725" r:id="rId5">
            <o:LockedField>false</o:LockedField>
          </o:OLEObject>
        </w:object>
      </w:r>
    </w:p>
    <w:p>
      <w:pPr>
        <w:spacing w:line="56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</w:t>
      </w:r>
      <w:r>
        <w:rPr>
          <w:rFonts w:hint="eastAsia" w:eastAsia="方正小标宋_GBK"/>
          <w:bCs/>
          <w:sz w:val="44"/>
          <w:szCs w:val="44"/>
        </w:rPr>
        <w:t>君山区工商业联合会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560" w:leftChars="200"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区工商联是区委、区政府联系非公有制经济人士的桥梁和纽带，是区政府管理非公有制经济的助手。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>加强和改进非</w:t>
      </w:r>
      <w:r>
        <w:rPr>
          <w:rFonts w:hint="eastAsia" w:eastAsia="仿宋_GB2312"/>
          <w:sz w:val="32"/>
          <w:szCs w:val="32"/>
        </w:rPr>
        <w:t>公</w:t>
      </w:r>
      <w:r>
        <w:rPr>
          <w:rFonts w:eastAsia="仿宋_GB2312"/>
          <w:sz w:val="32"/>
          <w:szCs w:val="32"/>
        </w:rPr>
        <w:t>有制经济人士思想政治工作；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</w:t>
      </w:r>
      <w:r>
        <w:rPr>
          <w:rFonts w:eastAsia="仿宋_GB2312"/>
          <w:sz w:val="32"/>
          <w:szCs w:val="32"/>
        </w:rPr>
        <w:t>参与政治协商，发挥民主监督作用，积极参政议政；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</w:t>
      </w:r>
      <w:r>
        <w:rPr>
          <w:rFonts w:eastAsia="仿宋_GB2312"/>
          <w:sz w:val="32"/>
          <w:szCs w:val="32"/>
        </w:rPr>
        <w:t>协助政府管理和服务非公有制经济；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促进行业协会商会改革发展；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</w:t>
      </w:r>
      <w:r>
        <w:rPr>
          <w:rFonts w:eastAsia="仿宋_GB2312"/>
          <w:sz w:val="32"/>
          <w:szCs w:val="32"/>
        </w:rPr>
        <w:t>反映非公有制企业和非公有制经济人士利益诉求，维护其合法权益；参与经济纠纷的调解、仲裁；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承办区委、区政府交办的其它事项。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（二）机构设置与人员情况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设</w:t>
      </w:r>
      <w:r>
        <w:rPr>
          <w:rFonts w:hint="eastAsia" w:eastAsia="仿宋_GB2312"/>
          <w:sz w:val="32"/>
          <w:szCs w:val="32"/>
        </w:rPr>
        <w:t>内设机构2个，为</w:t>
      </w:r>
      <w:r>
        <w:rPr>
          <w:rFonts w:eastAsia="仿宋_GB2312"/>
          <w:sz w:val="32"/>
          <w:szCs w:val="32"/>
        </w:rPr>
        <w:t>综合办公室</w:t>
      </w:r>
      <w:r>
        <w:rPr>
          <w:rFonts w:hint="eastAsia" w:eastAsia="仿宋_GB2312"/>
          <w:sz w:val="32"/>
          <w:szCs w:val="32"/>
        </w:rPr>
        <w:t>、民营企业服务中心</w:t>
      </w:r>
      <w:r>
        <w:rPr>
          <w:rFonts w:eastAsia="仿宋_GB2312"/>
          <w:sz w:val="32"/>
          <w:szCs w:val="32"/>
        </w:rPr>
        <w:t>，履行区工商联相关职责，承办各项具体工作。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（三）单位绩效目标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整体支出绩效目标：深化思想引领，画好民营经济领域“同心圆”；主动担当作为，当好政企沟通的“连心桥”；聚力精准服务，当好民营企业的“贴心人”;夯实组织建设，凝聚工商联“向心力”。</w:t>
      </w:r>
    </w:p>
    <w:p>
      <w:pPr>
        <w:pStyle w:val="6"/>
        <w:widowControl/>
        <w:spacing w:before="0" w:beforeAutospacing="0" w:after="0" w:afterAutospacing="0" w:line="560" w:lineRule="exact"/>
        <w:ind w:left="638" w:leftChars="228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项目支出绩效目标：加强组织建设、履行各项职能、拓展服务领域、提高服务能效，各项工作成果显著，为促进君山区民营经济高质量发展贡献了智慧和力量。             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                                                                 一</w:t>
      </w:r>
      <w:r>
        <w:rPr>
          <w:rFonts w:ascii="Times New Roman" w:hAnsi="Times New Roman" w:eastAsia="黑体"/>
          <w:sz w:val="32"/>
          <w:szCs w:val="32"/>
        </w:rPr>
        <w:t>般公共预算支出情况</w:t>
      </w:r>
    </w:p>
    <w:p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2024年本部门预算资金24万元（基本支出24万元，项目支出0万元），全年实际支出24万元，其中基本支出24万元，项目支出0万元，预算执行率100%。　　　　　　</w:t>
      </w:r>
    </w:p>
    <w:p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（一）基本支出情况</w:t>
      </w:r>
    </w:p>
    <w:p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单位2024年度全年预算24万元（工资福利支出0万元、商品和服务支出24万元、对个人和家庭的补助0万元、资本性支出0万元），其中一般公共预算财政拨款24万元；单位其他资金0万元。本单位2024年度基本支出0万元（工资福利支出0万元、商品和服务支出0万元、对个人和家庭的补助0万元、资本性支出0万元）），其中人员经费0万元，公用经费0万元。</w:t>
      </w:r>
    </w:p>
    <w:p>
      <w:pPr>
        <w:pStyle w:val="10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基本支出主要</w:t>
      </w:r>
      <w:r>
        <w:rPr>
          <w:rFonts w:hint="eastAsia" w:eastAsia="仿宋_GB2312" w:cs="仿宋_GB2312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>
      <w:pPr>
        <w:pStyle w:val="10"/>
        <w:widowControl/>
        <w:numPr>
          <w:ilvl w:val="0"/>
          <w:numId w:val="1"/>
        </w:numPr>
        <w:spacing w:line="560" w:lineRule="exact"/>
        <w:ind w:firstLine="64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项目支出情况</w:t>
      </w:r>
    </w:p>
    <w:p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本单位2024年度项目支出全年</w:t>
      </w:r>
      <w:r>
        <w:rPr>
          <w:rFonts w:hint="eastAsia" w:eastAsia="仿宋_GB2312" w:cs="仿宋_GB2312"/>
          <w:sz w:val="32"/>
          <w:szCs w:val="32"/>
        </w:rPr>
        <w:t>预算24万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元，</w:t>
      </w:r>
      <w:r>
        <w:rPr>
          <w:rFonts w:hint="eastAsia" w:eastAsia="仿宋_GB2312"/>
          <w:sz w:val="32"/>
          <w:szCs w:val="32"/>
        </w:rPr>
        <w:t>主要是部门为完成特定行政工作任务或事业发展目标而发生的支出，包括</w:t>
      </w:r>
      <w:r>
        <w:rPr>
          <w:rFonts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</w:rPr>
        <w:t>业务工作经费支出、运行维护经费</w:t>
      </w:r>
      <w:r>
        <w:rPr>
          <w:rFonts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，其中：业务工作经费支出24万元，主要用于企业党建，企业沙龙及其他日常工作经费等方面。</w:t>
      </w:r>
    </w:p>
    <w:p>
      <w:pPr>
        <w:pStyle w:val="10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2024年本单位无此项支出。</w:t>
      </w:r>
    </w:p>
    <w:p>
      <w:pPr>
        <w:pStyle w:val="10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2024年本单位无此项支出。</w:t>
      </w:r>
    </w:p>
    <w:p>
      <w:pPr>
        <w:pStyle w:val="10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10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2024年本单位无此项支出。</w:t>
      </w:r>
    </w:p>
    <w:p>
      <w:pPr>
        <w:pStyle w:val="10"/>
        <w:widowControl/>
        <w:spacing w:line="560" w:lineRule="exact"/>
        <w:ind w:left="560" w:leftChars="20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</w:t>
      </w:r>
      <w:r>
        <w:rPr>
          <w:rFonts w:ascii="Times New Roman" w:hAnsi="Times New Roman" w:eastAsia="黑体"/>
          <w:sz w:val="32"/>
          <w:szCs w:val="32"/>
        </w:rPr>
        <w:t>部门整体支出绩效情况</w:t>
      </w:r>
    </w:p>
    <w:p>
      <w:pPr>
        <w:pStyle w:val="10"/>
        <w:widowControl/>
        <w:spacing w:line="560" w:lineRule="exact"/>
        <w:ind w:firstLine="0" w:firstLineChars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　　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2024年，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本单位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资产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严格执行预算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开支上，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厉行节约，从严控制，2024年度一般公共预算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100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%。根据《部门整体支出绩效自评表》自评得分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98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分(详见附表2)，部门整体支出绩效为“优”</w:t>
      </w:r>
    </w:p>
    <w:p>
      <w:pPr>
        <w:widowControl/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预算财务管理方面</w:t>
      </w:r>
    </w:p>
    <w:p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1.严格执行预算管理制度，切实降低运行成本。2024年，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单位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</w:rPr>
        <w:t>严格预算管理，科学安排支出，实时把握支出进度，不断提高资金使用效益，将过“紧日子”贯穿全年，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预算执行率达到100%，切实降低运行成本，发挥了财政资金的最大效益。</w:t>
      </w:r>
    </w:p>
    <w:p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加强资产管理，确保资产保值增值。根据政府采购和资产管理要求，建立了资产实物管理台账，根据各股室的需求制订了采购计划，按国有资产配置、政府采购和有关规定按程序在电子卖场进行采购活动。2024年底，本单位固定资产原值0万元，净值0万元。</w:t>
      </w: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履职产出效益方面</w:t>
      </w:r>
    </w:p>
    <w:p>
      <w:pPr>
        <w:pStyle w:val="6"/>
        <w:widowControl/>
        <w:spacing w:beforeAutospacing="0" w:afterAutospacing="0" w:line="600" w:lineRule="exact"/>
        <w:ind w:left="851" w:leftChars="304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 w:val="32"/>
          <w:szCs w:val="32"/>
        </w:rPr>
        <w:t>（一）</w:t>
      </w:r>
      <w:r>
        <w:rPr>
          <w:rStyle w:val="9"/>
          <w:rFonts w:hint="eastAsia" w:ascii="楷体_GB2312" w:hAnsi="楷体_GB2312" w:eastAsia="楷体_GB2312" w:cs="楷体_GB2312"/>
          <w:sz w:val="32"/>
          <w:szCs w:val="32"/>
        </w:rPr>
        <w:t>聚焦政治引领，坚定发展信心。</w:t>
      </w:r>
    </w:p>
    <w:p>
      <w:pPr>
        <w:pStyle w:val="6"/>
        <w:widowControl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ascii="仿宋_GB2312" w:hAnsi="仿宋_GB2312" w:eastAsia="仿宋_GB2312" w:cs="仿宋_GB2312"/>
          <w:sz w:val="32"/>
          <w:szCs w:val="32"/>
        </w:rPr>
        <w:t>一是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强化理想信念教育。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把党对工商联的要求作为工作的第一使命，把思想政治工作摆在突出位置。通过召开执委会、座谈会、联席会、走访企业等多种形式，认真学习党的二十届三中全会精神、习近平总书记关于民营经济、工商联工作重要论述和中共中央国务院《关于加强新时代工商联工作的意见》；组织会员企业、商协会赴保靖桑植开展“百企联百村”结对帮扶暨民营经济人士理想信念教育，参加区委统战部组织的2024年党外代表人士暑期谈心谈话暨理论学习培训班活动，参观贺龙、任弼时、杨开慧纪念馆等红色教育基地，学习党的历史，聆听革命故事，缅怀革命先烈，引领广大企业家听党话、跟党走。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二是履行社会责任担当。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引导民营企业积极参与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“万企兴万村”行动，组织20余家民营企业对接帮扶村（社区），助力乡村振兴。积极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号召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全区民营企业、社会组织、寓外乡友闻“汛”而动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为防汛一线捐资捐物208万余元。积极组织各基层商会、执委企业带头募集教育基金，赞助2024岳阳马拉松暨全国半程马拉松锦标赛（第三站）、2024中国户外健身休闲大会暨岳阳市职工健康跑等重大活动，关心关爱老人、困难学生等弱势群体活动，开展慰问贫困户、孤寡老人、困难学生活动，充分彰显勇于担当、扶危济困的社会责任和奉献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是营造爱商重商氛围。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组织“聚首湘江城 共话君山情”君山区长沙乡友恳谈会，开展“君与君行 共赴未来”君山区“迎老乡 回故乡 建家乡”新春茶话会，举行君山区首个“岳阳企业家日”系列活动，推选4名民营企业家获评2024年度全市“优秀民营企业”和“优秀民营企业家”，17名民营企业家获评君山区首届“最美乡贤”和“杰出君商”，营造了全区重视民营经济、支持民营经济、尊重民营企业家的良好氛围。</w:t>
      </w:r>
    </w:p>
    <w:p>
      <w:pPr>
        <w:pStyle w:val="6"/>
        <w:widowControl/>
        <w:spacing w:beforeAutospacing="0" w:afterAutospacing="0" w:line="560" w:lineRule="exact"/>
        <w:ind w:left="851" w:leftChars="304"/>
        <w:jc w:val="both"/>
        <w:rPr>
          <w:rStyle w:val="9"/>
          <w:rFonts w:ascii="楷体_GB2312" w:hAnsi="楷体_GB2312" w:eastAsia="楷体_GB2312" w:cs="楷体_GB2312"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sz w:val="32"/>
          <w:szCs w:val="32"/>
        </w:rPr>
        <w:t>（二）聚焦服务大局，优化营商环境。</w:t>
      </w:r>
    </w:p>
    <w:p>
      <w:pPr>
        <w:pStyle w:val="6"/>
        <w:widowControl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一是办优企业家沙龙活动。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精心举办君山企业家沙龙活动，由区委书记、区长、区委副书记等主要领导亲自出席，倾听企业在生产经营过程中存在的困难与问题，并将收集到的企业问题清单现场交办给有关部门办理，由区委、区政府督查室监督部门限期办结，把为企业纾困解难落到实处。2024年，共举办企业家沙龙活动4期，收集困难与问题62个，协助解决用工、融资等问题48个。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二是常态化开展调研走访。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开展“两重两新送解优”“四进四送”等调研走访活动，宣传解读惠企政策，倾听企业诉求，收集解决企业生产经营中的实际困难和问题，全年共走访企业80余次，印发《君山区民营企业支持政策手册》（2024年）400余本，为企业解决困难问题50多个。以民营企业调查点工作为抓手，认真做好“民营经济运行状况分析”问卷调查工作。充分征求发改、税务、市场监管等9家部门意见，广泛收集资料并撰写《2023年君山区民营经济发展报告》，客观真实的向区委区政府、市工商联反映君山民营经济发展的特色、亮点和短板。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三是深化为企服务。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制定出台《君山区民营企业诉求受理及转办工作实施办法》，持续完善问题诉求转办、交办、督办、反馈机制，推动涉企问题高效闭环解决。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联合区检察院召开“法治护航•问需企业”调研座谈会，邀请涉案涉诉企业代表一同交流探讨，为进一步优化法治化营商环境出谋划策。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主动对接金融机构联合开展金融服务活动，向民营企业和基层商会推介金融产品，搭建融资平台，实现银企互动，增强银企互信。2024年，区民营企业通过金融风险补偿基金获得信贷7189.8万元。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四是助力招商引资。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与民营企业家联系多、贴得近的优势，赴广洲、深圳、长沙等多个城市考察乡友企业20余家，利用各种信息渠道、人脉资源千方百计挖掘招商线索。为长沙君山商会筹备处授予“君山区湘商回归和返乡创业联络服务站”工作牌。2024年成功引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椰子生物可食用香精项目和云河科技人工智能产业开发项目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，签约资金达3.4亿元，实现了当年签约当年投产。</w:t>
      </w:r>
    </w:p>
    <w:p>
      <w:pPr>
        <w:pStyle w:val="6"/>
        <w:widowControl/>
        <w:spacing w:beforeAutospacing="0" w:afterAutospacing="0" w:line="600" w:lineRule="exact"/>
        <w:ind w:left="851" w:leftChars="304"/>
        <w:rPr>
          <w:rStyle w:val="9"/>
          <w:rFonts w:ascii="楷体_GB2312" w:hAnsi="楷体_GB2312" w:eastAsia="楷体_GB2312" w:cs="楷体_GB2312"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sz w:val="32"/>
          <w:szCs w:val="32"/>
        </w:rPr>
        <w:t>（三）聚焦组织建设，夯实工作基础。</w:t>
      </w:r>
    </w:p>
    <w:p>
      <w:pPr>
        <w:pStyle w:val="6"/>
        <w:widowControl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一是加强商会建设。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全国工商联关于乡镇基层商会建设意见精神，积极推进乡镇商会建设。举办君山区招商引资推介暨直属商协会会长联席会，就商协会建设、企业合作、工作打算、存在困难和意见建议等问题展开讨论交流，共建“四好”商会，共谋君山发展。推选广兴镇商会获评2024年度全市“优秀商协会组织”。全年已实现乡镇商会全覆盖，新增行业协会1家，新增会员企业45家。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二是强化履职能力建设。</w:t>
      </w:r>
      <w:r>
        <w:rPr>
          <w:rStyle w:val="9"/>
          <w:rFonts w:hint="eastAsia" w:ascii="仿宋_GB2312" w:hAnsi="仿宋_GB2312" w:eastAsia="仿宋_GB2312" w:cs="仿宋_GB2312"/>
          <w:bCs/>
          <w:sz w:val="32"/>
          <w:szCs w:val="32"/>
        </w:rPr>
        <w:t>引导62名</w:t>
      </w:r>
      <w:r>
        <w:rPr>
          <w:rFonts w:hint="eastAsia" w:ascii="仿宋_GB2312" w:hAnsi="仿宋_GB2312" w:eastAsia="仿宋_GB2312" w:cs="仿宋_GB2312"/>
          <w:sz w:val="32"/>
          <w:szCs w:val="32"/>
        </w:rPr>
        <w:t>非公经济领域各级人大代表和政协委员为君山高质量发展建言献策16条，比如卞文清委员提出的《关于盘活君山产业园区企业闲置资产的建议》引起了领导和部门的高度重视。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三是深化作风建设。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区委巡察工商联为契机，狠抓工商联机关自身建设。严格落实全面从严治党要求，切实履行党风廉政建设主体责任。全面落实意识意识形态工作责任制，强化意识形态阵地管控。深化落实构建亲清政商关系要求，全面从严从细从实抓好机关作风建设，在社会各界与企业家中塑造了良好的外部形象。</w:t>
      </w:r>
    </w:p>
    <w:p>
      <w:pPr>
        <w:pStyle w:val="10"/>
        <w:widowControl/>
        <w:spacing w:line="56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　　</w:t>
      </w: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（一）预算精准性有待进一步提高</w:t>
      </w:r>
      <w:r>
        <w:rPr>
          <w:rFonts w:hint="eastAsia" w:ascii="Times New Roman" w:hAnsi="Times New Roman" w:eastAsia="楷体_GB2312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财务业务水平有待进一步提高。</w:t>
      </w:r>
      <w:r>
        <w:rPr>
          <w:rFonts w:hint="eastAsia" w:ascii="Times New Roman" w:hAnsi="Times New Roman" w:eastAsia="仿宋_GB2312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八、下一步改进措施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widowControl/>
        <w:numPr>
          <w:ilvl w:val="0"/>
          <w:numId w:val="3"/>
        </w:num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对部门整体支出绩效自评在规定时间内公开至本单位门户网站，确保公开数据真实、完整、准确。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十、</w:t>
      </w: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无。</w:t>
      </w:r>
      <w:r>
        <w:rPr>
          <w:rFonts w:hint="eastAsia" w:ascii="Times New Roman" w:hAnsi="Times New Roman" w:eastAsia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附件：1.2024年度部门整体支出绩效评价基础数据表 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2.2024年度部门整体支出绩效自评表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3.2024年度项目支出绩效自评表</w:t>
      </w:r>
    </w:p>
    <w:p>
      <w:pPr>
        <w:spacing w:line="360" w:lineRule="auto"/>
        <w:ind w:left="1596" w:leftChars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4.2024年度市直预算部门整体支出绩效自评报告 （统一参考格式）   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5.部门整体支出绩效自评工作考核评分表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2024年实际在职人数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2024年预算数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2024年决算数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（2024年完工项目）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　</w:t>
            </w:r>
          </w:p>
        </w:tc>
      </w:tr>
    </w:tbl>
    <w:p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填表人</w:t>
      </w:r>
      <w:r>
        <w:rPr>
          <w:rFonts w:hint="eastAsia" w:ascii="Times New Roman" w:hAnsi="Times New Roman" w:eastAsia="仿宋_GB2312"/>
          <w:sz w:val="22"/>
        </w:rPr>
        <w:t xml:space="preserve">：       </w:t>
      </w:r>
      <w:r>
        <w:rPr>
          <w:rFonts w:ascii="Times New Roman" w:hAnsi="Times New Roman" w:eastAsia="仿宋_GB2312"/>
          <w:sz w:val="22"/>
        </w:rPr>
        <w:t>填报日期：</w:t>
      </w:r>
      <w:r>
        <w:rPr>
          <w:rFonts w:hint="eastAsia" w:ascii="Times New Roman" w:hAnsi="Times New Roman" w:eastAsia="仿宋_GB2312"/>
          <w:sz w:val="22"/>
        </w:rPr>
        <w:t xml:space="preserve">       </w:t>
      </w:r>
      <w:r>
        <w:rPr>
          <w:rFonts w:ascii="Times New Roman" w:hAnsi="Times New Roman" w:eastAsia="仿宋_GB2312"/>
          <w:sz w:val="22"/>
        </w:rPr>
        <w:t xml:space="preserve"> 联系电话：</w:t>
      </w:r>
      <w:r>
        <w:rPr>
          <w:rFonts w:hint="eastAsia" w:ascii="Times New Roman" w:hAnsi="Times New Roman" w:eastAsia="仿宋_GB2312"/>
          <w:sz w:val="22"/>
        </w:rPr>
        <w:t xml:space="preserve">       </w:t>
      </w: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hint="eastAsia" w:ascii="Times New Roman" w:hAnsi="Times New Roman" w:eastAsia="仿宋_GB2312"/>
          <w:sz w:val="22"/>
        </w:rPr>
        <w:t xml:space="preserve"> </w:t>
      </w:r>
    </w:p>
    <w:p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2024年度部门整体支出绩效自评表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君山区工商业联合会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1、认真协调处理会员企业的投诉和纠纷，维护好非公企业及非公经济人士的合法权益。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2、加大与外地商会和社团组织的交流力度。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3、建立异地商会，召开区情推介会，组织友好商会企业界人士互访等。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4、积极参政议政，组织专题调研活动，并撰写相关专题调研报告。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5、引导督促会员中的人大代表政协委员积极参政议政。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6、加强和改进非公有制经济人士思想政治工作。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 引导民营企业积极参与“万企兴万村”行动，组织20余家民营企业对接帮扶村（社区），助力乡村振兴。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2. 2024年，共举办企业家沙龙活动4期，收集困难与问题62个，协助解决用工、融资等问题48个。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3. 深入开展“两重两新送解优”“四进四送”等调研走访活动，宣传解读惠企政策，倾听企业诉求，收集解决企业生产经营中的实际困难和问题，全年共走访企业80余次，印发《君山区民营企业支持政策手册》（2024年）400余本，为企业解决困难问题50多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全年共走访企业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≥60次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≥80次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举办企业家沙龙活动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≥4期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≥4期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收集企业困难与问题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≥50各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≥62个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万家民企评营商环境”问卷填写率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≥70%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≥70%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政策宣传及时率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民营经济发展水平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民营企业社会责任感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水电节约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减少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减少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受职能以外多重因素影响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企业环保意识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有效促进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党委、政府会员企业及民营经济代表人士满意度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>单位负责人签字：</w:t>
      </w:r>
      <w:r>
        <w:rPr>
          <w:rFonts w:ascii="Times New Roman" w:hAnsi="Times New Roman" w:eastAsia="仿宋_GB2312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7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金情况清单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</w:rPr>
                  <w:t>3</w:t>
                </w:r>
                <w:r>
                  <w:rPr>
                    <w:rFonts w:ascii="Times New Roman" w:hAnsi="Times New Roman"/>
                    <w:sz w:val="24"/>
                  </w:rPr>
                  <w:fldChar w:fldCharType="end"/>
                </w:r>
                <w:r>
                  <w:rPr>
                    <w:rFonts w:ascii="Times New Roman" w:hAnsi="Times New Roman"/>
                    <w:sz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hMjdlZjQ5YjRhZjNkYTU5MWJjNTdiM2YyYzk4OWIifQ=="/>
  </w:docVars>
  <w:rsids>
    <w:rsidRoot w:val="5CC73AEB"/>
    <w:rsid w:val="00413A1B"/>
    <w:rsid w:val="0066309C"/>
    <w:rsid w:val="007843BA"/>
    <w:rsid w:val="00C76826"/>
    <w:rsid w:val="00D64C96"/>
    <w:rsid w:val="04D06013"/>
    <w:rsid w:val="04D1736D"/>
    <w:rsid w:val="075449B1"/>
    <w:rsid w:val="07DC6755"/>
    <w:rsid w:val="08FD2E27"/>
    <w:rsid w:val="0A0A7F8B"/>
    <w:rsid w:val="0A371911"/>
    <w:rsid w:val="0BFE7CB0"/>
    <w:rsid w:val="0CEC52A6"/>
    <w:rsid w:val="10282537"/>
    <w:rsid w:val="156E60BC"/>
    <w:rsid w:val="15E11B06"/>
    <w:rsid w:val="16B23BE3"/>
    <w:rsid w:val="18DD19B3"/>
    <w:rsid w:val="1A4B69F3"/>
    <w:rsid w:val="1BC7354C"/>
    <w:rsid w:val="1D7D1305"/>
    <w:rsid w:val="20BE7648"/>
    <w:rsid w:val="20F65D78"/>
    <w:rsid w:val="217301A0"/>
    <w:rsid w:val="217F0425"/>
    <w:rsid w:val="219E23A2"/>
    <w:rsid w:val="22586564"/>
    <w:rsid w:val="24D55897"/>
    <w:rsid w:val="28CF48F2"/>
    <w:rsid w:val="28F85103"/>
    <w:rsid w:val="2A9768ED"/>
    <w:rsid w:val="2BCF262C"/>
    <w:rsid w:val="2C7273BA"/>
    <w:rsid w:val="2E921798"/>
    <w:rsid w:val="33E67E90"/>
    <w:rsid w:val="361F652E"/>
    <w:rsid w:val="38B7797A"/>
    <w:rsid w:val="3AE10137"/>
    <w:rsid w:val="3DD671C7"/>
    <w:rsid w:val="3E4B54BF"/>
    <w:rsid w:val="401E2B47"/>
    <w:rsid w:val="406A21FA"/>
    <w:rsid w:val="406A4374"/>
    <w:rsid w:val="40DB004A"/>
    <w:rsid w:val="44143CA0"/>
    <w:rsid w:val="48587156"/>
    <w:rsid w:val="4986331F"/>
    <w:rsid w:val="4D6C56FA"/>
    <w:rsid w:val="55642FF8"/>
    <w:rsid w:val="561F12B3"/>
    <w:rsid w:val="58570C3F"/>
    <w:rsid w:val="58CC01A0"/>
    <w:rsid w:val="5C20569F"/>
    <w:rsid w:val="5C82434A"/>
    <w:rsid w:val="5CC73AEB"/>
    <w:rsid w:val="5DA402F0"/>
    <w:rsid w:val="60C3659A"/>
    <w:rsid w:val="660C4E9E"/>
    <w:rsid w:val="66BC66AA"/>
    <w:rsid w:val="689A76AB"/>
    <w:rsid w:val="6A94006A"/>
    <w:rsid w:val="6C823EF2"/>
    <w:rsid w:val="6DC13431"/>
    <w:rsid w:val="71A91CD4"/>
    <w:rsid w:val="7590122F"/>
    <w:rsid w:val="78856ECF"/>
    <w:rsid w:val="7C83021D"/>
    <w:rsid w:val="7CB94E5D"/>
    <w:rsid w:val="7F604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8"/>
    <w:link w:val="5"/>
    <w:uiPriority w:val="0"/>
    <w:rPr>
      <w:rFonts w:ascii="仿宋" w:hAnsi="仿宋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6964</Words>
  <Characters>7242</Characters>
  <Lines>9</Lines>
  <Paragraphs>16</Paragraphs>
  <TotalTime>16</TotalTime>
  <ScaleCrop>false</ScaleCrop>
  <LinksUpToDate>false</LinksUpToDate>
  <CharactersWithSpaces>7558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2024-06-19T00:45:00Z</dcterms:created>
  <dc:creator>郑云峰</dc:creator>
  <cp:lastModifiedBy>Administrator</cp:lastModifiedBy>
  <dcterms:modified xsi:type="dcterms:W3CDTF">2025-05-21T02:30:24Z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63913141649F424A9A1255CAA3621275_13</vt:lpwstr>
  </property>
</Properties>
</file>