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CE5DD">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17011B1E">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3ABBC92E">
      <w:pPr>
        <w:keepNext w:val="0"/>
        <w:keepLines w:val="0"/>
        <w:pageBreakBefore w:val="0"/>
        <w:widowControl w:val="0"/>
        <w:kinsoku/>
        <w:wordWrap/>
        <w:overflowPunct/>
        <w:topLinePunct w:val="0"/>
        <w:autoSpaceDE/>
        <w:autoSpaceDN/>
        <w:bidi w:val="0"/>
        <w:adjustRightInd/>
        <w:snapToGrid/>
        <w:spacing w:afterLines="0" w:line="360" w:lineRule="auto"/>
        <w:ind w:firstLine="960" w:firstLineChars="3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28F690A9">
      <w:pPr>
        <w:keepNext w:val="0"/>
        <w:keepLines w:val="0"/>
        <w:pageBreakBefore w:val="0"/>
        <w:widowControl w:val="0"/>
        <w:kinsoku/>
        <w:wordWrap/>
        <w:overflowPunct/>
        <w:topLinePunct w:val="0"/>
        <w:autoSpaceDE/>
        <w:autoSpaceDN/>
        <w:bidi w:val="0"/>
        <w:adjustRightInd/>
        <w:snapToGrid/>
        <w:spacing w:afterLines="0" w:line="360" w:lineRule="auto"/>
        <w:ind w:firstLine="960" w:firstLineChars="3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722F75F3">
      <w:pPr>
        <w:keepNext w:val="0"/>
        <w:keepLines w:val="0"/>
        <w:pageBreakBefore w:val="0"/>
        <w:widowControl w:val="0"/>
        <w:kinsoku/>
        <w:wordWrap/>
        <w:overflowPunct/>
        <w:topLinePunct w:val="0"/>
        <w:autoSpaceDE/>
        <w:autoSpaceDN/>
        <w:bidi w:val="0"/>
        <w:adjustRightInd/>
        <w:snapToGrid/>
        <w:spacing w:afterLines="0" w:line="360" w:lineRule="auto"/>
        <w:ind w:firstLine="960" w:firstLineChars="3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直预算部门整体支出绩效自评报告（统一参考格式）   </w:t>
      </w:r>
    </w:p>
    <w:p w14:paraId="6C535B63">
      <w:pPr>
        <w:keepNext w:val="0"/>
        <w:keepLines w:val="0"/>
        <w:pageBreakBefore w:val="0"/>
        <w:widowControl w:val="0"/>
        <w:kinsoku/>
        <w:wordWrap/>
        <w:overflowPunct/>
        <w:topLinePunct w:val="0"/>
        <w:autoSpaceDE/>
        <w:autoSpaceDN/>
        <w:bidi w:val="0"/>
        <w:adjustRightInd/>
        <w:snapToGrid/>
        <w:spacing w:afterLines="0" w:line="360" w:lineRule="auto"/>
        <w:ind w:firstLine="960" w:firstLineChars="3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4520F579">
      <w:pPr>
        <w:spacing w:after="120" w:afterLines="50" w:line="600" w:lineRule="exact"/>
        <w:jc w:val="both"/>
        <w:rPr>
          <w:rFonts w:hint="eastAsia" w:ascii="黑体" w:hAnsi="黑体" w:eastAsia="黑体" w:cs="黑体"/>
          <w:sz w:val="32"/>
          <w:szCs w:val="32"/>
          <w:highlight w:val="none"/>
          <w:lang w:eastAsia="zh-CN"/>
        </w:rPr>
      </w:pPr>
    </w:p>
    <w:p w14:paraId="29C678B6">
      <w:pPr>
        <w:spacing w:after="120" w:afterLines="50" w:line="600" w:lineRule="exact"/>
        <w:jc w:val="both"/>
        <w:rPr>
          <w:rFonts w:hint="eastAsia" w:ascii="黑体" w:hAnsi="黑体" w:eastAsia="黑体" w:cs="黑体"/>
          <w:sz w:val="32"/>
          <w:szCs w:val="32"/>
          <w:highlight w:val="none"/>
          <w:lang w:eastAsia="zh-CN"/>
        </w:rPr>
      </w:pPr>
    </w:p>
    <w:p w14:paraId="4475CB37">
      <w:pPr>
        <w:spacing w:after="120" w:afterLines="50" w:line="600" w:lineRule="exact"/>
        <w:jc w:val="both"/>
        <w:rPr>
          <w:rFonts w:hint="eastAsia" w:ascii="黑体" w:hAnsi="黑体" w:eastAsia="黑体" w:cs="黑体"/>
          <w:sz w:val="32"/>
          <w:szCs w:val="32"/>
          <w:highlight w:val="none"/>
          <w:lang w:eastAsia="zh-CN"/>
        </w:rPr>
      </w:pPr>
    </w:p>
    <w:p w14:paraId="4D5FD287">
      <w:pPr>
        <w:spacing w:after="120" w:afterLines="50" w:line="600" w:lineRule="exact"/>
        <w:jc w:val="both"/>
        <w:rPr>
          <w:rFonts w:hint="eastAsia" w:ascii="黑体" w:hAnsi="黑体" w:eastAsia="黑体" w:cs="黑体"/>
          <w:sz w:val="32"/>
          <w:szCs w:val="32"/>
          <w:highlight w:val="none"/>
          <w:lang w:eastAsia="zh-CN"/>
        </w:rPr>
      </w:pPr>
    </w:p>
    <w:p w14:paraId="47844521">
      <w:pPr>
        <w:spacing w:after="120" w:afterLines="50" w:line="600" w:lineRule="exact"/>
        <w:jc w:val="both"/>
        <w:rPr>
          <w:rFonts w:hint="eastAsia" w:ascii="黑体" w:hAnsi="黑体" w:eastAsia="黑体" w:cs="黑体"/>
          <w:sz w:val="32"/>
          <w:szCs w:val="32"/>
          <w:highlight w:val="none"/>
          <w:lang w:eastAsia="zh-CN"/>
        </w:rPr>
      </w:pPr>
    </w:p>
    <w:p w14:paraId="013442DF">
      <w:pPr>
        <w:spacing w:after="120" w:afterLines="50" w:line="600" w:lineRule="exact"/>
        <w:jc w:val="both"/>
        <w:rPr>
          <w:rFonts w:hint="eastAsia" w:ascii="黑体" w:hAnsi="黑体" w:eastAsia="黑体" w:cs="黑体"/>
          <w:sz w:val="32"/>
          <w:szCs w:val="32"/>
          <w:highlight w:val="none"/>
          <w:lang w:eastAsia="zh-CN"/>
        </w:rPr>
      </w:pPr>
    </w:p>
    <w:p w14:paraId="46F2B050">
      <w:pPr>
        <w:spacing w:after="120" w:afterLines="50" w:line="600" w:lineRule="exact"/>
        <w:jc w:val="both"/>
        <w:rPr>
          <w:rFonts w:hint="eastAsia" w:ascii="黑体" w:hAnsi="黑体" w:eastAsia="黑体" w:cs="黑体"/>
          <w:sz w:val="32"/>
          <w:szCs w:val="32"/>
          <w:highlight w:val="none"/>
          <w:lang w:eastAsia="zh-CN"/>
        </w:rPr>
      </w:pPr>
    </w:p>
    <w:p w14:paraId="3EBA6516">
      <w:pPr>
        <w:spacing w:after="120" w:afterLines="50" w:line="600" w:lineRule="exact"/>
        <w:jc w:val="both"/>
        <w:rPr>
          <w:rFonts w:hint="eastAsia" w:ascii="黑体" w:hAnsi="黑体" w:eastAsia="黑体" w:cs="黑体"/>
          <w:sz w:val="32"/>
          <w:szCs w:val="32"/>
          <w:highlight w:val="none"/>
          <w:lang w:eastAsia="zh-CN"/>
        </w:rPr>
      </w:pPr>
    </w:p>
    <w:p w14:paraId="3EB18500">
      <w:pPr>
        <w:spacing w:after="120" w:afterLines="50" w:line="600" w:lineRule="exact"/>
        <w:jc w:val="both"/>
        <w:rPr>
          <w:rFonts w:hint="eastAsia" w:ascii="黑体" w:hAnsi="黑体" w:eastAsia="黑体" w:cs="黑体"/>
          <w:sz w:val="32"/>
          <w:szCs w:val="32"/>
          <w:highlight w:val="none"/>
          <w:lang w:eastAsia="zh-CN"/>
        </w:rPr>
      </w:pPr>
    </w:p>
    <w:p w14:paraId="6658C99E">
      <w:pPr>
        <w:spacing w:after="120" w:afterLines="50" w:line="600" w:lineRule="exact"/>
        <w:jc w:val="both"/>
        <w:rPr>
          <w:rFonts w:hint="eastAsia" w:ascii="黑体" w:hAnsi="黑体" w:eastAsia="黑体" w:cs="黑体"/>
          <w:sz w:val="32"/>
          <w:szCs w:val="32"/>
          <w:highlight w:val="none"/>
          <w:lang w:eastAsia="zh-CN"/>
        </w:rPr>
      </w:pPr>
    </w:p>
    <w:p w14:paraId="33A56E55">
      <w:pPr>
        <w:spacing w:after="120" w:afterLines="50" w:line="600" w:lineRule="exact"/>
        <w:jc w:val="both"/>
        <w:rPr>
          <w:rFonts w:hint="eastAsia" w:ascii="黑体" w:hAnsi="黑体" w:eastAsia="黑体" w:cs="黑体"/>
          <w:sz w:val="32"/>
          <w:szCs w:val="32"/>
          <w:highlight w:val="none"/>
          <w:lang w:eastAsia="zh-CN"/>
        </w:rPr>
      </w:pPr>
    </w:p>
    <w:p w14:paraId="065B14EA">
      <w:pPr>
        <w:spacing w:after="120" w:afterLines="50" w:line="600" w:lineRule="exact"/>
        <w:jc w:val="both"/>
        <w:rPr>
          <w:rFonts w:hint="eastAsia" w:ascii="黑体" w:hAnsi="黑体" w:eastAsia="黑体" w:cs="黑体"/>
          <w:sz w:val="32"/>
          <w:szCs w:val="32"/>
          <w:highlight w:val="none"/>
          <w:lang w:eastAsia="zh-CN"/>
        </w:rPr>
      </w:pPr>
    </w:p>
    <w:p w14:paraId="73FA9D2C">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9F6D3F8">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51F7A61">
        <w:tblPrEx>
          <w:tblCellMar>
            <w:top w:w="0" w:type="dxa"/>
            <w:left w:w="108" w:type="dxa"/>
            <w:bottom w:w="0" w:type="dxa"/>
            <w:right w:w="108" w:type="dxa"/>
          </w:tblCellMar>
        </w:tblPrEx>
        <w:trPr>
          <w:trHeight w:val="28"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046686C">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2CF8D51">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BFBD139">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AF77EC1">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908865D">
        <w:tblPrEx>
          <w:tblCellMar>
            <w:top w:w="0" w:type="dxa"/>
            <w:left w:w="108" w:type="dxa"/>
            <w:bottom w:w="0" w:type="dxa"/>
            <w:right w:w="108" w:type="dxa"/>
          </w:tblCellMar>
        </w:tblPrEx>
        <w:trPr>
          <w:trHeight w:val="28"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97A02D0">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4600904">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01152709">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2BBDF0C7">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91.67%</w:t>
            </w:r>
            <w:r>
              <w:rPr>
                <w:rFonts w:hint="eastAsia" w:ascii="仿宋_GB2312" w:hAnsi="仿宋_GB2312" w:eastAsia="仿宋_GB2312" w:cs="仿宋_GB2312"/>
                <w:sz w:val="20"/>
                <w:szCs w:val="20"/>
                <w:highlight w:val="none"/>
              </w:rPr>
              <w:t>　</w:t>
            </w:r>
          </w:p>
        </w:tc>
      </w:tr>
      <w:tr w14:paraId="0C1225ED">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D2FE5E">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8218D1F">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E396C02">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A596120">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3F35FE9B">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C8470C">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E2F9249">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AB11BF8">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0.1</w:t>
            </w:r>
          </w:p>
        </w:tc>
        <w:tc>
          <w:tcPr>
            <w:tcW w:w="2041" w:type="dxa"/>
            <w:gridSpan w:val="2"/>
            <w:tcBorders>
              <w:top w:val="single" w:color="auto" w:sz="4" w:space="0"/>
              <w:left w:val="nil"/>
              <w:bottom w:val="single" w:color="auto" w:sz="4" w:space="0"/>
              <w:right w:val="single" w:color="000000" w:sz="4" w:space="0"/>
            </w:tcBorders>
            <w:noWrap w:val="0"/>
            <w:vAlign w:val="center"/>
          </w:tcPr>
          <w:p w14:paraId="2C4A6270">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0.1</w:t>
            </w:r>
          </w:p>
        </w:tc>
      </w:tr>
      <w:tr w14:paraId="4E142B8D">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8A65B2">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A7536D5">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1F41619A">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82939C8">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　</w:t>
            </w:r>
          </w:p>
        </w:tc>
      </w:tr>
      <w:tr w14:paraId="4497C5D7">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CE65A5">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11C1C1A">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FD3C4C4">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2E304FA8">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　</w:t>
            </w:r>
          </w:p>
        </w:tc>
      </w:tr>
      <w:tr w14:paraId="2B13A3FD">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672B9B">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6BD5F4D">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6BC9567B">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7527973F">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　</w:t>
            </w:r>
          </w:p>
        </w:tc>
      </w:tr>
      <w:tr w14:paraId="15B265D8">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F15A89">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86C6AF9">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D349ADD">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ED598D2">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0　</w:t>
            </w:r>
          </w:p>
        </w:tc>
      </w:tr>
      <w:tr w14:paraId="03494B0E">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ED90A1">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0D7B624">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u w:val="none"/>
                <w:lang w:val="en-US" w:eastAsia="zh-CN"/>
              </w:rPr>
              <w:t>0.23</w:t>
            </w:r>
            <w:r>
              <w:rPr>
                <w:rFonts w:hint="eastAsia" w:ascii="仿宋_GB2312" w:hAnsi="仿宋_GB2312" w:eastAsia="仿宋_GB2312" w:cs="仿宋_GB2312"/>
                <w:color w:val="auto"/>
                <w:sz w:val="20"/>
                <w:szCs w:val="20"/>
                <w:highlight w:val="none"/>
                <w:u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B0EDE6C">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u w:val="none"/>
                <w:lang w:val="en-US" w:eastAsia="zh-CN"/>
              </w:rPr>
              <w:t>0.1</w:t>
            </w:r>
          </w:p>
        </w:tc>
        <w:tc>
          <w:tcPr>
            <w:tcW w:w="2041" w:type="dxa"/>
            <w:gridSpan w:val="2"/>
            <w:tcBorders>
              <w:top w:val="single" w:color="auto" w:sz="4" w:space="0"/>
              <w:left w:val="nil"/>
              <w:bottom w:val="single" w:color="auto" w:sz="4" w:space="0"/>
              <w:right w:val="single" w:color="000000" w:sz="4" w:space="0"/>
            </w:tcBorders>
            <w:noWrap w:val="0"/>
            <w:vAlign w:val="center"/>
          </w:tcPr>
          <w:p w14:paraId="4BDE0353">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kern w:val="0"/>
                <w:sz w:val="20"/>
                <w:szCs w:val="20"/>
                <w:highlight w:val="none"/>
                <w:u w:val="none"/>
                <w:lang w:val="en-US" w:eastAsia="zh-CN" w:bidi="ar-SA"/>
              </w:rPr>
            </w:pPr>
            <w:r>
              <w:rPr>
                <w:rFonts w:hint="eastAsia" w:ascii="仿宋_GB2312" w:hAnsi="仿宋_GB2312" w:eastAsia="仿宋_GB2312" w:cs="仿宋_GB2312"/>
                <w:color w:val="auto"/>
                <w:sz w:val="20"/>
                <w:szCs w:val="20"/>
                <w:highlight w:val="none"/>
                <w:u w:val="none"/>
                <w:lang w:val="en-US" w:eastAsia="zh-CN"/>
              </w:rPr>
              <w:t>0.1</w:t>
            </w:r>
            <w:r>
              <w:rPr>
                <w:rFonts w:hint="eastAsia" w:ascii="仿宋_GB2312" w:hAnsi="仿宋_GB2312" w:eastAsia="仿宋_GB2312" w:cs="仿宋_GB2312"/>
                <w:color w:val="auto"/>
                <w:sz w:val="20"/>
                <w:szCs w:val="20"/>
                <w:highlight w:val="none"/>
                <w:u w:val="none"/>
              </w:rPr>
              <w:t>　</w:t>
            </w:r>
          </w:p>
        </w:tc>
      </w:tr>
      <w:tr w14:paraId="7CCB5012">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FFF8D7">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D4B893C">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u w:val="none"/>
                <w:lang w:val="en-US" w:eastAsia="zh-CN"/>
              </w:rPr>
              <w:t>60.89</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5304C6FC">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u w:val="none"/>
                <w:lang w:val="en-US" w:eastAsia="zh-CN"/>
              </w:rPr>
              <w:t>48.82</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072ABF1D">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color w:val="auto"/>
                <w:kern w:val="0"/>
                <w:sz w:val="20"/>
                <w:szCs w:val="20"/>
                <w:highlight w:val="none"/>
                <w:u w:val="none"/>
                <w:lang w:val="en-US" w:eastAsia="zh-CN" w:bidi="ar-SA"/>
              </w:rPr>
            </w:pPr>
            <w:r>
              <w:rPr>
                <w:rFonts w:hint="eastAsia" w:ascii="仿宋_GB2312" w:hAnsi="仿宋_GB2312" w:eastAsia="仿宋_GB2312" w:cs="仿宋_GB2312"/>
                <w:color w:val="auto"/>
                <w:sz w:val="20"/>
                <w:szCs w:val="20"/>
                <w:highlight w:val="none"/>
                <w:u w:val="none"/>
                <w:lang w:val="en-US" w:eastAsia="zh-CN"/>
              </w:rPr>
              <w:t>48.82</w:t>
            </w:r>
          </w:p>
        </w:tc>
      </w:tr>
      <w:tr w14:paraId="6A74EBF8">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F21A24">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4C901A">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lang w:val="en-US" w:eastAsia="zh-CN"/>
              </w:rPr>
              <w:t>60.89</w:t>
            </w:r>
          </w:p>
        </w:tc>
        <w:tc>
          <w:tcPr>
            <w:tcW w:w="2240" w:type="dxa"/>
            <w:gridSpan w:val="2"/>
            <w:tcBorders>
              <w:top w:val="single" w:color="auto" w:sz="4" w:space="0"/>
              <w:left w:val="nil"/>
              <w:bottom w:val="single" w:color="auto" w:sz="4" w:space="0"/>
              <w:right w:val="single" w:color="000000" w:sz="4" w:space="0"/>
            </w:tcBorders>
            <w:noWrap w:val="0"/>
            <w:vAlign w:val="center"/>
          </w:tcPr>
          <w:p w14:paraId="2497DE92">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color w:val="auto"/>
                <w:sz w:val="20"/>
                <w:szCs w:val="20"/>
                <w:highlight w:val="none"/>
                <w:u w:val="none"/>
                <w:lang w:val="en-US" w:eastAsia="zh-CN"/>
              </w:rPr>
              <w:t>48.82</w:t>
            </w:r>
          </w:p>
        </w:tc>
        <w:tc>
          <w:tcPr>
            <w:tcW w:w="2041" w:type="dxa"/>
            <w:gridSpan w:val="2"/>
            <w:tcBorders>
              <w:top w:val="single" w:color="auto" w:sz="4" w:space="0"/>
              <w:left w:val="nil"/>
              <w:bottom w:val="single" w:color="auto" w:sz="4" w:space="0"/>
              <w:right w:val="single" w:color="000000" w:sz="4" w:space="0"/>
            </w:tcBorders>
            <w:noWrap w:val="0"/>
            <w:vAlign w:val="center"/>
          </w:tcPr>
          <w:p w14:paraId="6FADB817">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color w:val="auto"/>
                <w:sz w:val="20"/>
                <w:szCs w:val="20"/>
                <w:highlight w:val="none"/>
                <w:u w:val="none"/>
                <w:lang w:val="en-US"/>
              </w:rPr>
            </w:pPr>
            <w:r>
              <w:rPr>
                <w:rFonts w:hint="eastAsia" w:ascii="仿宋_GB2312" w:hAnsi="仿宋_GB2312" w:eastAsia="仿宋_GB2312" w:cs="仿宋_GB2312"/>
                <w:color w:val="auto"/>
                <w:sz w:val="20"/>
                <w:szCs w:val="20"/>
                <w:highlight w:val="none"/>
                <w:u w:val="none"/>
                <w:lang w:val="en-US" w:eastAsia="zh-CN"/>
              </w:rPr>
              <w:t>48.82</w:t>
            </w:r>
          </w:p>
        </w:tc>
      </w:tr>
      <w:tr w14:paraId="02C37271">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9B06F9">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E9DD428">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19BC76E">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92572DB">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r>
              <w:rPr>
                <w:rFonts w:hint="eastAsia" w:ascii="仿宋_GB2312" w:hAnsi="仿宋_GB2312" w:eastAsia="仿宋_GB2312" w:cs="仿宋_GB2312"/>
                <w:color w:val="auto"/>
                <w:sz w:val="20"/>
                <w:szCs w:val="20"/>
                <w:highlight w:val="none"/>
                <w:u w:val="none"/>
              </w:rPr>
              <w:t>　</w:t>
            </w:r>
          </w:p>
        </w:tc>
      </w:tr>
      <w:tr w14:paraId="00F68052">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B3A131">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9CA76BA">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76C17EA">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A9A899">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p>
        </w:tc>
      </w:tr>
      <w:tr w14:paraId="0C0A9E62">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5E1F75">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2A239D2">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9465EE9">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C289EE5">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r>
              <w:rPr>
                <w:rFonts w:hint="eastAsia" w:ascii="仿宋_GB2312" w:hAnsi="仿宋_GB2312" w:eastAsia="仿宋_GB2312" w:cs="仿宋_GB2312"/>
                <w:color w:val="auto"/>
                <w:sz w:val="20"/>
                <w:szCs w:val="20"/>
                <w:highlight w:val="none"/>
                <w:u w:val="none"/>
              </w:rPr>
              <w:t>　</w:t>
            </w:r>
          </w:p>
        </w:tc>
      </w:tr>
      <w:tr w14:paraId="70E5FEB5">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AEFC63">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4BEA944C">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1E15F5">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31F2B41">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auto"/>
                <w:sz w:val="20"/>
                <w:szCs w:val="20"/>
                <w:highlight w:val="none"/>
                <w:u w:val="none"/>
              </w:rPr>
            </w:pPr>
          </w:p>
        </w:tc>
      </w:tr>
      <w:tr w14:paraId="4FEC8792">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5296C9">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9D93319">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u w:val="none"/>
                <w:lang w:val="en-US" w:eastAsia="zh-CN"/>
              </w:rPr>
              <w:t>55.51</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99B252E">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color w:val="auto"/>
                <w:kern w:val="0"/>
                <w:sz w:val="20"/>
                <w:szCs w:val="20"/>
                <w:highlight w:val="none"/>
                <w:u w:val="none"/>
                <w:lang w:val="en-US" w:eastAsia="zh-CN" w:bidi="ar-SA"/>
              </w:rPr>
            </w:pPr>
            <w:r>
              <w:rPr>
                <w:rFonts w:hint="eastAsia" w:ascii="仿宋_GB2312" w:hAnsi="仿宋_GB2312" w:eastAsia="仿宋_GB2312" w:cs="仿宋_GB2312"/>
                <w:color w:val="auto"/>
                <w:sz w:val="20"/>
                <w:szCs w:val="20"/>
                <w:highlight w:val="none"/>
                <w:u w:val="none"/>
                <w:lang w:val="en-US" w:eastAsia="zh-CN"/>
              </w:rPr>
              <w:t>58.23</w:t>
            </w:r>
          </w:p>
        </w:tc>
        <w:tc>
          <w:tcPr>
            <w:tcW w:w="2041" w:type="dxa"/>
            <w:gridSpan w:val="2"/>
            <w:tcBorders>
              <w:top w:val="single" w:color="auto" w:sz="4" w:space="0"/>
              <w:left w:val="nil"/>
              <w:bottom w:val="single" w:color="auto" w:sz="4" w:space="0"/>
              <w:right w:val="single" w:color="000000" w:sz="4" w:space="0"/>
            </w:tcBorders>
            <w:noWrap w:val="0"/>
            <w:vAlign w:val="center"/>
          </w:tcPr>
          <w:p w14:paraId="5A811C8B">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color w:val="auto"/>
                <w:sz w:val="20"/>
                <w:szCs w:val="20"/>
                <w:highlight w:val="none"/>
                <w:u w:val="none"/>
                <w:lang w:val="en-US" w:eastAsia="zh-CN"/>
              </w:rPr>
            </w:pPr>
            <w:r>
              <w:rPr>
                <w:rFonts w:hint="eastAsia" w:ascii="仿宋_GB2312" w:hAnsi="仿宋_GB2312" w:eastAsia="仿宋_GB2312" w:cs="仿宋_GB2312"/>
                <w:color w:val="auto"/>
                <w:sz w:val="20"/>
                <w:szCs w:val="20"/>
                <w:highlight w:val="none"/>
                <w:u w:val="none"/>
                <w:lang w:val="en-US" w:eastAsia="zh-CN"/>
              </w:rPr>
              <w:t>58.23</w:t>
            </w:r>
          </w:p>
        </w:tc>
      </w:tr>
      <w:tr w14:paraId="4F5404F4">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C72078">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F07FF9">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8.37</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1C284A9A">
            <w:pPr>
              <w:keepNext w:val="0"/>
              <w:keepLines w:val="0"/>
              <w:widowControl/>
              <w:suppressLineNumbers w:val="0"/>
              <w:spacing w:before="0" w:beforeAutospacing="0" w:after="0" w:afterAutospacing="0" w:line="360" w:lineRule="exact"/>
              <w:ind w:left="0" w:leftChars="0" w:right="0" w:rightChars="0"/>
              <w:jc w:val="center"/>
              <w:rPr>
                <w:rFonts w:hint="default" w:ascii="仿宋_GB2312" w:hAnsi="仿宋_GB2312" w:eastAsia="仿宋_GB2312" w:cs="仿宋_GB2312"/>
                <w:b w:val="0"/>
                <w:bCs w:val="0"/>
                <w:color w:val="auto"/>
                <w:kern w:val="0"/>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7.99</w:t>
            </w:r>
          </w:p>
        </w:tc>
        <w:tc>
          <w:tcPr>
            <w:tcW w:w="2041" w:type="dxa"/>
            <w:gridSpan w:val="2"/>
            <w:tcBorders>
              <w:top w:val="single" w:color="auto" w:sz="4" w:space="0"/>
              <w:left w:val="nil"/>
              <w:bottom w:val="single" w:color="auto" w:sz="4" w:space="0"/>
              <w:right w:val="single" w:color="000000" w:sz="4" w:space="0"/>
            </w:tcBorders>
            <w:noWrap w:val="0"/>
            <w:vAlign w:val="center"/>
          </w:tcPr>
          <w:p w14:paraId="1537B67B">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7.99</w:t>
            </w:r>
          </w:p>
        </w:tc>
      </w:tr>
      <w:tr w14:paraId="0E771B9C">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B65364">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2DEB696">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1.33</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7E4FED0">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val="0"/>
                <w:bCs w:val="0"/>
                <w:color w:val="auto"/>
                <w:kern w:val="0"/>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7F82057B">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1</w:t>
            </w:r>
          </w:p>
        </w:tc>
      </w:tr>
      <w:tr w14:paraId="29A237CC">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4A92BF">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07A98EF">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2.4</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249B5441">
            <w:pPr>
              <w:keepNext w:val="0"/>
              <w:keepLines w:val="0"/>
              <w:widowControl/>
              <w:suppressLineNumbers w:val="0"/>
              <w:spacing w:before="0" w:beforeAutospacing="0" w:after="0" w:afterAutospacing="0" w:line="360" w:lineRule="exact"/>
              <w:ind w:left="0" w:leftChars="0" w:right="0" w:rightChars="0"/>
              <w:jc w:val="center"/>
              <w:rPr>
                <w:rFonts w:hint="eastAsia" w:ascii="仿宋_GB2312" w:hAnsi="仿宋_GB2312" w:eastAsia="仿宋_GB2312" w:cs="仿宋_GB2312"/>
                <w:b w:val="0"/>
                <w:bCs w:val="0"/>
                <w:color w:val="auto"/>
                <w:kern w:val="0"/>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1.88</w:t>
            </w:r>
          </w:p>
        </w:tc>
        <w:tc>
          <w:tcPr>
            <w:tcW w:w="2041" w:type="dxa"/>
            <w:gridSpan w:val="2"/>
            <w:tcBorders>
              <w:top w:val="single" w:color="auto" w:sz="4" w:space="0"/>
              <w:left w:val="nil"/>
              <w:bottom w:val="single" w:color="auto" w:sz="4" w:space="0"/>
              <w:right w:val="single" w:color="000000" w:sz="4" w:space="0"/>
            </w:tcBorders>
            <w:noWrap w:val="0"/>
            <w:vAlign w:val="center"/>
          </w:tcPr>
          <w:p w14:paraId="407269F2">
            <w:pPr>
              <w:keepNext w:val="0"/>
              <w:keepLines w:val="0"/>
              <w:widowControl/>
              <w:suppressLineNumbers w:val="0"/>
              <w:spacing w:before="0" w:beforeAutospacing="0" w:after="0" w:afterAutospacing="0" w:line="360" w:lineRule="exact"/>
              <w:ind w:left="0" w:right="0"/>
              <w:jc w:val="center"/>
              <w:rPr>
                <w:rFonts w:hint="default" w:ascii="仿宋_GB2312" w:hAnsi="仿宋_GB2312" w:eastAsia="仿宋_GB2312" w:cs="仿宋_GB2312"/>
                <w:b w:val="0"/>
                <w:bCs w:val="0"/>
                <w:color w:val="auto"/>
                <w:sz w:val="20"/>
                <w:szCs w:val="20"/>
                <w:highlight w:val="none"/>
                <w:lang w:val="en-US"/>
              </w:rPr>
            </w:pPr>
            <w:r>
              <w:rPr>
                <w:rFonts w:hint="eastAsia" w:ascii="仿宋_GB2312" w:hAnsi="仿宋_GB2312" w:eastAsia="仿宋_GB2312" w:cs="仿宋_GB2312"/>
                <w:b w:val="0"/>
                <w:bCs w:val="0"/>
                <w:color w:val="auto"/>
                <w:sz w:val="20"/>
                <w:szCs w:val="20"/>
                <w:highlight w:val="none"/>
                <w:lang w:val="en-US" w:eastAsia="zh-CN"/>
              </w:rPr>
              <w:t>1.88</w:t>
            </w:r>
          </w:p>
        </w:tc>
      </w:tr>
      <w:tr w14:paraId="0C106E6D">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5B7CDD">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ECA429A">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4C4CBD5">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2DA66FB">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BA0E35A">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C9F3FB">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C84F53B">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330B520">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863A35F">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9E75EDE">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6CC7BE6">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355432B8">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F9CB850">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566EA167">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34F93873">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D441DC4">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1976D24">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07188013">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75A61BD">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0E38D3B5">
        <w:tblPrEx>
          <w:tblCellMar>
            <w:top w:w="0" w:type="dxa"/>
            <w:left w:w="108" w:type="dxa"/>
            <w:bottom w:w="0" w:type="dxa"/>
            <w:right w:w="108" w:type="dxa"/>
          </w:tblCellMar>
        </w:tblPrEx>
        <w:trPr>
          <w:trHeight w:val="9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85F78E3">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118DF59F">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无</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2CCAC4B3">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4A584728">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lang w:val="en-US" w:eastAsia="zh-CN"/>
              </w:rPr>
            </w:pPr>
          </w:p>
        </w:tc>
        <w:tc>
          <w:tcPr>
            <w:tcW w:w="1111" w:type="dxa"/>
            <w:tcBorders>
              <w:top w:val="nil"/>
              <w:left w:val="nil"/>
              <w:bottom w:val="single" w:color="auto" w:sz="4" w:space="0"/>
              <w:right w:val="single" w:color="auto" w:sz="4" w:space="0"/>
            </w:tcBorders>
            <w:noWrap w:val="0"/>
            <w:vAlign w:val="center"/>
          </w:tcPr>
          <w:p w14:paraId="39D7A28F">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7062B31C">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1A60587F">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11CAE50">
        <w:tblPrEx>
          <w:tblCellMar>
            <w:top w:w="0" w:type="dxa"/>
            <w:left w:w="108" w:type="dxa"/>
            <w:bottom w:w="0" w:type="dxa"/>
            <w:right w:w="108" w:type="dxa"/>
          </w:tblCellMar>
        </w:tblPrEx>
        <w:trPr>
          <w:trHeight w:val="2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A6B40D">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4F0F9AA">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加强思想教育和组织领导，确保全体员工充分认识到厉行节约的重要性；2.严格控制“三公”经费，加强公务接待管理，严禁超标准、同城接待；3.优化压缩项目支出，包括会议费、差旅费、劳务费以及宣传费等。大力推行无纸化办公、双面打印等。</w:t>
            </w:r>
            <w:r>
              <w:rPr>
                <w:rFonts w:hint="eastAsia" w:ascii="仿宋_GB2312" w:hAnsi="仿宋_GB2312" w:eastAsia="仿宋_GB2312" w:cs="仿宋_GB2312"/>
                <w:sz w:val="20"/>
                <w:szCs w:val="20"/>
                <w:highlight w:val="none"/>
              </w:rPr>
              <w:t>　</w:t>
            </w:r>
          </w:p>
        </w:tc>
      </w:tr>
    </w:tbl>
    <w:p w14:paraId="37D70DA2">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6472A68">
      <w:pPr>
        <w:widowControl/>
        <w:spacing w:afterLines="0" w:line="400" w:lineRule="exact"/>
        <w:jc w:val="left"/>
        <w:rPr>
          <w:rFonts w:hint="default" w:ascii="Times New Roman" w:hAnsi="Times New Roman" w:eastAsia="仿宋_GB2312" w:cs="Times New Roman"/>
          <w:sz w:val="22"/>
          <w:highlight w:val="none"/>
        </w:rPr>
      </w:pPr>
    </w:p>
    <w:p w14:paraId="617D4820">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41EF4DC">
      <w:pPr>
        <w:keepNext w:val="0"/>
        <w:keepLines w:val="0"/>
        <w:pageBreakBefore w:val="0"/>
        <w:widowControl/>
        <w:kinsoku/>
        <w:wordWrap/>
        <w:overflowPunct/>
        <w:topLinePunct w:val="0"/>
        <w:autoSpaceDE/>
        <w:autoSpaceDN/>
        <w:bidi w:val="0"/>
        <w:adjustRightInd/>
        <w:snapToGrid/>
        <w:spacing w:after="120" w:afterLines="50" w:line="4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507" w:type="dxa"/>
        <w:jc w:val="center"/>
        <w:tblLayout w:type="autofit"/>
        <w:tblCellMar>
          <w:top w:w="0" w:type="dxa"/>
          <w:left w:w="108" w:type="dxa"/>
          <w:bottom w:w="0" w:type="dxa"/>
          <w:right w:w="108" w:type="dxa"/>
        </w:tblCellMar>
      </w:tblPr>
      <w:tblGrid>
        <w:gridCol w:w="1020"/>
        <w:gridCol w:w="1116"/>
        <w:gridCol w:w="994"/>
        <w:gridCol w:w="1834"/>
        <w:gridCol w:w="1225"/>
        <w:gridCol w:w="1267"/>
        <w:gridCol w:w="715"/>
        <w:gridCol w:w="895"/>
        <w:gridCol w:w="1441"/>
      </w:tblGrid>
      <w:tr w14:paraId="1114AB89">
        <w:tblPrEx>
          <w:tblCellMar>
            <w:top w:w="0" w:type="dxa"/>
            <w:left w:w="108" w:type="dxa"/>
            <w:bottom w:w="0" w:type="dxa"/>
            <w:right w:w="108" w:type="dxa"/>
          </w:tblCellMar>
        </w:tblPrEx>
        <w:trPr>
          <w:trHeight w:val="283"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413A0BF1">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487" w:type="dxa"/>
            <w:gridSpan w:val="8"/>
            <w:tcBorders>
              <w:top w:val="single" w:color="auto" w:sz="4" w:space="0"/>
              <w:left w:val="nil"/>
              <w:bottom w:val="single" w:color="auto" w:sz="4" w:space="0"/>
              <w:right w:val="single" w:color="auto" w:sz="4" w:space="0"/>
            </w:tcBorders>
            <w:noWrap w:val="0"/>
            <w:vAlign w:val="center"/>
          </w:tcPr>
          <w:p w14:paraId="37FB2866">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中共岳阳市君山区委巡察工作领导小组办公室　</w:t>
            </w:r>
          </w:p>
        </w:tc>
      </w:tr>
      <w:tr w14:paraId="1DDF22E0">
        <w:tblPrEx>
          <w:tblCellMar>
            <w:top w:w="0" w:type="dxa"/>
            <w:left w:w="108" w:type="dxa"/>
            <w:bottom w:w="0" w:type="dxa"/>
            <w:right w:w="108" w:type="dxa"/>
          </w:tblCellMar>
        </w:tblPrEx>
        <w:trPr>
          <w:trHeight w:val="283" w:hRule="atLeast"/>
          <w:jc w:val="center"/>
        </w:trPr>
        <w:tc>
          <w:tcPr>
            <w:tcW w:w="1020" w:type="dxa"/>
            <w:vMerge w:val="restart"/>
            <w:tcBorders>
              <w:top w:val="nil"/>
              <w:left w:val="single" w:color="auto" w:sz="4" w:space="0"/>
              <w:right w:val="single" w:color="auto" w:sz="4" w:space="0"/>
            </w:tcBorders>
            <w:noWrap w:val="0"/>
            <w:vAlign w:val="center"/>
          </w:tcPr>
          <w:p w14:paraId="15C56EA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C3AFA7D">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51D00BE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0" w:type="dxa"/>
            <w:gridSpan w:val="2"/>
            <w:tcBorders>
              <w:top w:val="nil"/>
              <w:left w:val="nil"/>
              <w:bottom w:val="single" w:color="auto" w:sz="4" w:space="0"/>
              <w:right w:val="single" w:color="auto" w:sz="4" w:space="0"/>
            </w:tcBorders>
            <w:noWrap w:val="0"/>
            <w:vAlign w:val="center"/>
          </w:tcPr>
          <w:p w14:paraId="61FBCAA4">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p>
        </w:tc>
        <w:tc>
          <w:tcPr>
            <w:tcW w:w="1834" w:type="dxa"/>
            <w:tcBorders>
              <w:top w:val="nil"/>
              <w:left w:val="nil"/>
              <w:bottom w:val="single" w:color="auto" w:sz="4" w:space="0"/>
              <w:right w:val="single" w:color="auto" w:sz="4" w:space="0"/>
            </w:tcBorders>
            <w:noWrap w:val="0"/>
            <w:vAlign w:val="center"/>
          </w:tcPr>
          <w:p w14:paraId="53209B5C">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25" w:type="dxa"/>
            <w:tcBorders>
              <w:top w:val="nil"/>
              <w:left w:val="nil"/>
              <w:bottom w:val="single" w:color="auto" w:sz="4" w:space="0"/>
              <w:right w:val="single" w:color="auto" w:sz="4" w:space="0"/>
            </w:tcBorders>
            <w:noWrap w:val="0"/>
            <w:vAlign w:val="center"/>
          </w:tcPr>
          <w:p w14:paraId="1CA1D69E">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7" w:type="dxa"/>
            <w:tcBorders>
              <w:top w:val="nil"/>
              <w:left w:val="nil"/>
              <w:bottom w:val="single" w:color="auto" w:sz="4" w:space="0"/>
              <w:right w:val="single" w:color="auto" w:sz="4" w:space="0"/>
            </w:tcBorders>
            <w:noWrap w:val="0"/>
            <w:vAlign w:val="center"/>
          </w:tcPr>
          <w:p w14:paraId="09C0B9A2">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5" w:type="dxa"/>
            <w:tcBorders>
              <w:top w:val="nil"/>
              <w:left w:val="nil"/>
              <w:bottom w:val="single" w:color="auto" w:sz="4" w:space="0"/>
              <w:right w:val="single" w:color="auto" w:sz="4" w:space="0"/>
            </w:tcBorders>
            <w:noWrap w:val="0"/>
            <w:vAlign w:val="center"/>
          </w:tcPr>
          <w:p w14:paraId="25695181">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95" w:type="dxa"/>
            <w:tcBorders>
              <w:top w:val="nil"/>
              <w:left w:val="nil"/>
              <w:bottom w:val="single" w:color="auto" w:sz="4" w:space="0"/>
              <w:right w:val="single" w:color="auto" w:sz="4" w:space="0"/>
            </w:tcBorders>
            <w:noWrap w:val="0"/>
            <w:vAlign w:val="center"/>
          </w:tcPr>
          <w:p w14:paraId="2FB89A32">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1" w:type="dxa"/>
            <w:tcBorders>
              <w:top w:val="nil"/>
              <w:left w:val="nil"/>
              <w:bottom w:val="single" w:color="auto" w:sz="4" w:space="0"/>
              <w:right w:val="single" w:color="auto" w:sz="4" w:space="0"/>
            </w:tcBorders>
            <w:noWrap w:val="0"/>
            <w:vAlign w:val="center"/>
          </w:tcPr>
          <w:p w14:paraId="20529607">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C41C77A">
        <w:tblPrEx>
          <w:tblCellMar>
            <w:top w:w="0" w:type="dxa"/>
            <w:left w:w="108" w:type="dxa"/>
            <w:bottom w:w="0" w:type="dxa"/>
            <w:right w:w="108" w:type="dxa"/>
          </w:tblCellMar>
        </w:tblPrEx>
        <w:trPr>
          <w:trHeight w:val="283" w:hRule="atLeast"/>
          <w:jc w:val="center"/>
        </w:trPr>
        <w:tc>
          <w:tcPr>
            <w:tcW w:w="1020" w:type="dxa"/>
            <w:vMerge w:val="continue"/>
            <w:tcBorders>
              <w:top w:val="nil"/>
              <w:left w:val="single" w:color="auto" w:sz="4" w:space="0"/>
              <w:right w:val="single" w:color="auto" w:sz="4" w:space="0"/>
            </w:tcBorders>
            <w:noWrap w:val="0"/>
            <w:vAlign w:val="center"/>
          </w:tcPr>
          <w:p w14:paraId="40973A03">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2110" w:type="dxa"/>
            <w:gridSpan w:val="2"/>
            <w:tcBorders>
              <w:top w:val="nil"/>
              <w:left w:val="nil"/>
              <w:bottom w:val="single" w:color="auto" w:sz="4" w:space="0"/>
              <w:right w:val="single" w:color="auto" w:sz="4" w:space="0"/>
            </w:tcBorders>
            <w:noWrap w:val="0"/>
            <w:vAlign w:val="center"/>
          </w:tcPr>
          <w:p w14:paraId="406BF055">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834" w:type="dxa"/>
            <w:tcBorders>
              <w:top w:val="nil"/>
              <w:left w:val="nil"/>
              <w:bottom w:val="single" w:color="auto" w:sz="4" w:space="0"/>
              <w:right w:val="single" w:color="auto" w:sz="4" w:space="0"/>
            </w:tcBorders>
            <w:noWrap w:val="0"/>
            <w:vAlign w:val="center"/>
          </w:tcPr>
          <w:p w14:paraId="4E996A32">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249.66</w:t>
            </w:r>
          </w:p>
        </w:tc>
        <w:tc>
          <w:tcPr>
            <w:tcW w:w="1225" w:type="dxa"/>
            <w:tcBorders>
              <w:top w:val="nil"/>
              <w:left w:val="nil"/>
              <w:bottom w:val="single" w:color="auto" w:sz="4" w:space="0"/>
              <w:right w:val="single" w:color="auto" w:sz="4" w:space="0"/>
            </w:tcBorders>
            <w:noWrap w:val="0"/>
            <w:vAlign w:val="center"/>
          </w:tcPr>
          <w:p w14:paraId="72CEEF0E">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269.2</w:t>
            </w:r>
          </w:p>
        </w:tc>
        <w:tc>
          <w:tcPr>
            <w:tcW w:w="1267" w:type="dxa"/>
            <w:tcBorders>
              <w:top w:val="nil"/>
              <w:left w:val="nil"/>
              <w:bottom w:val="single" w:color="auto" w:sz="4" w:space="0"/>
              <w:right w:val="single" w:color="auto" w:sz="4" w:space="0"/>
            </w:tcBorders>
            <w:noWrap w:val="0"/>
            <w:vAlign w:val="center"/>
          </w:tcPr>
          <w:p w14:paraId="42C1C40D">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262.09</w:t>
            </w:r>
          </w:p>
        </w:tc>
        <w:tc>
          <w:tcPr>
            <w:tcW w:w="715" w:type="dxa"/>
            <w:tcBorders>
              <w:top w:val="nil"/>
              <w:left w:val="nil"/>
              <w:bottom w:val="single" w:color="auto" w:sz="4" w:space="0"/>
              <w:right w:val="single" w:color="auto" w:sz="4" w:space="0"/>
            </w:tcBorders>
            <w:noWrap w:val="0"/>
            <w:vAlign w:val="center"/>
          </w:tcPr>
          <w:p w14:paraId="3AFDC63E">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95" w:type="dxa"/>
            <w:tcBorders>
              <w:top w:val="nil"/>
              <w:left w:val="nil"/>
              <w:bottom w:val="single" w:color="auto" w:sz="4" w:space="0"/>
              <w:right w:val="single" w:color="auto" w:sz="4" w:space="0"/>
            </w:tcBorders>
            <w:noWrap w:val="0"/>
            <w:vAlign w:val="center"/>
          </w:tcPr>
          <w:p w14:paraId="2141BE4A">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97.36%</w:t>
            </w:r>
          </w:p>
        </w:tc>
        <w:tc>
          <w:tcPr>
            <w:tcW w:w="1441" w:type="dxa"/>
            <w:tcBorders>
              <w:top w:val="nil"/>
              <w:left w:val="nil"/>
              <w:bottom w:val="single" w:color="auto" w:sz="4" w:space="0"/>
              <w:right w:val="single" w:color="auto" w:sz="4" w:space="0"/>
            </w:tcBorders>
            <w:noWrap w:val="0"/>
            <w:vAlign w:val="center"/>
          </w:tcPr>
          <w:p w14:paraId="6DD95BFB">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9.74</w:t>
            </w:r>
          </w:p>
        </w:tc>
      </w:tr>
      <w:tr w14:paraId="7C965C5C">
        <w:tblPrEx>
          <w:tblCellMar>
            <w:top w:w="0" w:type="dxa"/>
            <w:left w:w="108" w:type="dxa"/>
            <w:bottom w:w="0" w:type="dxa"/>
            <w:right w:w="108" w:type="dxa"/>
          </w:tblCellMar>
        </w:tblPrEx>
        <w:trPr>
          <w:trHeight w:val="283" w:hRule="atLeast"/>
          <w:jc w:val="center"/>
        </w:trPr>
        <w:tc>
          <w:tcPr>
            <w:tcW w:w="1020" w:type="dxa"/>
            <w:vMerge w:val="continue"/>
            <w:tcBorders>
              <w:left w:val="single" w:color="auto" w:sz="4" w:space="0"/>
              <w:right w:val="single" w:color="auto" w:sz="4" w:space="0"/>
            </w:tcBorders>
            <w:noWrap w:val="0"/>
            <w:vAlign w:val="center"/>
          </w:tcPr>
          <w:p w14:paraId="068D672D">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5169" w:type="dxa"/>
            <w:gridSpan w:val="4"/>
            <w:tcBorders>
              <w:top w:val="nil"/>
              <w:left w:val="nil"/>
              <w:bottom w:val="single" w:color="auto" w:sz="4" w:space="0"/>
              <w:right w:val="single" w:color="auto" w:sz="4" w:space="0"/>
            </w:tcBorders>
            <w:noWrap w:val="0"/>
            <w:vAlign w:val="center"/>
          </w:tcPr>
          <w:p w14:paraId="3E8F76AE">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18" w:type="dxa"/>
            <w:gridSpan w:val="4"/>
            <w:tcBorders>
              <w:top w:val="nil"/>
              <w:left w:val="nil"/>
              <w:bottom w:val="single" w:color="auto" w:sz="4" w:space="0"/>
              <w:right w:val="single" w:color="auto" w:sz="4" w:space="0"/>
            </w:tcBorders>
            <w:noWrap w:val="0"/>
            <w:vAlign w:val="center"/>
          </w:tcPr>
          <w:p w14:paraId="5E1BA6F5">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按支出性质分：</w:t>
            </w:r>
          </w:p>
        </w:tc>
      </w:tr>
      <w:tr w14:paraId="320B77E6">
        <w:tblPrEx>
          <w:tblCellMar>
            <w:top w:w="0" w:type="dxa"/>
            <w:left w:w="108" w:type="dxa"/>
            <w:bottom w:w="0" w:type="dxa"/>
            <w:right w:w="108" w:type="dxa"/>
          </w:tblCellMar>
        </w:tblPrEx>
        <w:trPr>
          <w:trHeight w:val="283" w:hRule="atLeast"/>
          <w:jc w:val="center"/>
        </w:trPr>
        <w:tc>
          <w:tcPr>
            <w:tcW w:w="1020" w:type="dxa"/>
            <w:vMerge w:val="continue"/>
            <w:tcBorders>
              <w:left w:val="single" w:color="auto" w:sz="4" w:space="0"/>
              <w:right w:val="single" w:color="auto" w:sz="4" w:space="0"/>
            </w:tcBorders>
            <w:noWrap w:val="0"/>
            <w:vAlign w:val="center"/>
          </w:tcPr>
          <w:p w14:paraId="09959CEF">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5169" w:type="dxa"/>
            <w:gridSpan w:val="4"/>
            <w:tcBorders>
              <w:top w:val="nil"/>
              <w:left w:val="nil"/>
              <w:bottom w:val="single" w:color="auto" w:sz="4" w:space="0"/>
              <w:right w:val="single" w:color="auto" w:sz="4" w:space="0"/>
            </w:tcBorders>
            <w:noWrap w:val="0"/>
            <w:vAlign w:val="center"/>
          </w:tcPr>
          <w:p w14:paraId="6700997C">
            <w:pPr>
              <w:keepNext w:val="0"/>
              <w:keepLines w:val="0"/>
              <w:widowControl/>
              <w:suppressLineNumbers w:val="0"/>
              <w:spacing w:before="0" w:beforeAutospacing="0" w:after="0" w:afterAutospacing="0" w:line="240" w:lineRule="exact"/>
              <w:ind w:left="0" w:right="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253.68</w:t>
            </w:r>
          </w:p>
        </w:tc>
        <w:tc>
          <w:tcPr>
            <w:tcW w:w="4318" w:type="dxa"/>
            <w:gridSpan w:val="4"/>
            <w:tcBorders>
              <w:top w:val="nil"/>
              <w:left w:val="nil"/>
              <w:bottom w:val="single" w:color="auto" w:sz="4" w:space="0"/>
              <w:right w:val="single" w:color="auto" w:sz="4" w:space="0"/>
            </w:tcBorders>
            <w:noWrap w:val="0"/>
            <w:vAlign w:val="center"/>
          </w:tcPr>
          <w:p w14:paraId="6B8F63F7">
            <w:pPr>
              <w:keepNext w:val="0"/>
              <w:keepLines w:val="0"/>
              <w:widowControl/>
              <w:suppressLineNumbers w:val="0"/>
              <w:spacing w:before="0" w:beforeAutospacing="0" w:after="0" w:afterAutospacing="0" w:line="240" w:lineRule="exact"/>
              <w:ind w:left="0" w:right="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其中：基本支出：</w:t>
            </w:r>
            <w:r>
              <w:rPr>
                <w:rFonts w:hint="eastAsia" w:ascii="仿宋_GB2312" w:hAnsi="仿宋_GB2312" w:eastAsia="仿宋_GB2312" w:cs="仿宋_GB2312"/>
                <w:color w:val="auto"/>
                <w:sz w:val="20"/>
                <w:szCs w:val="20"/>
                <w:highlight w:val="none"/>
                <w:lang w:val="en-US" w:eastAsia="zh-CN"/>
              </w:rPr>
              <w:t>213.27</w:t>
            </w:r>
          </w:p>
        </w:tc>
      </w:tr>
      <w:tr w14:paraId="61BF4EB5">
        <w:tblPrEx>
          <w:tblCellMar>
            <w:top w:w="0" w:type="dxa"/>
            <w:left w:w="108" w:type="dxa"/>
            <w:bottom w:w="0" w:type="dxa"/>
            <w:right w:w="108" w:type="dxa"/>
          </w:tblCellMar>
        </w:tblPrEx>
        <w:trPr>
          <w:trHeight w:val="283" w:hRule="atLeast"/>
          <w:jc w:val="center"/>
        </w:trPr>
        <w:tc>
          <w:tcPr>
            <w:tcW w:w="1020" w:type="dxa"/>
            <w:vMerge w:val="continue"/>
            <w:tcBorders>
              <w:left w:val="single" w:color="auto" w:sz="4" w:space="0"/>
              <w:right w:val="single" w:color="auto" w:sz="4" w:space="0"/>
            </w:tcBorders>
            <w:noWrap w:val="0"/>
            <w:vAlign w:val="center"/>
          </w:tcPr>
          <w:p w14:paraId="00D4EA27">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5169" w:type="dxa"/>
            <w:gridSpan w:val="4"/>
            <w:tcBorders>
              <w:top w:val="nil"/>
              <w:left w:val="nil"/>
              <w:bottom w:val="single" w:color="auto" w:sz="4" w:space="0"/>
              <w:right w:val="single" w:color="auto" w:sz="4" w:space="0"/>
            </w:tcBorders>
            <w:noWrap w:val="0"/>
            <w:vAlign w:val="center"/>
          </w:tcPr>
          <w:p w14:paraId="56144CF7">
            <w:pPr>
              <w:keepNext w:val="0"/>
              <w:keepLines w:val="0"/>
              <w:widowControl/>
              <w:suppressLineNumbers w:val="0"/>
              <w:spacing w:before="0" w:beforeAutospacing="0" w:after="0" w:afterAutospacing="0" w:line="240" w:lineRule="exact"/>
              <w:ind w:left="0" w:right="0"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18" w:type="dxa"/>
            <w:gridSpan w:val="4"/>
            <w:tcBorders>
              <w:top w:val="nil"/>
              <w:left w:val="nil"/>
              <w:bottom w:val="single" w:color="auto" w:sz="4" w:space="0"/>
              <w:right w:val="single" w:color="auto" w:sz="4" w:space="0"/>
            </w:tcBorders>
            <w:noWrap w:val="0"/>
            <w:vAlign w:val="center"/>
          </w:tcPr>
          <w:p w14:paraId="1691E22C">
            <w:pPr>
              <w:keepNext w:val="0"/>
              <w:keepLines w:val="0"/>
              <w:widowControl/>
              <w:suppressLineNumbers w:val="0"/>
              <w:spacing w:before="0" w:beforeAutospacing="0" w:after="0" w:afterAutospacing="0" w:line="240" w:lineRule="exact"/>
              <w:ind w:left="0" w:right="0" w:firstLine="600" w:firstLineChars="3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项目支出：</w:t>
            </w:r>
            <w:r>
              <w:rPr>
                <w:rFonts w:hint="eastAsia" w:ascii="仿宋_GB2312" w:hAnsi="仿宋_GB2312" w:eastAsia="仿宋_GB2312" w:cs="仿宋_GB2312"/>
                <w:color w:val="auto"/>
                <w:sz w:val="20"/>
                <w:szCs w:val="20"/>
                <w:highlight w:val="none"/>
                <w:lang w:val="en-US" w:eastAsia="zh-CN"/>
              </w:rPr>
              <w:t>48.82</w:t>
            </w:r>
          </w:p>
        </w:tc>
      </w:tr>
      <w:tr w14:paraId="0F501304">
        <w:tblPrEx>
          <w:tblCellMar>
            <w:top w:w="0" w:type="dxa"/>
            <w:left w:w="108" w:type="dxa"/>
            <w:bottom w:w="0" w:type="dxa"/>
            <w:right w:w="108" w:type="dxa"/>
          </w:tblCellMar>
        </w:tblPrEx>
        <w:trPr>
          <w:trHeight w:val="283" w:hRule="atLeast"/>
          <w:jc w:val="center"/>
        </w:trPr>
        <w:tc>
          <w:tcPr>
            <w:tcW w:w="1020" w:type="dxa"/>
            <w:vMerge w:val="continue"/>
            <w:tcBorders>
              <w:left w:val="single" w:color="auto" w:sz="4" w:space="0"/>
              <w:right w:val="single" w:color="auto" w:sz="4" w:space="0"/>
            </w:tcBorders>
            <w:noWrap w:val="0"/>
            <w:vAlign w:val="center"/>
          </w:tcPr>
          <w:p w14:paraId="11D2020F">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5169" w:type="dxa"/>
            <w:gridSpan w:val="4"/>
            <w:tcBorders>
              <w:top w:val="nil"/>
              <w:left w:val="nil"/>
              <w:bottom w:val="single" w:color="auto" w:sz="4" w:space="0"/>
              <w:right w:val="single" w:color="auto" w:sz="4" w:space="0"/>
            </w:tcBorders>
            <w:noWrap w:val="0"/>
            <w:vAlign w:val="center"/>
          </w:tcPr>
          <w:p w14:paraId="288633AE">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18" w:type="dxa"/>
            <w:gridSpan w:val="4"/>
            <w:tcBorders>
              <w:top w:val="nil"/>
              <w:left w:val="nil"/>
              <w:bottom w:val="single" w:color="auto" w:sz="4" w:space="0"/>
              <w:right w:val="single" w:color="auto" w:sz="4" w:space="0"/>
            </w:tcBorders>
            <w:noWrap w:val="0"/>
            <w:vAlign w:val="center"/>
          </w:tcPr>
          <w:p w14:paraId="5202824E">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r>
      <w:tr w14:paraId="573941A0">
        <w:tblPrEx>
          <w:tblCellMar>
            <w:top w:w="0" w:type="dxa"/>
            <w:left w:w="108" w:type="dxa"/>
            <w:bottom w:w="0" w:type="dxa"/>
            <w:right w:w="108" w:type="dxa"/>
          </w:tblCellMar>
        </w:tblPrEx>
        <w:trPr>
          <w:trHeight w:val="283" w:hRule="atLeast"/>
          <w:jc w:val="center"/>
        </w:trPr>
        <w:tc>
          <w:tcPr>
            <w:tcW w:w="1020" w:type="dxa"/>
            <w:vMerge w:val="continue"/>
            <w:tcBorders>
              <w:left w:val="single" w:color="auto" w:sz="4" w:space="0"/>
              <w:bottom w:val="single" w:color="000000" w:sz="4" w:space="0"/>
              <w:right w:val="single" w:color="auto" w:sz="4" w:space="0"/>
            </w:tcBorders>
            <w:noWrap w:val="0"/>
            <w:vAlign w:val="center"/>
          </w:tcPr>
          <w:p w14:paraId="31C6F048">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5169" w:type="dxa"/>
            <w:gridSpan w:val="4"/>
            <w:tcBorders>
              <w:top w:val="nil"/>
              <w:left w:val="nil"/>
              <w:bottom w:val="single" w:color="auto" w:sz="4" w:space="0"/>
              <w:right w:val="single" w:color="auto" w:sz="4" w:space="0"/>
            </w:tcBorders>
            <w:noWrap w:val="0"/>
            <w:vAlign w:val="center"/>
          </w:tcPr>
          <w:p w14:paraId="0C0DEAA0">
            <w:pPr>
              <w:keepNext w:val="0"/>
              <w:keepLines w:val="0"/>
              <w:widowControl/>
              <w:suppressLineNumbers w:val="0"/>
              <w:spacing w:before="0" w:beforeAutospacing="0" w:after="0" w:afterAutospacing="0" w:line="240" w:lineRule="exact"/>
              <w:ind w:left="0" w:right="0"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15.52</w:t>
            </w:r>
          </w:p>
        </w:tc>
        <w:tc>
          <w:tcPr>
            <w:tcW w:w="4318" w:type="dxa"/>
            <w:gridSpan w:val="4"/>
            <w:tcBorders>
              <w:top w:val="nil"/>
              <w:left w:val="nil"/>
              <w:bottom w:val="single" w:color="auto" w:sz="4" w:space="0"/>
              <w:right w:val="single" w:color="auto" w:sz="4" w:space="0"/>
            </w:tcBorders>
            <w:noWrap w:val="0"/>
            <w:vAlign w:val="center"/>
          </w:tcPr>
          <w:p w14:paraId="2F46D9C4">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r>
      <w:tr w14:paraId="1575B0C3">
        <w:tblPrEx>
          <w:tblCellMar>
            <w:top w:w="0" w:type="dxa"/>
            <w:left w:w="108" w:type="dxa"/>
            <w:bottom w:w="0" w:type="dxa"/>
            <w:right w:w="108" w:type="dxa"/>
          </w:tblCellMar>
        </w:tblPrEx>
        <w:trPr>
          <w:trHeight w:val="283" w:hRule="atLeast"/>
          <w:jc w:val="center"/>
        </w:trPr>
        <w:tc>
          <w:tcPr>
            <w:tcW w:w="1020" w:type="dxa"/>
            <w:vMerge w:val="restart"/>
            <w:tcBorders>
              <w:top w:val="nil"/>
              <w:left w:val="single" w:color="auto" w:sz="4" w:space="0"/>
              <w:bottom w:val="single" w:color="000000" w:sz="4" w:space="0"/>
              <w:right w:val="single" w:color="auto" w:sz="4" w:space="0"/>
            </w:tcBorders>
            <w:noWrap w:val="0"/>
            <w:vAlign w:val="center"/>
          </w:tcPr>
          <w:p w14:paraId="432E8D58">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69" w:type="dxa"/>
            <w:gridSpan w:val="4"/>
            <w:tcBorders>
              <w:top w:val="single" w:color="auto" w:sz="4" w:space="0"/>
              <w:left w:val="nil"/>
              <w:bottom w:val="single" w:color="auto" w:sz="4" w:space="0"/>
              <w:right w:val="single" w:color="000000" w:sz="4" w:space="0"/>
            </w:tcBorders>
            <w:noWrap w:val="0"/>
            <w:vAlign w:val="center"/>
          </w:tcPr>
          <w:p w14:paraId="5C7390A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18" w:type="dxa"/>
            <w:gridSpan w:val="4"/>
            <w:tcBorders>
              <w:top w:val="single" w:color="auto" w:sz="4" w:space="0"/>
              <w:left w:val="nil"/>
              <w:bottom w:val="single" w:color="auto" w:sz="4" w:space="0"/>
              <w:right w:val="single" w:color="auto" w:sz="4" w:space="0"/>
            </w:tcBorders>
            <w:noWrap w:val="0"/>
            <w:vAlign w:val="center"/>
          </w:tcPr>
          <w:p w14:paraId="1669D5B5">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2648D4A">
        <w:tblPrEx>
          <w:tblCellMar>
            <w:top w:w="0" w:type="dxa"/>
            <w:left w:w="108" w:type="dxa"/>
            <w:bottom w:w="0" w:type="dxa"/>
            <w:right w:w="108" w:type="dxa"/>
          </w:tblCellMar>
        </w:tblPrEx>
        <w:trPr>
          <w:trHeight w:val="1453" w:hRule="atLeast"/>
          <w:jc w:val="center"/>
        </w:trPr>
        <w:tc>
          <w:tcPr>
            <w:tcW w:w="1020" w:type="dxa"/>
            <w:vMerge w:val="continue"/>
            <w:tcBorders>
              <w:top w:val="nil"/>
              <w:left w:val="single" w:color="auto" w:sz="4" w:space="0"/>
              <w:bottom w:val="single" w:color="auto" w:sz="4" w:space="0"/>
              <w:right w:val="single" w:color="auto" w:sz="4" w:space="0"/>
            </w:tcBorders>
            <w:noWrap w:val="0"/>
            <w:vAlign w:val="center"/>
          </w:tcPr>
          <w:p w14:paraId="2B0AFF89">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5169" w:type="dxa"/>
            <w:gridSpan w:val="4"/>
            <w:tcBorders>
              <w:top w:val="single" w:color="auto" w:sz="4" w:space="0"/>
              <w:left w:val="nil"/>
              <w:bottom w:val="single" w:color="auto" w:sz="4" w:space="0"/>
              <w:right w:val="single" w:color="000000" w:sz="4" w:space="0"/>
            </w:tcBorders>
            <w:noWrap w:val="0"/>
            <w:vAlign w:val="top"/>
          </w:tcPr>
          <w:p w14:paraId="0E8EF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top"/>
              <w:rPr>
                <w:rFonts w:hint="eastAsia" w:ascii="仿宋_GB2312" w:hAnsi="仿宋_GB2312" w:eastAsia="仿宋_GB2312" w:cs="仿宋_GB2312"/>
                <w:color w:val="000000"/>
                <w:sz w:val="17"/>
                <w:szCs w:val="17"/>
                <w:highlight w:val="none"/>
                <w:lang w:val="en-US" w:eastAsia="zh-CN"/>
              </w:rPr>
            </w:pPr>
          </w:p>
          <w:p w14:paraId="73939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top"/>
              <w:rPr>
                <w:rFonts w:hint="eastAsia" w:ascii="仿宋_GB2312" w:hAnsi="仿宋_GB2312" w:eastAsia="仿宋_GB2312" w:cs="仿宋_GB2312"/>
                <w:color w:val="000000"/>
                <w:sz w:val="17"/>
                <w:szCs w:val="17"/>
                <w:highlight w:val="none"/>
              </w:rPr>
            </w:pPr>
            <w:r>
              <w:rPr>
                <w:rFonts w:hint="eastAsia" w:ascii="仿宋_GB2312" w:hAnsi="仿宋_GB2312" w:eastAsia="仿宋_GB2312" w:cs="仿宋_GB2312"/>
                <w:color w:val="000000"/>
                <w:sz w:val="17"/>
                <w:szCs w:val="17"/>
                <w:highlight w:val="none"/>
                <w:lang w:val="en-US" w:eastAsia="zh-CN"/>
              </w:rPr>
              <w:t>目标1：完成全区巡察工作有关的政策研究、制度建设等工作；                                                                                                   目标2：统筹、协调、指导区委巡察组开展工作；                                                                           目标3： 对区委和区委巡察工作领导小组决定的事项及巡察移交事项进行督办；                                                                                               目标4：配合有关部门对巡察工作人员进行培训、考核、监督和管理。</w:t>
            </w:r>
          </w:p>
        </w:tc>
        <w:tc>
          <w:tcPr>
            <w:tcW w:w="4318" w:type="dxa"/>
            <w:gridSpan w:val="4"/>
            <w:tcBorders>
              <w:top w:val="single" w:color="auto" w:sz="4" w:space="0"/>
              <w:left w:val="nil"/>
              <w:bottom w:val="single" w:color="auto" w:sz="4" w:space="0"/>
              <w:right w:val="single" w:color="auto" w:sz="4" w:space="0"/>
            </w:tcBorders>
            <w:noWrap w:val="0"/>
            <w:vAlign w:val="top"/>
          </w:tcPr>
          <w:p w14:paraId="661A2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firstLine="340" w:firstLineChars="200"/>
              <w:jc w:val="left"/>
              <w:textAlignment w:val="top"/>
              <w:rPr>
                <w:rFonts w:hint="eastAsia" w:ascii="仿宋_GB2312" w:hAnsi="仿宋_GB2312" w:eastAsia="仿宋_GB2312" w:cs="仿宋_GB2312"/>
                <w:color w:val="000000"/>
                <w:sz w:val="17"/>
                <w:szCs w:val="17"/>
                <w:highlight w:val="none"/>
              </w:rPr>
            </w:pPr>
            <w:r>
              <w:rPr>
                <w:rFonts w:hint="eastAsia" w:ascii="仿宋_GB2312" w:hAnsi="仿宋_GB2312" w:eastAsia="仿宋_GB2312" w:cs="仿宋_GB2312"/>
                <w:color w:val="000000"/>
                <w:kern w:val="0"/>
                <w:sz w:val="17"/>
                <w:szCs w:val="17"/>
                <w:highlight w:val="none"/>
                <w:lang w:val="en-US" w:eastAsia="zh-CN" w:bidi="ar-SA"/>
              </w:rPr>
              <w:t>2024年以来，区委巡察办共组织开展2轮常规巡察，完成对政法领域、医疗卫生领域专项巡察，开展对中小学食堂、棚改领域、营商环境、群众身边腐败问题机动巡察，发现问题381个、线索67条，交办立行立改事项77件。配合区委办对全区巡视巡察反馈问题整改工作开展2轮“回头看”，推动整改各类问题509个，推动建章立制300余项。向有关职能部门制发巡察建议书12份，推动系统施治。</w:t>
            </w:r>
          </w:p>
        </w:tc>
      </w:tr>
      <w:tr w14:paraId="4C824F66">
        <w:tblPrEx>
          <w:tblCellMar>
            <w:top w:w="0" w:type="dxa"/>
            <w:left w:w="108" w:type="dxa"/>
            <w:bottom w:w="0" w:type="dxa"/>
            <w:right w:w="108" w:type="dxa"/>
          </w:tblCellMar>
        </w:tblPrEx>
        <w:trPr>
          <w:trHeight w:val="283" w:hRule="atLeast"/>
          <w:jc w:val="center"/>
        </w:trPr>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6FE7DFB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E864797">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5167570">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475B5C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A6B8022">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9C6164F">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6368E98A">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82C5AF4">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218DCF2">
            <w:pPr>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AED96EE">
            <w:pPr>
              <w:keepNext w:val="0"/>
              <w:keepLines w:val="0"/>
              <w:widowControl/>
              <w:suppressLineNumbers w:val="0"/>
              <w:spacing w:before="0" w:beforeAutospacing="0" w:after="0" w:afterAutospacing="0" w:line="240" w:lineRule="exact"/>
              <w:ind w:left="0" w:right="0"/>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70E1833">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16891F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A395C99">
            <w:pPr>
              <w:keepNext w:val="0"/>
              <w:keepLines w:val="0"/>
              <w:widowControl/>
              <w:suppressLineNumbers w:val="0"/>
              <w:spacing w:before="0" w:beforeAutospacing="0" w:after="0" w:afterAutospacing="0" w:line="240" w:lineRule="exact"/>
              <w:ind w:left="0" w:right="0"/>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F1BB3BD">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7F140C9">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restart"/>
            <w:tcBorders>
              <w:top w:val="single" w:color="auto" w:sz="4" w:space="0"/>
              <w:left w:val="single" w:color="auto" w:sz="4" w:space="0"/>
              <w:right w:val="single" w:color="auto" w:sz="4" w:space="0"/>
            </w:tcBorders>
            <w:noWrap w:val="0"/>
            <w:vAlign w:val="center"/>
          </w:tcPr>
          <w:p w14:paraId="556A8408">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09BB71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p w14:paraId="4D40BE88">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0分</w:t>
            </w:r>
            <w:r>
              <w:rPr>
                <w:rFonts w:hint="eastAsia" w:ascii="仿宋_GB2312" w:hAnsi="仿宋_GB2312" w:eastAsia="仿宋_GB2312" w:cs="仿宋_GB2312"/>
                <w:color w:val="000000"/>
                <w:sz w:val="20"/>
                <w:szCs w:val="20"/>
                <w:highlight w:val="none"/>
                <w:lang w:eastAsia="zh-CN"/>
              </w:rPr>
              <w:t>）</w:t>
            </w:r>
          </w:p>
          <w:p w14:paraId="669E2A05">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0"/>
                <w:szCs w:val="20"/>
                <w:highlight w:val="none"/>
                <w:lang w:val="en-US" w:eastAsia="zh-CN" w:bidi="ar-SA"/>
              </w:rPr>
            </w:pP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14:paraId="7CB7AE4C">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w:t>
            </w:r>
          </w:p>
          <w:p w14:paraId="31238D1F">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8935C06">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开展常规巡察</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256EBB2">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2次</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B6BFF6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3C1F597">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64BDC18">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41FF6D6B">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63E03C">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6254F0B5">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right w:val="single" w:color="auto" w:sz="4" w:space="0"/>
            </w:tcBorders>
            <w:noWrap w:val="0"/>
            <w:vAlign w:val="center"/>
          </w:tcPr>
          <w:p w14:paraId="1FE3C2C3">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472B775B">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6FE62D5">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开展专项巡察</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768F52C">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1次</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A7C4238">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2EE34186">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439C00F">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2D8F80B">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9E41BC">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EDB7786">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right w:val="single" w:color="auto" w:sz="4" w:space="0"/>
            </w:tcBorders>
            <w:noWrap w:val="0"/>
            <w:vAlign w:val="center"/>
          </w:tcPr>
          <w:p w14:paraId="12D763DB">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330AB49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A61E003">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开展</w:t>
            </w:r>
            <w:r>
              <w:rPr>
                <w:rFonts w:hint="eastAsia" w:ascii="仿宋_GB2312" w:hAnsi="仿宋_GB2312" w:eastAsia="仿宋_GB2312" w:cs="仿宋_GB2312"/>
                <w:color w:val="000000"/>
                <w:sz w:val="20"/>
                <w:szCs w:val="20"/>
                <w:highlight w:val="none"/>
                <w:lang w:val="en-US" w:eastAsia="zh-CN"/>
              </w:rPr>
              <w:t>机动巡察</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4FFA069">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2次</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6277A3A">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F96792D">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02785A4A">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12EFB70">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66362E">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D25F507">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right w:val="single" w:color="auto" w:sz="4" w:space="0"/>
            </w:tcBorders>
            <w:noWrap w:val="0"/>
            <w:vAlign w:val="center"/>
          </w:tcPr>
          <w:p w14:paraId="4A9761DC">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6C472BF0">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1BC036C">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开展巡察整改评估</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A99A1B4">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2次</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1ABB66E">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1335406">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073181B3">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7362813">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r>
      <w:tr w14:paraId="2DCB8332">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B528627">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right w:val="single" w:color="auto" w:sz="4" w:space="0"/>
            </w:tcBorders>
            <w:noWrap w:val="0"/>
            <w:vAlign w:val="center"/>
          </w:tcPr>
          <w:p w14:paraId="3AADD69A">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63F52E53">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50AF017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组织巡察业务培训</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C521957">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3次</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BDD4B0F">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652A710">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5EA428E8">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1965491">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r>
      <w:tr w14:paraId="3ECCC828">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7FB9855B">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right w:val="single" w:color="auto" w:sz="4" w:space="0"/>
            </w:tcBorders>
            <w:noWrap w:val="0"/>
            <w:vAlign w:val="center"/>
          </w:tcPr>
          <w:p w14:paraId="77B21D69">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14:paraId="31D4D96F">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w:t>
            </w:r>
          </w:p>
          <w:p w14:paraId="608282EF">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26F1756C">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巡察信息化</w:t>
            </w:r>
          </w:p>
          <w:p w14:paraId="44B53B29">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系统使用率</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7420CE5">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9E34494">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79967419">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1E76E7BD">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0262E51">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F99E7E">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B439842">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right w:val="single" w:color="auto" w:sz="4" w:space="0"/>
            </w:tcBorders>
            <w:noWrap w:val="0"/>
            <w:vAlign w:val="center"/>
          </w:tcPr>
          <w:p w14:paraId="5F818834">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15E6ACD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25ED50E">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优化贯通融合率</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2E75C1F">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F268FAF">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964D425">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78548F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07FBA33">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671F0E">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6C865A68">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right w:val="single" w:color="auto" w:sz="4" w:space="0"/>
            </w:tcBorders>
            <w:noWrap w:val="0"/>
            <w:vAlign w:val="center"/>
          </w:tcPr>
          <w:p w14:paraId="7BD0EAE0">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14:paraId="22076C0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w:t>
            </w:r>
          </w:p>
          <w:p w14:paraId="1C82534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5FDD2F4E">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巡察任务完成</w:t>
            </w:r>
          </w:p>
          <w:p w14:paraId="72591086">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及时率</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7B3B2EFA">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BB262ED">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20F3AC90">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098B4D04">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CCF28CE">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45BC91">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5484A58C">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right w:val="single" w:color="auto" w:sz="4" w:space="0"/>
            </w:tcBorders>
            <w:noWrap w:val="0"/>
            <w:vAlign w:val="center"/>
          </w:tcPr>
          <w:p w14:paraId="43557645">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105653E8">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6C0E89D">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督办巡察移交事项</w:t>
            </w:r>
            <w:r>
              <w:rPr>
                <w:rFonts w:hint="eastAsia" w:ascii="仿宋_GB2312" w:hAnsi="仿宋_GB2312" w:eastAsia="仿宋_GB2312" w:cs="仿宋_GB2312"/>
                <w:color w:val="000000"/>
                <w:sz w:val="20"/>
                <w:szCs w:val="20"/>
                <w:highlight w:val="none"/>
                <w:lang w:val="en-US" w:eastAsia="zh-CN"/>
              </w:rPr>
              <w:t>完成</w:t>
            </w:r>
            <w:r>
              <w:rPr>
                <w:rFonts w:hint="eastAsia" w:ascii="仿宋_GB2312" w:hAnsi="仿宋_GB2312" w:eastAsia="仿宋_GB2312" w:cs="仿宋_GB2312"/>
                <w:color w:val="000000"/>
                <w:sz w:val="20"/>
                <w:szCs w:val="20"/>
                <w:highlight w:val="none"/>
                <w:lang w:eastAsia="zh-CN"/>
              </w:rPr>
              <w:t>及时率</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C540205">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E729EEC">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A8064B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76B8B8E">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6CF5DDB">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F62690">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9C5E207">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left w:val="single" w:color="auto" w:sz="4" w:space="0"/>
              <w:bottom w:val="single" w:color="auto" w:sz="4" w:space="0"/>
              <w:right w:val="single" w:color="auto" w:sz="4" w:space="0"/>
            </w:tcBorders>
            <w:shd w:val="clear" w:color="auto" w:fill="auto"/>
            <w:noWrap w:val="0"/>
            <w:vAlign w:val="center"/>
          </w:tcPr>
          <w:p w14:paraId="5F9F1801">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0"/>
                <w:sz w:val="20"/>
                <w:szCs w:val="20"/>
                <w:highlight w:val="none"/>
                <w:lang w:val="en-US" w:eastAsia="zh-CN" w:bidi="ar-SA"/>
              </w:rPr>
            </w:pPr>
          </w:p>
        </w:tc>
        <w:tc>
          <w:tcPr>
            <w:tcW w:w="9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34134">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w:t>
            </w:r>
          </w:p>
          <w:p w14:paraId="3FCD2DC8">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指标</w:t>
            </w:r>
          </w:p>
        </w:tc>
        <w:tc>
          <w:tcPr>
            <w:tcW w:w="1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FC11D">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费用开支控制</w:t>
            </w:r>
          </w:p>
          <w:p w14:paraId="3DD19CF8">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0"/>
                <w:sz w:val="20"/>
                <w:szCs w:val="20"/>
                <w:highlight w:val="none"/>
                <w:lang w:val="en-US" w:eastAsia="zh-CN" w:bidi="ar-SA"/>
              </w:rPr>
            </w:pPr>
            <w:bookmarkStart w:id="0" w:name="_GoBack"/>
            <w:bookmarkEnd w:id="0"/>
            <w:r>
              <w:rPr>
                <w:rFonts w:hint="eastAsia" w:ascii="仿宋_GB2312" w:hAnsi="仿宋_GB2312" w:eastAsia="仿宋_GB2312" w:cs="仿宋_GB2312"/>
                <w:color w:val="000000"/>
                <w:sz w:val="20"/>
                <w:szCs w:val="20"/>
                <w:highlight w:val="none"/>
              </w:rPr>
              <w:t>在预算内执行</w:t>
            </w:r>
          </w:p>
        </w:tc>
        <w:tc>
          <w:tcPr>
            <w:tcW w:w="12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73DFF">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sz w:val="20"/>
                <w:szCs w:val="20"/>
                <w:highlight w:val="none"/>
                <w:lang w:val="en-US" w:eastAsia="zh-CN"/>
              </w:rPr>
              <w:t>269.2</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C7635">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269.2</w:t>
            </w:r>
          </w:p>
        </w:tc>
        <w:tc>
          <w:tcPr>
            <w:tcW w:w="7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ADFC1">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BD8A4">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DDCC20">
            <w:pPr>
              <w:keepNext w:val="0"/>
              <w:keepLines w:val="0"/>
              <w:widowControl/>
              <w:suppressLineNumbers w:val="0"/>
              <w:spacing w:before="0" w:beforeAutospacing="0" w:after="0" w:afterAutospacing="0" w:line="240" w:lineRule="exact"/>
              <w:ind w:left="0" w:leftChars="0" w:right="0" w:rightChars="0"/>
              <w:jc w:val="left"/>
              <w:rPr>
                <w:rFonts w:hint="eastAsia" w:ascii="仿宋_GB2312" w:hAnsi="仿宋_GB2312" w:eastAsia="仿宋_GB2312" w:cs="仿宋_GB2312"/>
                <w:color w:val="auto"/>
                <w:kern w:val="0"/>
                <w:sz w:val="20"/>
                <w:szCs w:val="20"/>
                <w:highlight w:val="none"/>
                <w:lang w:val="en-US" w:eastAsia="zh-CN" w:bidi="ar-SA"/>
              </w:rPr>
            </w:pPr>
          </w:p>
        </w:tc>
      </w:tr>
      <w:tr w14:paraId="1097CAE5">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F6C95D3">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14:paraId="4C58BA9E">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1D6A078">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p w14:paraId="3A7B3377">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7854F47B">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1F6D5D6A">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04E7C0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4" w:type="dxa"/>
            <w:tcBorders>
              <w:top w:val="nil"/>
              <w:left w:val="single" w:color="auto" w:sz="4" w:space="0"/>
              <w:bottom w:val="single" w:color="auto" w:sz="4" w:space="0"/>
              <w:right w:val="single" w:color="auto" w:sz="4" w:space="0"/>
            </w:tcBorders>
            <w:shd w:val="clear" w:color="auto" w:fill="auto"/>
            <w:noWrap w:val="0"/>
            <w:vAlign w:val="center"/>
          </w:tcPr>
          <w:p w14:paraId="14E3AE45">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kern w:val="0"/>
                <w:sz w:val="20"/>
                <w:szCs w:val="20"/>
                <w:lang w:val="en-US" w:eastAsia="zh-CN" w:bidi="ar-SA"/>
              </w:rPr>
            </w:pPr>
          </w:p>
        </w:tc>
        <w:tc>
          <w:tcPr>
            <w:tcW w:w="1225" w:type="dxa"/>
            <w:tcBorders>
              <w:top w:val="nil"/>
              <w:left w:val="nil"/>
              <w:bottom w:val="single" w:color="auto" w:sz="4" w:space="0"/>
              <w:right w:val="single" w:color="auto" w:sz="4" w:space="0"/>
            </w:tcBorders>
            <w:shd w:val="clear" w:color="auto" w:fill="auto"/>
            <w:noWrap w:val="0"/>
            <w:vAlign w:val="center"/>
          </w:tcPr>
          <w:p w14:paraId="14DBC19E">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kern w:val="0"/>
                <w:sz w:val="20"/>
                <w:szCs w:val="20"/>
                <w:lang w:val="en-US" w:eastAsia="zh-CN" w:bidi="ar-SA"/>
              </w:rPr>
            </w:pPr>
          </w:p>
        </w:tc>
        <w:tc>
          <w:tcPr>
            <w:tcW w:w="1267" w:type="dxa"/>
            <w:tcBorders>
              <w:top w:val="nil"/>
              <w:left w:val="nil"/>
              <w:bottom w:val="single" w:color="auto" w:sz="4" w:space="0"/>
              <w:right w:val="single" w:color="auto" w:sz="4" w:space="0"/>
            </w:tcBorders>
            <w:shd w:val="clear" w:color="auto" w:fill="auto"/>
            <w:noWrap w:val="0"/>
            <w:vAlign w:val="center"/>
          </w:tcPr>
          <w:p w14:paraId="36F8FB85">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kern w:val="0"/>
                <w:sz w:val="20"/>
                <w:szCs w:val="20"/>
                <w:lang w:val="en-US" w:eastAsia="zh-CN" w:bidi="ar-SA"/>
              </w:rPr>
            </w:pPr>
          </w:p>
        </w:tc>
        <w:tc>
          <w:tcPr>
            <w:tcW w:w="715" w:type="dxa"/>
            <w:tcBorders>
              <w:top w:val="nil"/>
              <w:left w:val="nil"/>
              <w:bottom w:val="single" w:color="auto" w:sz="4" w:space="0"/>
              <w:right w:val="single" w:color="auto" w:sz="4" w:space="0"/>
            </w:tcBorders>
            <w:shd w:val="clear" w:color="auto" w:fill="auto"/>
            <w:noWrap w:val="0"/>
            <w:vAlign w:val="center"/>
          </w:tcPr>
          <w:p w14:paraId="20E0490A">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95" w:type="dxa"/>
            <w:tcBorders>
              <w:top w:val="nil"/>
              <w:left w:val="nil"/>
              <w:bottom w:val="single" w:color="auto" w:sz="4" w:space="0"/>
              <w:right w:val="single" w:color="auto" w:sz="4" w:space="0"/>
            </w:tcBorders>
            <w:shd w:val="clear" w:color="auto" w:fill="auto"/>
            <w:noWrap w:val="0"/>
            <w:vAlign w:val="center"/>
          </w:tcPr>
          <w:p w14:paraId="357540F1">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kern w:val="0"/>
                <w:sz w:val="20"/>
                <w:szCs w:val="20"/>
                <w:lang w:val="en-US" w:eastAsia="zh-CN" w:bidi="ar-SA"/>
              </w:rPr>
            </w:pPr>
          </w:p>
        </w:tc>
        <w:tc>
          <w:tcPr>
            <w:tcW w:w="1441" w:type="dxa"/>
            <w:tcBorders>
              <w:top w:val="nil"/>
              <w:left w:val="nil"/>
              <w:bottom w:val="single" w:color="auto" w:sz="4" w:space="0"/>
              <w:right w:val="single" w:color="auto" w:sz="4" w:space="0"/>
            </w:tcBorders>
            <w:noWrap w:val="0"/>
            <w:vAlign w:val="center"/>
          </w:tcPr>
          <w:p w14:paraId="14D7E6D5">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F8063D">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11DC2FE">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3BA3B2F8">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250327A">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D51887A">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4" w:type="dxa"/>
            <w:tcBorders>
              <w:top w:val="nil"/>
              <w:left w:val="single" w:color="auto" w:sz="4" w:space="0"/>
              <w:bottom w:val="single" w:color="auto" w:sz="4" w:space="0"/>
              <w:right w:val="single" w:color="auto" w:sz="4" w:space="0"/>
            </w:tcBorders>
            <w:noWrap w:val="0"/>
            <w:vAlign w:val="center"/>
          </w:tcPr>
          <w:p w14:paraId="23BEFF4F">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人民群众获得感、幸福感、安全感</w:t>
            </w:r>
          </w:p>
        </w:tc>
        <w:tc>
          <w:tcPr>
            <w:tcW w:w="1225" w:type="dxa"/>
            <w:tcBorders>
              <w:top w:val="nil"/>
              <w:left w:val="nil"/>
              <w:bottom w:val="single" w:color="auto" w:sz="4" w:space="0"/>
              <w:right w:val="single" w:color="auto" w:sz="4" w:space="0"/>
            </w:tcBorders>
            <w:noWrap w:val="0"/>
            <w:vAlign w:val="center"/>
          </w:tcPr>
          <w:p w14:paraId="1F48508E">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增强</w:t>
            </w:r>
          </w:p>
        </w:tc>
        <w:tc>
          <w:tcPr>
            <w:tcW w:w="1267" w:type="dxa"/>
            <w:tcBorders>
              <w:top w:val="nil"/>
              <w:left w:val="nil"/>
              <w:bottom w:val="single" w:color="auto" w:sz="4" w:space="0"/>
              <w:right w:val="single" w:color="auto" w:sz="4" w:space="0"/>
            </w:tcBorders>
            <w:noWrap w:val="0"/>
            <w:vAlign w:val="center"/>
          </w:tcPr>
          <w:p w14:paraId="16D8916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增强</w:t>
            </w:r>
          </w:p>
        </w:tc>
        <w:tc>
          <w:tcPr>
            <w:tcW w:w="715" w:type="dxa"/>
            <w:tcBorders>
              <w:top w:val="nil"/>
              <w:left w:val="nil"/>
              <w:bottom w:val="single" w:color="auto" w:sz="4" w:space="0"/>
              <w:right w:val="single" w:color="auto" w:sz="4" w:space="0"/>
            </w:tcBorders>
            <w:noWrap w:val="0"/>
            <w:vAlign w:val="center"/>
          </w:tcPr>
          <w:p w14:paraId="239458B0">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95" w:type="dxa"/>
            <w:tcBorders>
              <w:top w:val="nil"/>
              <w:left w:val="nil"/>
              <w:bottom w:val="single" w:color="auto" w:sz="4" w:space="0"/>
              <w:right w:val="single" w:color="auto" w:sz="4" w:space="0"/>
            </w:tcBorders>
            <w:noWrap w:val="0"/>
            <w:vAlign w:val="center"/>
          </w:tcPr>
          <w:p w14:paraId="2432C940">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1" w:type="dxa"/>
            <w:tcBorders>
              <w:top w:val="nil"/>
              <w:left w:val="nil"/>
              <w:bottom w:val="single" w:color="auto" w:sz="4" w:space="0"/>
              <w:right w:val="single" w:color="auto" w:sz="4" w:space="0"/>
            </w:tcBorders>
            <w:noWrap w:val="0"/>
            <w:vAlign w:val="center"/>
          </w:tcPr>
          <w:p w14:paraId="54489446">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374DD3">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60BDC3A">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6C0FC86C">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A917B95">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79F2E71">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34" w:type="dxa"/>
            <w:tcBorders>
              <w:top w:val="nil"/>
              <w:left w:val="single" w:color="auto" w:sz="4" w:space="0"/>
              <w:bottom w:val="single" w:color="auto" w:sz="4" w:space="0"/>
              <w:right w:val="single" w:color="auto" w:sz="4" w:space="0"/>
            </w:tcBorders>
            <w:noWrap w:val="0"/>
            <w:vAlign w:val="center"/>
          </w:tcPr>
          <w:p w14:paraId="02615DE8">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减少碳排放</w:t>
            </w:r>
          </w:p>
        </w:tc>
        <w:tc>
          <w:tcPr>
            <w:tcW w:w="1225" w:type="dxa"/>
            <w:tcBorders>
              <w:top w:val="nil"/>
              <w:left w:val="nil"/>
              <w:bottom w:val="single" w:color="auto" w:sz="4" w:space="0"/>
              <w:right w:val="single" w:color="auto" w:sz="4" w:space="0"/>
            </w:tcBorders>
            <w:noWrap w:val="0"/>
            <w:vAlign w:val="center"/>
          </w:tcPr>
          <w:p w14:paraId="4B77FE78">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减少</w:t>
            </w:r>
          </w:p>
        </w:tc>
        <w:tc>
          <w:tcPr>
            <w:tcW w:w="1267" w:type="dxa"/>
            <w:tcBorders>
              <w:top w:val="nil"/>
              <w:left w:val="nil"/>
              <w:bottom w:val="single" w:color="auto" w:sz="4" w:space="0"/>
              <w:right w:val="single" w:color="auto" w:sz="4" w:space="0"/>
            </w:tcBorders>
            <w:noWrap w:val="0"/>
            <w:vAlign w:val="center"/>
          </w:tcPr>
          <w:p w14:paraId="1D48CBCF">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rPr>
              <w:t>减少</w:t>
            </w:r>
          </w:p>
        </w:tc>
        <w:tc>
          <w:tcPr>
            <w:tcW w:w="715" w:type="dxa"/>
            <w:tcBorders>
              <w:top w:val="nil"/>
              <w:left w:val="nil"/>
              <w:bottom w:val="single" w:color="auto" w:sz="4" w:space="0"/>
              <w:right w:val="single" w:color="auto" w:sz="4" w:space="0"/>
            </w:tcBorders>
            <w:noWrap w:val="0"/>
            <w:vAlign w:val="center"/>
          </w:tcPr>
          <w:p w14:paraId="11F5C447">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10</w:t>
            </w:r>
          </w:p>
        </w:tc>
        <w:tc>
          <w:tcPr>
            <w:tcW w:w="895" w:type="dxa"/>
            <w:tcBorders>
              <w:top w:val="nil"/>
              <w:left w:val="nil"/>
              <w:bottom w:val="single" w:color="auto" w:sz="4" w:space="0"/>
              <w:right w:val="single" w:color="auto" w:sz="4" w:space="0"/>
            </w:tcBorders>
            <w:noWrap w:val="0"/>
            <w:vAlign w:val="center"/>
          </w:tcPr>
          <w:p w14:paraId="78846D92">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9</w:t>
            </w:r>
          </w:p>
        </w:tc>
        <w:tc>
          <w:tcPr>
            <w:tcW w:w="1441" w:type="dxa"/>
            <w:tcBorders>
              <w:top w:val="nil"/>
              <w:left w:val="nil"/>
              <w:bottom w:val="single" w:color="auto" w:sz="4" w:space="0"/>
              <w:right w:val="single" w:color="auto" w:sz="4" w:space="0"/>
            </w:tcBorders>
            <w:noWrap w:val="0"/>
            <w:vAlign w:val="center"/>
          </w:tcPr>
          <w:p w14:paraId="1E9C4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exact"/>
              <w:ind w:left="0" w:right="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16"/>
                <w:szCs w:val="16"/>
                <w:highlight w:val="none"/>
                <w:lang w:val="en-US" w:eastAsia="zh-CN"/>
              </w:rPr>
              <w:t>节能习惯有缺失，下一步将进一步加强约束</w:t>
            </w:r>
          </w:p>
        </w:tc>
      </w:tr>
      <w:tr w14:paraId="4FE95A15">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72FC4778">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6E0B5E8A">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E38A92A">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BA64208">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巡察单位工作作风</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8DF6B7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增强</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13AAAA6">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增强</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663389D8">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235A345D">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C2082A9">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8DB28D">
        <w:tblPrEx>
          <w:tblCellMar>
            <w:top w:w="0" w:type="dxa"/>
            <w:left w:w="108" w:type="dxa"/>
            <w:bottom w:w="0" w:type="dxa"/>
            <w:right w:w="108" w:type="dxa"/>
          </w:tblCellMar>
        </w:tblPrEx>
        <w:trPr>
          <w:trHeight w:val="283"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3B2F8EC8">
            <w:pPr>
              <w:keepNext w:val="0"/>
              <w:keepLines w:val="0"/>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BDE7276">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81EC6E9">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4BC11AB">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分）</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20A69CB0">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834" w:type="dxa"/>
            <w:tcBorders>
              <w:top w:val="nil"/>
              <w:left w:val="single" w:color="auto" w:sz="4" w:space="0"/>
              <w:bottom w:val="single" w:color="auto" w:sz="4" w:space="0"/>
              <w:right w:val="single" w:color="auto" w:sz="4" w:space="0"/>
            </w:tcBorders>
            <w:noWrap w:val="0"/>
            <w:vAlign w:val="center"/>
          </w:tcPr>
          <w:p w14:paraId="0DE9A720">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受益</w:t>
            </w:r>
            <w:r>
              <w:rPr>
                <w:rFonts w:hint="eastAsia" w:ascii="仿宋_GB2312" w:hAnsi="仿宋_GB2312" w:eastAsia="仿宋_GB2312" w:cs="仿宋_GB2312"/>
                <w:color w:val="000000"/>
                <w:sz w:val="20"/>
                <w:szCs w:val="20"/>
                <w:highlight w:val="none"/>
              </w:rPr>
              <w:t>群众满意度</w:t>
            </w:r>
          </w:p>
        </w:tc>
        <w:tc>
          <w:tcPr>
            <w:tcW w:w="1225" w:type="dxa"/>
            <w:tcBorders>
              <w:top w:val="nil"/>
              <w:left w:val="nil"/>
              <w:bottom w:val="single" w:color="auto" w:sz="4" w:space="0"/>
              <w:right w:val="single" w:color="auto" w:sz="4" w:space="0"/>
            </w:tcBorders>
            <w:noWrap w:val="0"/>
            <w:vAlign w:val="center"/>
          </w:tcPr>
          <w:p w14:paraId="18356986">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67" w:type="dxa"/>
            <w:tcBorders>
              <w:top w:val="nil"/>
              <w:left w:val="nil"/>
              <w:bottom w:val="single" w:color="auto" w:sz="4" w:space="0"/>
              <w:right w:val="single" w:color="auto" w:sz="4" w:space="0"/>
            </w:tcBorders>
            <w:noWrap w:val="0"/>
            <w:vAlign w:val="center"/>
          </w:tcPr>
          <w:p w14:paraId="7C836515">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715" w:type="dxa"/>
            <w:tcBorders>
              <w:top w:val="nil"/>
              <w:left w:val="nil"/>
              <w:bottom w:val="single" w:color="auto" w:sz="4" w:space="0"/>
              <w:right w:val="single" w:color="auto" w:sz="4" w:space="0"/>
            </w:tcBorders>
            <w:noWrap w:val="0"/>
            <w:vAlign w:val="center"/>
          </w:tcPr>
          <w:p w14:paraId="4063786E">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95" w:type="dxa"/>
            <w:tcBorders>
              <w:top w:val="nil"/>
              <w:left w:val="nil"/>
              <w:bottom w:val="single" w:color="auto" w:sz="4" w:space="0"/>
              <w:right w:val="single" w:color="auto" w:sz="4" w:space="0"/>
            </w:tcBorders>
            <w:noWrap w:val="0"/>
            <w:vAlign w:val="center"/>
          </w:tcPr>
          <w:p w14:paraId="358F7553">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1" w:type="dxa"/>
            <w:tcBorders>
              <w:top w:val="nil"/>
              <w:left w:val="nil"/>
              <w:bottom w:val="single" w:color="auto" w:sz="4" w:space="0"/>
              <w:right w:val="single" w:color="auto" w:sz="4" w:space="0"/>
            </w:tcBorders>
            <w:noWrap w:val="0"/>
            <w:vAlign w:val="center"/>
          </w:tcPr>
          <w:p w14:paraId="01D98128">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9FCD37">
        <w:tblPrEx>
          <w:tblCellMar>
            <w:top w:w="0" w:type="dxa"/>
            <w:left w:w="108" w:type="dxa"/>
            <w:bottom w:w="0" w:type="dxa"/>
            <w:right w:w="108" w:type="dxa"/>
          </w:tblCellMar>
        </w:tblPrEx>
        <w:trPr>
          <w:trHeight w:val="283" w:hRule="atLeast"/>
          <w:jc w:val="center"/>
        </w:trPr>
        <w:tc>
          <w:tcPr>
            <w:tcW w:w="7456" w:type="dxa"/>
            <w:gridSpan w:val="6"/>
            <w:tcBorders>
              <w:top w:val="single" w:color="auto" w:sz="4" w:space="0"/>
              <w:left w:val="single" w:color="auto" w:sz="4" w:space="0"/>
              <w:bottom w:val="single" w:color="auto" w:sz="4" w:space="0"/>
              <w:right w:val="single" w:color="000000" w:sz="4" w:space="0"/>
            </w:tcBorders>
            <w:noWrap w:val="0"/>
            <w:vAlign w:val="center"/>
          </w:tcPr>
          <w:p w14:paraId="072AB5C9">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5" w:type="dxa"/>
            <w:tcBorders>
              <w:top w:val="nil"/>
              <w:left w:val="nil"/>
              <w:bottom w:val="single" w:color="auto" w:sz="4" w:space="0"/>
              <w:right w:val="single" w:color="auto" w:sz="4" w:space="0"/>
            </w:tcBorders>
            <w:noWrap w:val="0"/>
            <w:vAlign w:val="center"/>
          </w:tcPr>
          <w:p w14:paraId="76584DA8">
            <w:pPr>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95" w:type="dxa"/>
            <w:tcBorders>
              <w:top w:val="nil"/>
              <w:left w:val="nil"/>
              <w:bottom w:val="single" w:color="auto" w:sz="4" w:space="0"/>
              <w:right w:val="single" w:color="auto" w:sz="4" w:space="0"/>
            </w:tcBorders>
            <w:noWrap w:val="0"/>
            <w:vAlign w:val="center"/>
          </w:tcPr>
          <w:p w14:paraId="6F2470DE">
            <w:pPr>
              <w:keepNext w:val="0"/>
              <w:keepLines w:val="0"/>
              <w:widowControl/>
              <w:suppressLineNumbers w:val="0"/>
              <w:spacing w:before="0" w:beforeAutospacing="0" w:after="0" w:afterAutospacing="0" w:line="240" w:lineRule="exact"/>
              <w:ind w:left="0" w:right="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98.74</w:t>
            </w:r>
          </w:p>
        </w:tc>
        <w:tc>
          <w:tcPr>
            <w:tcW w:w="1441" w:type="dxa"/>
            <w:tcBorders>
              <w:top w:val="nil"/>
              <w:left w:val="nil"/>
              <w:bottom w:val="single" w:color="auto" w:sz="4" w:space="0"/>
              <w:right w:val="single" w:color="auto" w:sz="4" w:space="0"/>
            </w:tcBorders>
            <w:noWrap w:val="0"/>
            <w:vAlign w:val="center"/>
          </w:tcPr>
          <w:p w14:paraId="11960EDD">
            <w:pPr>
              <w:keepNext w:val="0"/>
              <w:keepLines w:val="0"/>
              <w:widowControl/>
              <w:suppressLineNumbers w:val="0"/>
              <w:spacing w:before="0" w:beforeAutospacing="0" w:after="0" w:afterAutospacing="0" w:line="240" w:lineRule="exact"/>
              <w:ind w:left="0" w:right="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550D67F">
      <w:pPr>
        <w:rPr>
          <w:rFonts w:hint="default" w:ascii="Times New Roman" w:hAnsi="Times New Roman" w:eastAsia="仿宋_GB2312" w:cs="Times New Roman"/>
          <w:sz w:val="22"/>
          <w:szCs w:val="22"/>
          <w:highlight w:val="none"/>
        </w:rPr>
      </w:pPr>
    </w:p>
    <w:p w14:paraId="2A604B57">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14:paraId="4C94E70D">
      <w:pPr>
        <w:jc w:val="center"/>
        <w:rPr>
          <w:rFonts w:hint="default" w:ascii="Times New Roman" w:hAnsi="Times New Roman" w:eastAsia="方正小标宋_GBK" w:cs="Times New Roman"/>
          <w:sz w:val="52"/>
          <w:szCs w:val="52"/>
          <w:highlight w:val="none"/>
        </w:rPr>
      </w:pPr>
    </w:p>
    <w:p w14:paraId="31429B8B">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年度中共岳阳市君山区委巡察工作领导小组办公室整体支出绩效自评报告</w:t>
      </w:r>
    </w:p>
    <w:p w14:paraId="467E93A4">
      <w:pPr>
        <w:jc w:val="center"/>
        <w:rPr>
          <w:rFonts w:hint="default" w:ascii="Times New Roman" w:hAnsi="Times New Roman" w:eastAsia="方正小标宋_GBK" w:cs="Times New Roman"/>
          <w:b/>
          <w:sz w:val="52"/>
          <w:szCs w:val="52"/>
          <w:highlight w:val="none"/>
        </w:rPr>
      </w:pPr>
    </w:p>
    <w:p w14:paraId="2454331D">
      <w:pPr>
        <w:jc w:val="center"/>
        <w:rPr>
          <w:rFonts w:hint="default" w:ascii="Times New Roman" w:hAnsi="Times New Roman" w:eastAsia="楷体_GB2312" w:cs="Times New Roman"/>
          <w:b/>
          <w:sz w:val="32"/>
          <w:szCs w:val="32"/>
          <w:highlight w:val="none"/>
        </w:rPr>
      </w:pPr>
    </w:p>
    <w:p w14:paraId="5C8185DF">
      <w:pPr>
        <w:jc w:val="center"/>
        <w:rPr>
          <w:rFonts w:hint="default" w:ascii="Times New Roman" w:hAnsi="Times New Roman" w:eastAsia="楷体_GB2312" w:cs="Times New Roman"/>
          <w:b/>
          <w:sz w:val="32"/>
          <w:szCs w:val="32"/>
          <w:highlight w:val="none"/>
        </w:rPr>
      </w:pPr>
    </w:p>
    <w:p w14:paraId="19E3B072">
      <w:pPr>
        <w:jc w:val="center"/>
        <w:rPr>
          <w:rFonts w:hint="default" w:ascii="Times New Roman" w:hAnsi="Times New Roman" w:eastAsia="楷体_GB2312" w:cs="Times New Roman"/>
          <w:b/>
          <w:sz w:val="32"/>
          <w:szCs w:val="32"/>
          <w:highlight w:val="none"/>
        </w:rPr>
      </w:pPr>
    </w:p>
    <w:p w14:paraId="2750DA94">
      <w:pPr>
        <w:jc w:val="center"/>
        <w:rPr>
          <w:rFonts w:hint="default" w:ascii="Times New Roman" w:hAnsi="Times New Roman" w:eastAsia="楷体_GB2312" w:cs="Times New Roman"/>
          <w:b/>
          <w:sz w:val="32"/>
          <w:szCs w:val="32"/>
          <w:highlight w:val="none"/>
        </w:rPr>
      </w:pPr>
    </w:p>
    <w:p w14:paraId="2E218EB9">
      <w:pPr>
        <w:jc w:val="center"/>
        <w:rPr>
          <w:rFonts w:hint="default" w:ascii="Times New Roman" w:hAnsi="Times New Roman" w:eastAsia="楷体_GB2312" w:cs="Times New Roman"/>
          <w:b/>
          <w:sz w:val="32"/>
          <w:szCs w:val="32"/>
          <w:highlight w:val="none"/>
        </w:rPr>
      </w:pPr>
    </w:p>
    <w:p w14:paraId="7E417B30">
      <w:pPr>
        <w:jc w:val="center"/>
        <w:rPr>
          <w:rFonts w:hint="default" w:ascii="Times New Roman" w:hAnsi="Times New Roman" w:eastAsia="楷体_GB2312" w:cs="Times New Roman"/>
          <w:b/>
          <w:sz w:val="32"/>
          <w:szCs w:val="32"/>
          <w:highlight w:val="none"/>
        </w:rPr>
      </w:pPr>
    </w:p>
    <w:p w14:paraId="16F234EC">
      <w:pPr>
        <w:jc w:val="center"/>
        <w:rPr>
          <w:rFonts w:hint="default" w:ascii="Times New Roman" w:hAnsi="Times New Roman" w:eastAsia="黑体" w:cs="Times New Roman"/>
          <w:sz w:val="32"/>
          <w:szCs w:val="32"/>
          <w:highlight w:val="none"/>
        </w:rPr>
      </w:pPr>
    </w:p>
    <w:p w14:paraId="5BDDA47D">
      <w:pPr>
        <w:jc w:val="both"/>
        <w:rPr>
          <w:rFonts w:hint="default" w:ascii="Times New Roman" w:hAnsi="Times New Roman" w:eastAsia="黑体" w:cs="Times New Roman"/>
          <w:sz w:val="32"/>
          <w:szCs w:val="32"/>
          <w:highlight w:val="none"/>
        </w:rPr>
      </w:pPr>
    </w:p>
    <w:p w14:paraId="1615AF00">
      <w:pPr>
        <w:jc w:val="center"/>
        <w:rPr>
          <w:rFonts w:hint="default" w:ascii="Times New Roman" w:hAnsi="Times New Roman" w:eastAsia="黑体" w:cs="Times New Roman"/>
          <w:sz w:val="32"/>
          <w:szCs w:val="32"/>
          <w:highlight w:val="none"/>
        </w:rPr>
      </w:pPr>
    </w:p>
    <w:p w14:paraId="4577FC0B">
      <w:pPr>
        <w:jc w:val="center"/>
        <w:rPr>
          <w:rFonts w:hint="default" w:ascii="Times New Roman" w:hAnsi="Times New Roman" w:eastAsia="黑体" w:cs="Times New Roman"/>
          <w:sz w:val="32"/>
          <w:szCs w:val="32"/>
          <w:highlight w:val="none"/>
        </w:rPr>
      </w:pPr>
    </w:p>
    <w:p w14:paraId="0DBACB28">
      <w:pPr>
        <w:jc w:val="center"/>
        <w:rPr>
          <w:rFonts w:hint="default" w:ascii="Times New Roman" w:hAnsi="Times New Roman" w:eastAsia="黑体" w:cs="Times New Roman"/>
          <w:sz w:val="32"/>
          <w:szCs w:val="32"/>
          <w:highlight w:val="none"/>
        </w:rPr>
      </w:pPr>
    </w:p>
    <w:p w14:paraId="1D9A5D6B">
      <w:pPr>
        <w:jc w:val="center"/>
        <w:rPr>
          <w:rFonts w:hint="default" w:ascii="Times New Roman" w:hAnsi="Times New Roman" w:eastAsia="黑体" w:cs="Times New Roman"/>
          <w:sz w:val="32"/>
          <w:szCs w:val="32"/>
          <w:highlight w:val="none"/>
        </w:rPr>
      </w:pPr>
    </w:p>
    <w:p w14:paraId="6F6CA5F9">
      <w:pPr>
        <w:jc w:val="center"/>
        <w:rPr>
          <w:rFonts w:hint="default" w:ascii="Times New Roman" w:hAnsi="Times New Roman" w:eastAsia="黑体" w:cs="Times New Roman"/>
          <w:sz w:val="32"/>
          <w:szCs w:val="32"/>
          <w:highlight w:val="none"/>
        </w:rPr>
      </w:pPr>
    </w:p>
    <w:p w14:paraId="2C678145">
      <w:pPr>
        <w:spacing w:line="600" w:lineRule="exact"/>
        <w:jc w:val="center"/>
        <w:rPr>
          <w:rFonts w:hint="eastAsia" w:ascii="仿宋" w:hAnsi="仿宋" w:eastAsia="仿宋" w:cs="仿宋"/>
          <w:sz w:val="32"/>
          <w:szCs w:val="32"/>
          <w:highlight w:val="none"/>
          <w:u w:val="single"/>
        </w:rPr>
      </w:pPr>
      <w:r>
        <w:rPr>
          <w:rFonts w:hint="eastAsia" w:ascii="仿宋" w:hAnsi="仿宋" w:eastAsia="仿宋" w:cs="仿宋"/>
          <w:spacing w:val="-17"/>
          <w:sz w:val="32"/>
          <w:szCs w:val="32"/>
          <w:highlight w:val="none"/>
        </w:rPr>
        <w:t>部门（单位）名称：</w:t>
      </w:r>
      <w:r>
        <w:rPr>
          <w:rFonts w:hint="eastAsia" w:ascii="仿宋" w:hAnsi="仿宋" w:eastAsia="仿宋" w:cs="仿宋"/>
          <w:sz w:val="32"/>
          <w:szCs w:val="32"/>
          <w:highlight w:val="none"/>
          <w:u w:val="single"/>
        </w:rPr>
        <w:t>（盖章）</w:t>
      </w:r>
    </w:p>
    <w:p w14:paraId="36CDFDBE">
      <w:pPr>
        <w:spacing w:line="60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2024</w:t>
      </w:r>
      <w:r>
        <w:rPr>
          <w:rFonts w:hint="eastAsia" w:ascii="仿宋" w:hAnsi="仿宋" w:eastAsia="仿宋" w:cs="仿宋"/>
          <w:sz w:val="32"/>
          <w:szCs w:val="32"/>
          <w:highlight w:val="none"/>
        </w:rPr>
        <w:t>年</w:t>
      </w:r>
      <w:r>
        <w:rPr>
          <w:rFonts w:hint="eastAsia" w:eastAsia="仿宋" w:cs="仿宋"/>
          <w:sz w:val="32"/>
          <w:szCs w:val="32"/>
          <w:highlight w:val="none"/>
          <w:lang w:val="en-US" w:eastAsia="zh-CN"/>
        </w:rPr>
        <w:t>5</w:t>
      </w:r>
      <w:r>
        <w:rPr>
          <w:rFonts w:hint="eastAsia" w:ascii="仿宋" w:hAnsi="仿宋" w:eastAsia="仿宋" w:cs="仿宋"/>
          <w:sz w:val="32"/>
          <w:szCs w:val="32"/>
          <w:highlight w:val="none"/>
        </w:rPr>
        <w:t>月</w:t>
      </w:r>
      <w:r>
        <w:rPr>
          <w:rFonts w:hint="eastAsia" w:eastAsia="仿宋" w:cs="仿宋"/>
          <w:sz w:val="32"/>
          <w:szCs w:val="32"/>
          <w:highlight w:val="none"/>
          <w:lang w:val="en-US" w:eastAsia="zh-CN"/>
        </w:rPr>
        <w:t>26</w:t>
      </w:r>
      <w:r>
        <w:rPr>
          <w:rFonts w:hint="eastAsia" w:ascii="仿宋" w:hAnsi="仿宋" w:eastAsia="仿宋" w:cs="仿宋"/>
          <w:sz w:val="32"/>
          <w:szCs w:val="32"/>
          <w:highlight w:val="none"/>
        </w:rPr>
        <w:t>日</w:t>
      </w:r>
    </w:p>
    <w:p w14:paraId="427909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21E9A3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rPr>
      </w:pPr>
    </w:p>
    <w:p w14:paraId="3EEEF1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年度中共岳阳市君山区委巡察工作领导小组办公室整体支出绩效自评报告</w:t>
      </w:r>
    </w:p>
    <w:p w14:paraId="5F29B0F0">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000038C">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部门（单位）基本情况</w:t>
      </w:r>
    </w:p>
    <w:p w14:paraId="1745C068">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楷体" w:hAnsi="楷体" w:eastAsia="楷体" w:cs="楷体"/>
          <w:b/>
          <w:kern w:val="0"/>
          <w:sz w:val="32"/>
          <w:szCs w:val="32"/>
          <w:highlight w:val="none"/>
          <w:lang w:val="en-US" w:eastAsia="zh-CN" w:bidi="ar-SA"/>
        </w:rPr>
      </w:pPr>
      <w:r>
        <w:rPr>
          <w:rFonts w:hint="eastAsia" w:ascii="楷体" w:hAnsi="楷体" w:eastAsia="楷体" w:cs="楷体"/>
          <w:b/>
          <w:kern w:val="0"/>
          <w:sz w:val="32"/>
          <w:szCs w:val="32"/>
          <w:highlight w:val="none"/>
          <w:lang w:val="en-US" w:eastAsia="zh-CN" w:bidi="ar-SA"/>
        </w:rPr>
        <w:t>（一）单位基本情况</w:t>
      </w:r>
    </w:p>
    <w:p w14:paraId="2AB7BFE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中共岳阳市君山区委巡察工作领导小组办公室</w:t>
      </w:r>
      <w:r>
        <w:rPr>
          <w:rFonts w:hint="eastAsia" w:ascii="仿宋" w:hAnsi="仿宋" w:eastAsia="仿宋" w:cs="仿宋"/>
          <w:color w:val="000000"/>
          <w:sz w:val="32"/>
          <w:szCs w:val="32"/>
          <w:lang w:eastAsia="zh-CN"/>
        </w:rPr>
        <w:t>（以下简称</w:t>
      </w:r>
      <w:r>
        <w:rPr>
          <w:rFonts w:hint="eastAsia" w:ascii="仿宋" w:hAnsi="仿宋" w:eastAsia="仿宋" w:cs="仿宋"/>
          <w:color w:val="000000"/>
          <w:sz w:val="32"/>
          <w:szCs w:val="32"/>
        </w:rPr>
        <w:t>区委巡察办</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是协助区委履行管党治党主体责任的党委工作机关，发挥统筹协调、指导督导、服务保障作用。</w:t>
      </w:r>
    </w:p>
    <w:p w14:paraId="2BB733A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主要职责包括：向区委巡察工作领导小组、市委巡察工作领导小组办公室报告巡察工作情况，传达贯彻中央、省委、市委、区委的决策和部署；统筹、协调、指导区委巡察组开展工作；制定巡察工作标准，规范巡察工作流程，完善巡察工作评价机制；承担调查研究、制度建设、督促整改、服务保障等工作；对巡察发现的普遍性、规律性问题进行综合、分析和研究，形成专题报告，为区委决策服务；对区委和区委巡察工作领导小组决定的事项及巡察移交事项进行督办；配合有关部门对巡察工作人员进行培训、考核、监督和管理；受理干部群众对巡察工作人员的举报和反映，提出处理意见；负责巡察信息处理和对外宣传公开工作；配合上级巡视和巡察组开展工作，承担巡视巡察的协调联络、服务保障、整改落实、信息处理等职责。</w:t>
      </w:r>
    </w:p>
    <w:p w14:paraId="4BF6D778">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lang w:eastAsia="zh-CN"/>
        </w:rPr>
        <w:t>（二）机构设置与人员情况</w:t>
      </w:r>
    </w:p>
    <w:p w14:paraId="478E6CD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区委巡察办设置4个内设机构，分别为综合股、巡察股、督办股、巡察信息中心。</w:t>
      </w:r>
      <w:r>
        <w:rPr>
          <w:rFonts w:hint="eastAsia" w:ascii="仿宋" w:hAnsi="仿宋" w:eastAsia="仿宋" w:cs="仿宋"/>
          <w:color w:val="000000"/>
          <w:sz w:val="32"/>
          <w:szCs w:val="32"/>
          <w:lang w:eastAsia="zh-CN"/>
        </w:rPr>
        <w:t>人员编制</w:t>
      </w:r>
      <w:r>
        <w:rPr>
          <w:rFonts w:hint="eastAsia" w:ascii="仿宋" w:hAnsi="仿宋" w:eastAsia="仿宋" w:cs="仿宋"/>
          <w:color w:val="000000"/>
          <w:sz w:val="32"/>
          <w:szCs w:val="32"/>
          <w:lang w:val="en-US" w:eastAsia="zh-CN"/>
        </w:rPr>
        <w:t>12个，实有人数11人。</w:t>
      </w:r>
    </w:p>
    <w:p w14:paraId="7B9197FE">
      <w:pPr>
        <w:pStyle w:val="11"/>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二、一般公共预算支出情况</w:t>
      </w:r>
    </w:p>
    <w:p w14:paraId="45EAF93A">
      <w:pPr>
        <w:pStyle w:val="11"/>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sz w:val="32"/>
          <w:szCs w:val="32"/>
          <w:highlight w:val="none"/>
        </w:rPr>
      </w:pPr>
      <w:r>
        <w:rPr>
          <w:rFonts w:hint="eastAsia" w:ascii="楷体" w:hAnsi="楷体" w:eastAsia="楷体" w:cs="楷体"/>
          <w:b/>
          <w:sz w:val="32"/>
          <w:szCs w:val="32"/>
          <w:highlight w:val="none"/>
        </w:rPr>
        <w:t>（一）基本支出情况</w:t>
      </w:r>
    </w:p>
    <w:p w14:paraId="1850D26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2024年全年基本支出213.27万元，其中人员经费155.04万元，公用经费58.23万元。</w:t>
      </w:r>
    </w:p>
    <w:p w14:paraId="0186DD3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基本支出主要是指为保障单位机构正常运转、完成日常工作任务而发生的各项支出，包括用于基本工资、绩效工资、津贴补贴、社会保障缴费等人员经费，办公费、印刷费、差旅费、公务接待费、维修（护）费等日常公用经费。</w:t>
      </w:r>
    </w:p>
    <w:p w14:paraId="120B76E1">
      <w:pPr>
        <w:pStyle w:val="11"/>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sz w:val="32"/>
          <w:szCs w:val="32"/>
          <w:highlight w:val="none"/>
        </w:rPr>
      </w:pPr>
      <w:r>
        <w:rPr>
          <w:rFonts w:hint="eastAsia" w:ascii="楷体" w:hAnsi="楷体" w:eastAsia="楷体" w:cs="楷体"/>
          <w:b/>
          <w:sz w:val="32"/>
          <w:szCs w:val="32"/>
          <w:highlight w:val="none"/>
        </w:rPr>
        <w:t>（二）项目支出情况</w:t>
      </w:r>
    </w:p>
    <w:p w14:paraId="700425A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2024年全年项目支出48.42</w:t>
      </w:r>
      <w:r>
        <w:rPr>
          <w:rFonts w:hint="eastAsia" w:ascii="仿宋" w:hAnsi="仿宋" w:eastAsia="仿宋" w:cs="仿宋"/>
          <w:color w:val="auto"/>
          <w:sz w:val="32"/>
          <w:szCs w:val="32"/>
          <w:lang w:val="en-US" w:eastAsia="zh-CN"/>
        </w:rPr>
        <w:t>万元</w:t>
      </w:r>
      <w:r>
        <w:rPr>
          <w:rFonts w:hint="eastAsia" w:ascii="仿宋" w:hAnsi="仿宋" w:eastAsia="仿宋" w:cs="仿宋"/>
          <w:color w:val="000000"/>
          <w:sz w:val="32"/>
          <w:szCs w:val="32"/>
          <w:lang w:val="en-US" w:eastAsia="zh-CN"/>
        </w:rPr>
        <w:t>，主要是本部门为完成巡察工作任务而发生的其他运转类支出，包括巡察组办公费、巡察人员培训费、会议费、其他交通费等。</w:t>
      </w:r>
    </w:p>
    <w:p w14:paraId="2E51E847">
      <w:pPr>
        <w:pStyle w:val="11"/>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三、政府性基金预算支出情况</w:t>
      </w:r>
    </w:p>
    <w:p w14:paraId="057960A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无此项支出。</w:t>
      </w:r>
    </w:p>
    <w:p w14:paraId="35C3810F">
      <w:pPr>
        <w:pStyle w:val="1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国有资本经营预算支出情况</w:t>
      </w:r>
    </w:p>
    <w:p w14:paraId="2F1BE0A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无此项支出。</w:t>
      </w:r>
    </w:p>
    <w:p w14:paraId="46E8C526">
      <w:pPr>
        <w:pStyle w:val="11"/>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五、社会保险基金预算支出情况</w:t>
      </w:r>
    </w:p>
    <w:p w14:paraId="23CC801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无此项支出。</w:t>
      </w:r>
    </w:p>
    <w:p w14:paraId="2C90E00E">
      <w:pPr>
        <w:keepNext w:val="0"/>
        <w:keepLines w:val="0"/>
        <w:pageBreakBefore w:val="0"/>
        <w:kinsoku/>
        <w:wordWrap/>
        <w:overflowPunct/>
        <w:topLinePunct w:val="0"/>
        <w:autoSpaceDE/>
        <w:autoSpaceDN/>
        <w:bidi w:val="0"/>
        <w:adjustRightInd/>
        <w:snapToGrid/>
        <w:spacing w:before="157" w:beforeLines="50" w:after="157" w:afterLines="50"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六、部门整体支出绩效情况</w:t>
      </w:r>
    </w:p>
    <w:p w14:paraId="0CFDCB7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2024年，区委巡察办严格执行财务管理制度，认真履行各项工作职责，资金管理规范，政策执行有力，较好地完成了年度工作目标，有效发挥了财政资金的使用效率。单位行政运行稳定有序，部门整体支出绩效自评得分99分。</w:t>
      </w:r>
    </w:p>
    <w:p w14:paraId="7FFD82AD">
      <w:pPr>
        <w:pStyle w:val="11"/>
        <w:keepNext w:val="0"/>
        <w:keepLines w:val="0"/>
        <w:pageBreakBefore w:val="0"/>
        <w:numPr>
          <w:ilvl w:val="0"/>
          <w:numId w:val="0"/>
        </w:numPr>
        <w:kinsoku/>
        <w:wordWrap/>
        <w:overflowPunct/>
        <w:topLinePunct w:val="0"/>
        <w:autoSpaceDE/>
        <w:autoSpaceDN/>
        <w:bidi w:val="0"/>
        <w:spacing w:line="600" w:lineRule="exact"/>
        <w:ind w:left="640" w:leftChars="0"/>
        <w:jc w:val="left"/>
        <w:textAlignment w:val="auto"/>
        <w:rPr>
          <w:rFonts w:hint="eastAsia" w:ascii="楷体" w:hAnsi="楷体" w:eastAsia="楷体" w:cs="楷体"/>
          <w:b/>
          <w:sz w:val="32"/>
          <w:szCs w:val="32"/>
        </w:rPr>
      </w:pP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一</w:t>
      </w:r>
      <w:r>
        <w:rPr>
          <w:rFonts w:hint="eastAsia" w:ascii="楷体" w:hAnsi="楷体" w:eastAsia="楷体" w:cs="楷体"/>
          <w:b/>
          <w:sz w:val="32"/>
          <w:szCs w:val="32"/>
          <w:lang w:eastAsia="zh-CN"/>
        </w:rPr>
        <w:t>）</w:t>
      </w:r>
      <w:r>
        <w:rPr>
          <w:rFonts w:hint="eastAsia" w:ascii="楷体" w:hAnsi="楷体" w:eastAsia="楷体" w:cs="楷体"/>
          <w:b/>
          <w:sz w:val="32"/>
          <w:szCs w:val="32"/>
        </w:rPr>
        <w:t>部门整体支出情况分析</w:t>
      </w:r>
    </w:p>
    <w:p w14:paraId="7E8BE898">
      <w:pPr>
        <w:pStyle w:val="11"/>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2024年区委巡察办整体支出262.09万元，其中基本支出213.27万元，占总支出的81.37 %，人员支出155.04万元，占基本支出的72.7%，公用经费支出58.23万元，占基本支出的27.3%；项目支出48.82万元，占总支出的18.63%。</w:t>
      </w:r>
    </w:p>
    <w:p w14:paraId="442E2E73">
      <w:pPr>
        <w:pStyle w:val="11"/>
        <w:keepNext w:val="0"/>
        <w:keepLines w:val="0"/>
        <w:pageBreakBefore w:val="0"/>
        <w:numPr>
          <w:ilvl w:val="0"/>
          <w:numId w:val="0"/>
        </w:numPr>
        <w:kinsoku/>
        <w:wordWrap/>
        <w:overflowPunct/>
        <w:topLinePunct w:val="0"/>
        <w:autoSpaceDE/>
        <w:autoSpaceDN/>
        <w:bidi w:val="0"/>
        <w:spacing w:line="600" w:lineRule="exact"/>
        <w:ind w:left="640" w:leftChars="0"/>
        <w:jc w:val="left"/>
        <w:textAlignment w:val="auto"/>
        <w:rPr>
          <w:rFonts w:hint="eastAsia" w:ascii="楷体" w:hAnsi="楷体" w:eastAsia="楷体" w:cs="楷体"/>
          <w:b/>
          <w:sz w:val="32"/>
          <w:szCs w:val="32"/>
        </w:rPr>
      </w:pP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二</w:t>
      </w:r>
      <w:r>
        <w:rPr>
          <w:rFonts w:hint="eastAsia" w:ascii="楷体" w:hAnsi="楷体" w:eastAsia="楷体" w:cs="楷体"/>
          <w:b/>
          <w:sz w:val="32"/>
          <w:szCs w:val="32"/>
          <w:lang w:eastAsia="zh-CN"/>
        </w:rPr>
        <w:t>）</w:t>
      </w:r>
      <w:r>
        <w:rPr>
          <w:rFonts w:hint="eastAsia" w:ascii="楷体" w:hAnsi="楷体" w:eastAsia="楷体" w:cs="楷体"/>
          <w:b/>
          <w:sz w:val="32"/>
          <w:szCs w:val="32"/>
        </w:rPr>
        <w:t>预算财务管理情况分析</w:t>
      </w:r>
    </w:p>
    <w:p w14:paraId="7D38EF3C">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2024年，严格遵守财务管理制度，科学、合理编制预算，认真履行费用报销程序，切实加强经费支出的监督管理。在人员经费支出上，严格执行上级的各项制度；在公用经费使用上，严格执行预算；在“三公”经费开支上，厉行节约，从严控制。重大财务事项经由集体研究决策，资金使用没有截留、挪用、虚列支出、随意借用等情况。部门预决算信息按规定内容，在规定的时限内予以公开。基础数据信息和会计信息资料真实、完整、准确。</w:t>
      </w:r>
    </w:p>
    <w:p w14:paraId="7E94F694">
      <w:pPr>
        <w:pStyle w:val="11"/>
        <w:keepNext w:val="0"/>
        <w:keepLines w:val="0"/>
        <w:pageBreakBefore w:val="0"/>
        <w:numPr>
          <w:ilvl w:val="0"/>
          <w:numId w:val="0"/>
        </w:numPr>
        <w:kinsoku/>
        <w:wordWrap/>
        <w:overflowPunct/>
        <w:topLinePunct w:val="0"/>
        <w:autoSpaceDE/>
        <w:autoSpaceDN/>
        <w:bidi w:val="0"/>
        <w:spacing w:line="600" w:lineRule="exact"/>
        <w:ind w:left="640" w:leftChars="0"/>
        <w:jc w:val="left"/>
        <w:textAlignment w:val="auto"/>
        <w:rPr>
          <w:rFonts w:hint="eastAsia" w:ascii="楷体" w:hAnsi="楷体" w:eastAsia="楷体" w:cs="楷体"/>
          <w:b/>
          <w:sz w:val="32"/>
          <w:szCs w:val="32"/>
        </w:rPr>
      </w:pPr>
      <w:r>
        <w:rPr>
          <w:rFonts w:hint="eastAsia" w:ascii="楷体" w:hAnsi="楷体" w:eastAsia="楷体" w:cs="楷体"/>
          <w:b/>
          <w:sz w:val="32"/>
          <w:szCs w:val="32"/>
          <w:lang w:val="en-US" w:eastAsia="zh-CN"/>
        </w:rPr>
        <w:t>（三）</w:t>
      </w:r>
      <w:r>
        <w:rPr>
          <w:rFonts w:hint="eastAsia" w:ascii="楷体" w:hAnsi="楷体" w:eastAsia="楷体" w:cs="楷体"/>
          <w:b/>
          <w:sz w:val="32"/>
          <w:szCs w:val="32"/>
        </w:rPr>
        <w:t>固定资产管理情况分析</w:t>
      </w:r>
    </w:p>
    <w:p w14:paraId="282D1D8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按照</w:t>
      </w:r>
      <w:r>
        <w:rPr>
          <w:rFonts w:hint="eastAsia" w:eastAsia="仿宋" w:cs="仿宋"/>
          <w:sz w:val="32"/>
          <w:szCs w:val="32"/>
          <w:lang w:eastAsia="zh-CN"/>
        </w:rPr>
        <w:t>厉行节约、</w:t>
      </w:r>
      <w:r>
        <w:rPr>
          <w:rFonts w:hint="eastAsia" w:ascii="仿宋" w:hAnsi="仿宋" w:eastAsia="仿宋" w:cs="仿宋"/>
          <w:sz w:val="32"/>
          <w:szCs w:val="32"/>
        </w:rPr>
        <w:t>物尽其用的原则，区委巡察办资产管理采取统一建账，统一核算管理，对每件固定资产使用明确保管职责，闲置的资产，由办公室统一调整，合理流动，发挥其效益；至2024年12月，固定资产合计10.02万元，累计折旧1.59万元，账面净值8.43万元。</w:t>
      </w:r>
    </w:p>
    <w:p w14:paraId="11B30C89">
      <w:pPr>
        <w:pStyle w:val="11"/>
        <w:keepNext w:val="0"/>
        <w:keepLines w:val="0"/>
        <w:pageBreakBefore w:val="0"/>
        <w:numPr>
          <w:ilvl w:val="0"/>
          <w:numId w:val="0"/>
        </w:numPr>
        <w:kinsoku/>
        <w:wordWrap/>
        <w:overflowPunct/>
        <w:topLinePunct w:val="0"/>
        <w:autoSpaceDE/>
        <w:autoSpaceDN/>
        <w:bidi w:val="0"/>
        <w:spacing w:line="600" w:lineRule="exact"/>
        <w:ind w:left="640" w:leftChars="0"/>
        <w:jc w:val="left"/>
        <w:textAlignment w:val="auto"/>
        <w:rPr>
          <w:rFonts w:hint="eastAsia" w:ascii="楷体" w:hAnsi="楷体" w:eastAsia="楷体" w:cs="楷体"/>
          <w:b/>
          <w:sz w:val="32"/>
          <w:szCs w:val="32"/>
        </w:rPr>
      </w:pP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四</w:t>
      </w:r>
      <w:r>
        <w:rPr>
          <w:rFonts w:hint="eastAsia" w:ascii="楷体" w:hAnsi="楷体" w:eastAsia="楷体" w:cs="楷体"/>
          <w:b/>
          <w:sz w:val="32"/>
          <w:szCs w:val="32"/>
          <w:lang w:eastAsia="zh-CN"/>
        </w:rPr>
        <w:t>）</w:t>
      </w:r>
      <w:r>
        <w:rPr>
          <w:rFonts w:hint="eastAsia" w:ascii="楷体" w:hAnsi="楷体" w:eastAsia="楷体" w:cs="楷体"/>
          <w:b/>
          <w:sz w:val="32"/>
          <w:szCs w:val="32"/>
        </w:rPr>
        <w:t>履职产出效益分析</w:t>
      </w:r>
    </w:p>
    <w:p w14:paraId="7C7C66D3">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2024年以来，在区委和区委巡察工作领导小组的坚强领导下，区委巡察办坚持政治巡察定位，紧扣工作职责，加强政治监督，巡察利剑利器作用进一步显现。共组织开展2轮常规巡察，完成对政法领域、医疗卫生领域专项巡察，开展对中小学食堂、棚改领域、营商环境、群众身边腐败问题机动巡察，发现问题381个、线索67条，交办立行立改事项77件。配合区委办对全区巡视巡察反馈问题整改工作开展2轮“回头看”，推动整改各类问题509个，推动建章立制300余项。向有关职能部门制发巡察建议书12份，推动系统施治。</w:t>
      </w:r>
    </w:p>
    <w:p w14:paraId="362F287C">
      <w:pPr>
        <w:keepNext w:val="0"/>
        <w:keepLines w:val="0"/>
        <w:pageBreakBefore w:val="0"/>
        <w:kinsoku/>
        <w:wordWrap/>
        <w:overflowPunct/>
        <w:topLinePunct w:val="0"/>
        <w:autoSpaceDE/>
        <w:autoSpaceDN/>
        <w:bidi w:val="0"/>
        <w:adjustRightInd/>
        <w:snapToGrid/>
        <w:spacing w:before="157" w:beforeLines="50" w:after="157" w:afterLines="50" w:line="600" w:lineRule="exact"/>
        <w:ind w:left="640"/>
        <w:jc w:val="left"/>
        <w:textAlignment w:val="auto"/>
        <w:rPr>
          <w:rFonts w:hint="eastAsia" w:ascii="黑体" w:hAnsi="黑体" w:eastAsia="黑体" w:cs="黑体"/>
          <w:sz w:val="32"/>
          <w:szCs w:val="32"/>
        </w:rPr>
      </w:pPr>
      <w:r>
        <w:rPr>
          <w:rFonts w:hint="eastAsia" w:ascii="黑体" w:hAnsi="黑体" w:eastAsia="黑体" w:cs="黑体"/>
          <w:sz w:val="32"/>
          <w:szCs w:val="32"/>
        </w:rPr>
        <w:t>七、存在的问题及原因分析</w:t>
      </w:r>
    </w:p>
    <w:p w14:paraId="5713F296">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sz w:val="32"/>
          <w:szCs w:val="32"/>
        </w:rPr>
      </w:pPr>
      <w:r>
        <w:rPr>
          <w:rFonts w:hint="eastAsia" w:ascii="楷体" w:hAnsi="楷体" w:eastAsia="楷体" w:cs="楷体"/>
          <w:b/>
          <w:kern w:val="0"/>
          <w:sz w:val="32"/>
          <w:szCs w:val="32"/>
          <w:lang w:val="en-US" w:eastAsia="zh-CN" w:bidi="ar-SA"/>
        </w:rPr>
        <w:t>（一）预算精准性有待进一步提高。</w:t>
      </w:r>
      <w:r>
        <w:rPr>
          <w:rFonts w:hint="eastAsia" w:ascii="仿宋" w:hAnsi="仿宋" w:eastAsia="仿宋" w:cs="仿宋"/>
          <w:sz w:val="32"/>
          <w:szCs w:val="32"/>
        </w:rPr>
        <w:t>由于预算编制具有不可预见性，年初安排预算时，对各项公用支出的分配安排缺乏统一的硬性标准，导致部分资金使用时需要进行指标调剂。</w:t>
      </w:r>
    </w:p>
    <w:p w14:paraId="4D97EDE2">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sz w:val="32"/>
          <w:szCs w:val="32"/>
        </w:rPr>
      </w:pPr>
      <w:r>
        <w:rPr>
          <w:rFonts w:hint="eastAsia" w:ascii="楷体" w:hAnsi="楷体" w:eastAsia="楷体" w:cs="楷体"/>
          <w:b/>
          <w:kern w:val="0"/>
          <w:sz w:val="32"/>
          <w:szCs w:val="32"/>
          <w:lang w:val="en-US" w:eastAsia="zh-CN" w:bidi="ar-SA"/>
        </w:rPr>
        <w:t>（二）预算绩效管理的工作方式方法有待创新。</w:t>
      </w:r>
      <w:r>
        <w:rPr>
          <w:rFonts w:hint="eastAsia" w:ascii="仿宋" w:hAnsi="仿宋" w:eastAsia="仿宋" w:cs="仿宋"/>
          <w:sz w:val="32"/>
          <w:szCs w:val="32"/>
        </w:rPr>
        <w:t>预算绩效管理工作贯穿全年，与业务工作息息相关，由于对预算绩效管理的全面性和重要性缺乏深入的了解，统揽全局的意识有所欠缺，导致预算绩效管理工作在推动过程中能够很好地完成各项工作任务，但工作质量难以实现质的飞跃。</w:t>
      </w:r>
    </w:p>
    <w:p w14:paraId="24C48B85">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sz w:val="32"/>
          <w:szCs w:val="32"/>
        </w:rPr>
      </w:pPr>
      <w:r>
        <w:rPr>
          <w:rFonts w:hint="eastAsia" w:ascii="楷体" w:hAnsi="楷体" w:eastAsia="楷体" w:cs="楷体"/>
          <w:b/>
          <w:kern w:val="0"/>
          <w:sz w:val="32"/>
          <w:szCs w:val="32"/>
          <w:lang w:val="en-US" w:eastAsia="zh-CN" w:bidi="ar-SA"/>
        </w:rPr>
        <w:t>（三）财务业务水平有待进一步提高。</w:t>
      </w:r>
      <w:r>
        <w:rPr>
          <w:rFonts w:hint="eastAsia" w:ascii="仿宋" w:hAnsi="仿宋" w:eastAsia="仿宋" w:cs="仿宋"/>
          <w:sz w:val="32"/>
          <w:szCs w:val="32"/>
        </w:rPr>
        <w:t>由于财务工作内容变化较大，各项制度、政策更新快，</w:t>
      </w:r>
      <w:r>
        <w:rPr>
          <w:rFonts w:hint="eastAsia" w:eastAsia="仿宋" w:cs="仿宋"/>
          <w:sz w:val="32"/>
          <w:szCs w:val="32"/>
          <w:lang w:val="en-US" w:eastAsia="zh-CN"/>
        </w:rPr>
        <w:t>财务人员</w:t>
      </w:r>
      <w:r>
        <w:rPr>
          <w:rFonts w:hint="eastAsia" w:ascii="仿宋" w:hAnsi="仿宋" w:eastAsia="仿宋" w:cs="仿宋"/>
          <w:sz w:val="32"/>
          <w:szCs w:val="32"/>
        </w:rPr>
        <w:t>对各项新知识、新业务的学习时间、精力有限，导致财务预算绩效管理工作水平一般，在将预算绩效管理转化成工作成果，更好地指导各项工作的开展方面有所欠缺。</w:t>
      </w:r>
    </w:p>
    <w:p w14:paraId="628E8927">
      <w:pPr>
        <w:keepNext w:val="0"/>
        <w:keepLines w:val="0"/>
        <w:pageBreakBefore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八、下一步改进措施</w:t>
      </w:r>
    </w:p>
    <w:p w14:paraId="09746573">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sz w:val="32"/>
          <w:szCs w:val="32"/>
        </w:rPr>
      </w:pPr>
      <w:r>
        <w:rPr>
          <w:rFonts w:hint="eastAsia" w:ascii="楷体" w:hAnsi="楷体" w:eastAsia="楷体" w:cs="楷体"/>
          <w:b/>
          <w:kern w:val="0"/>
          <w:sz w:val="32"/>
          <w:szCs w:val="32"/>
          <w:lang w:val="en-US" w:eastAsia="zh-CN" w:bidi="ar-SA"/>
        </w:rPr>
        <w:t>（一）加强预算编制的前瞻性，提高预算编制水平。</w:t>
      </w:r>
      <w:r>
        <w:rPr>
          <w:rFonts w:hint="eastAsia" w:ascii="仿宋" w:hAnsi="仿宋" w:eastAsia="仿宋" w:cs="仿宋"/>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14:paraId="61188A51">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sz w:val="32"/>
          <w:szCs w:val="32"/>
        </w:rPr>
      </w:pPr>
      <w:r>
        <w:rPr>
          <w:rFonts w:hint="eastAsia" w:ascii="楷体" w:hAnsi="楷体" w:eastAsia="楷体" w:cs="楷体"/>
          <w:b/>
          <w:kern w:val="0"/>
          <w:sz w:val="32"/>
          <w:szCs w:val="32"/>
          <w:lang w:val="en-US" w:eastAsia="zh-CN" w:bidi="ar-SA"/>
        </w:rPr>
        <w:t>（二）牢固树立预算绩效管理贯穿全局的理念，进一步创新工作方式方法。</w:t>
      </w:r>
      <w:r>
        <w:rPr>
          <w:rFonts w:hint="eastAsia" w:ascii="仿宋" w:hAnsi="仿宋" w:eastAsia="仿宋" w:cs="仿宋"/>
          <w:sz w:val="32"/>
          <w:szCs w:val="32"/>
        </w:rPr>
        <w:t>切实做好预算绩效管理的上传下达工作，在单位形成将预算绩效管理意识融入到业务工作中的意识，多向优秀单位学习，拓宽工作思路，多想办法，想好办法，自觉提高预算绩效管理能力。</w:t>
      </w:r>
    </w:p>
    <w:p w14:paraId="587D2E1F">
      <w:pPr>
        <w:keepNext w:val="0"/>
        <w:keepLines w:val="0"/>
        <w:pageBreakBefore w:val="0"/>
        <w:kinsoku/>
        <w:wordWrap/>
        <w:overflowPunct/>
        <w:topLinePunct w:val="0"/>
        <w:autoSpaceDE/>
        <w:autoSpaceDN/>
        <w:bidi w:val="0"/>
        <w:spacing w:line="600" w:lineRule="exact"/>
        <w:ind w:firstLine="643" w:firstLineChars="200"/>
        <w:jc w:val="left"/>
        <w:textAlignment w:val="auto"/>
        <w:rPr>
          <w:rFonts w:hint="eastAsia" w:ascii="仿宋" w:hAnsi="仿宋" w:eastAsia="仿宋" w:cs="仿宋"/>
          <w:sz w:val="32"/>
          <w:szCs w:val="32"/>
        </w:rPr>
      </w:pPr>
      <w:r>
        <w:rPr>
          <w:rFonts w:hint="eastAsia" w:ascii="楷体" w:hAnsi="楷体" w:eastAsia="楷体" w:cs="楷体"/>
          <w:b/>
          <w:kern w:val="0"/>
          <w:sz w:val="32"/>
          <w:szCs w:val="32"/>
          <w:lang w:val="en-US" w:eastAsia="zh-CN" w:bidi="ar-SA"/>
        </w:rPr>
        <w:t>（三）加大财务知识学习力度，提高财务工作水平。</w:t>
      </w:r>
      <w:r>
        <w:rPr>
          <w:rFonts w:hint="eastAsia" w:ascii="仿宋" w:hAnsi="仿宋" w:eastAsia="仿宋" w:cs="仿宋"/>
          <w:sz w:val="32"/>
          <w:szCs w:val="32"/>
        </w:rPr>
        <w:t>树立常学常新的理念，及时更新知识体系，通过加大对预算绩效管理理论水平和实操的学习，提高将预算绩效管理转化成生产力的能力，更好地提高本单位的管理水平，促进各项事业更好发展。</w:t>
      </w:r>
    </w:p>
    <w:p w14:paraId="1346C18C">
      <w:pPr>
        <w:keepNext w:val="0"/>
        <w:keepLines w:val="0"/>
        <w:pageBreakBefore w:val="0"/>
        <w:kinsoku/>
        <w:wordWrap/>
        <w:overflowPunct/>
        <w:topLinePunct w:val="0"/>
        <w:autoSpaceDE/>
        <w:autoSpaceDN/>
        <w:bidi w:val="0"/>
        <w:adjustRightInd/>
        <w:snapToGrid/>
        <w:spacing w:before="157" w:beforeLines="50" w:after="157" w:afterLines="5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九、部门整体支出绩效自评结果拟应用和公开情况</w:t>
      </w:r>
    </w:p>
    <w:p w14:paraId="1544700A">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eastAsia="仿宋" w:cs="仿宋"/>
          <w:sz w:val="32"/>
          <w:szCs w:val="32"/>
          <w:lang w:eastAsia="zh-CN"/>
        </w:rPr>
      </w:pPr>
      <w:r>
        <w:rPr>
          <w:rFonts w:hint="eastAsia" w:eastAsia="仿宋" w:cs="仿宋"/>
          <w:sz w:val="32"/>
          <w:szCs w:val="32"/>
          <w:lang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07A19C6D">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eastAsia="仿宋" w:cs="仿宋"/>
          <w:sz w:val="32"/>
          <w:szCs w:val="32"/>
          <w:lang w:eastAsia="zh-CN"/>
        </w:rPr>
      </w:pPr>
      <w:r>
        <w:rPr>
          <w:rFonts w:hint="eastAsia" w:eastAsia="仿宋" w:cs="仿宋"/>
          <w:sz w:val="32"/>
          <w:szCs w:val="32"/>
          <w:lang w:eastAsia="zh-CN"/>
        </w:rPr>
        <w:t>对部门整体支出绩效自评在规定时间内公开至本单位门户网站，确保公开数据真实、完整、准确。</w:t>
      </w:r>
    </w:p>
    <w:p w14:paraId="0C75C48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其他需要说明的情况</w:t>
      </w:r>
    </w:p>
    <w:p w14:paraId="75E5F4F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w:t>
      </w:r>
    </w:p>
    <w:p w14:paraId="093C75B9">
      <w:pPr>
        <w:pStyle w:val="6"/>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82E84F-1EB8-4E18-89F9-47814BB4D0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581E070-0AFF-487E-B9EF-141BAE11CE2F}"/>
  </w:font>
  <w:font w:name="仿宋_GB2312">
    <w:panose1 w:val="02010609030101010101"/>
    <w:charset w:val="86"/>
    <w:family w:val="modern"/>
    <w:pitch w:val="default"/>
    <w:sig w:usb0="00000001" w:usb1="080E0000" w:usb2="00000000" w:usb3="00000000" w:csb0="00040000" w:csb1="00000000"/>
    <w:embedRegular r:id="rId3" w:fontKey="{8D5EFD3C-7343-483F-B9B2-9A3982A16C66}"/>
  </w:font>
  <w:font w:name="方正小标宋简体">
    <w:panose1 w:val="03000509000000000000"/>
    <w:charset w:val="86"/>
    <w:family w:val="auto"/>
    <w:pitch w:val="default"/>
    <w:sig w:usb0="00000001" w:usb1="080E0000" w:usb2="00000000" w:usb3="00000000" w:csb0="00040000" w:csb1="00000000"/>
    <w:embedRegular r:id="rId4" w:fontKey="{7B9156BF-58E2-476E-9EEA-EEE774869839}"/>
  </w:font>
  <w:font w:name="方正小标宋_GBK">
    <w:panose1 w:val="03000509000000000000"/>
    <w:charset w:val="86"/>
    <w:family w:val="script"/>
    <w:pitch w:val="default"/>
    <w:sig w:usb0="00000001" w:usb1="080E0000" w:usb2="00000000" w:usb3="00000000" w:csb0="00040000" w:csb1="00000000"/>
    <w:embedRegular r:id="rId5" w:fontKey="{752A9E11-C9EE-4229-8C54-3BAFB8AB1990}"/>
  </w:font>
  <w:font w:name="楷体_GB2312">
    <w:panose1 w:val="02010609030101010101"/>
    <w:charset w:val="86"/>
    <w:family w:val="modern"/>
    <w:pitch w:val="default"/>
    <w:sig w:usb0="00000001" w:usb1="080E0000" w:usb2="00000000" w:usb3="00000000" w:csb0="00040000" w:csb1="00000000"/>
    <w:embedRegular r:id="rId6" w:fontKey="{EC007597-1333-4DB2-B71A-F8C9D58DE7B1}"/>
  </w:font>
  <w:font w:name="楷体">
    <w:panose1 w:val="02010609060101010101"/>
    <w:charset w:val="86"/>
    <w:family w:val="modern"/>
    <w:pitch w:val="default"/>
    <w:sig w:usb0="800002BF" w:usb1="38CF7CFA" w:usb2="00000016" w:usb3="00000000" w:csb0="00040001" w:csb1="00000000"/>
    <w:embedRegular r:id="rId7" w:fontKey="{8832D0B6-C4CF-45D6-984D-975B4E74DD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jFlM2Q0NzY0NDA1MTMyMjUxYzhmNTQxOTc5NzQifQ=="/>
  </w:docVars>
  <w:rsids>
    <w:rsidRoot w:val="59886344"/>
    <w:rsid w:val="011E3D92"/>
    <w:rsid w:val="033F5AB5"/>
    <w:rsid w:val="05177476"/>
    <w:rsid w:val="054A01CA"/>
    <w:rsid w:val="067B71CC"/>
    <w:rsid w:val="09067F2D"/>
    <w:rsid w:val="09385FBC"/>
    <w:rsid w:val="0A546A76"/>
    <w:rsid w:val="0AD81455"/>
    <w:rsid w:val="0AD95698"/>
    <w:rsid w:val="12117034"/>
    <w:rsid w:val="130F3E82"/>
    <w:rsid w:val="1A073B05"/>
    <w:rsid w:val="1A651A46"/>
    <w:rsid w:val="1AD729B2"/>
    <w:rsid w:val="1D954F84"/>
    <w:rsid w:val="1DB55626"/>
    <w:rsid w:val="1E054F96"/>
    <w:rsid w:val="1EFC3774"/>
    <w:rsid w:val="24EA2059"/>
    <w:rsid w:val="25016541"/>
    <w:rsid w:val="25E847EB"/>
    <w:rsid w:val="26F95304"/>
    <w:rsid w:val="28DB23E5"/>
    <w:rsid w:val="2A0A3B7B"/>
    <w:rsid w:val="2A5769BB"/>
    <w:rsid w:val="2B4D50F0"/>
    <w:rsid w:val="2D1012E8"/>
    <w:rsid w:val="31244B45"/>
    <w:rsid w:val="31BE28A4"/>
    <w:rsid w:val="31C65DF6"/>
    <w:rsid w:val="31DE4CF4"/>
    <w:rsid w:val="33955886"/>
    <w:rsid w:val="34190265"/>
    <w:rsid w:val="359F29EC"/>
    <w:rsid w:val="388859B9"/>
    <w:rsid w:val="3901312E"/>
    <w:rsid w:val="3B5322AF"/>
    <w:rsid w:val="3C862210"/>
    <w:rsid w:val="3E921340"/>
    <w:rsid w:val="3F201D47"/>
    <w:rsid w:val="43313A2E"/>
    <w:rsid w:val="44216737"/>
    <w:rsid w:val="446F7A2D"/>
    <w:rsid w:val="450D1720"/>
    <w:rsid w:val="45611A6C"/>
    <w:rsid w:val="48AB3B78"/>
    <w:rsid w:val="48F54968"/>
    <w:rsid w:val="4B3F0159"/>
    <w:rsid w:val="4B8C2BFF"/>
    <w:rsid w:val="4BA85902"/>
    <w:rsid w:val="4F8016F7"/>
    <w:rsid w:val="51705511"/>
    <w:rsid w:val="520E6AD8"/>
    <w:rsid w:val="526130AB"/>
    <w:rsid w:val="52862F2A"/>
    <w:rsid w:val="53373E0C"/>
    <w:rsid w:val="53EE6BC1"/>
    <w:rsid w:val="5488491F"/>
    <w:rsid w:val="549E2395"/>
    <w:rsid w:val="57D85BBE"/>
    <w:rsid w:val="585A65D3"/>
    <w:rsid w:val="58D13B17"/>
    <w:rsid w:val="58DD0FB2"/>
    <w:rsid w:val="59886344"/>
    <w:rsid w:val="5A6F20DD"/>
    <w:rsid w:val="5E014FF7"/>
    <w:rsid w:val="60E76E71"/>
    <w:rsid w:val="61C15914"/>
    <w:rsid w:val="62521BDF"/>
    <w:rsid w:val="65295CAB"/>
    <w:rsid w:val="6531185E"/>
    <w:rsid w:val="65A672FB"/>
    <w:rsid w:val="65C24A82"/>
    <w:rsid w:val="66BB6DD6"/>
    <w:rsid w:val="67E61C31"/>
    <w:rsid w:val="68CD4B9F"/>
    <w:rsid w:val="69D837FB"/>
    <w:rsid w:val="6AC10733"/>
    <w:rsid w:val="6B250CC2"/>
    <w:rsid w:val="6B99345E"/>
    <w:rsid w:val="6C44786E"/>
    <w:rsid w:val="6E072310"/>
    <w:rsid w:val="6E58474D"/>
    <w:rsid w:val="70B96C2C"/>
    <w:rsid w:val="72606A84"/>
    <w:rsid w:val="735F0AE9"/>
    <w:rsid w:val="74373814"/>
    <w:rsid w:val="77057BFA"/>
    <w:rsid w:val="7A232871"/>
    <w:rsid w:val="7B89704B"/>
    <w:rsid w:val="7BE61DA8"/>
    <w:rsid w:val="7C5A0B3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customStyle="1" w:styleId="4">
    <w:name w:val="正文首行缩进1"/>
    <w:basedOn w:val="1"/>
    <w:qFormat/>
    <w:uiPriority w:val="0"/>
    <w:pPr>
      <w:spacing w:after="120"/>
      <w:ind w:firstLine="420" w:firstLineChars="100"/>
    </w:pPr>
    <w:rPr>
      <w:rFonts w:ascii="Times New Roman" w:hAnsi="Times New Roman" w:eastAsia="宋体" w:cs="Times New Roman"/>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3"/>
    <w:qFormat/>
    <w:uiPriority w:val="0"/>
    <w:pPr>
      <w:adjustRightInd w:val="0"/>
      <w:snapToGrid w:val="0"/>
      <w:spacing w:after="0" w:line="360" w:lineRule="auto"/>
      <w:ind w:firstLine="420" w:firstLineChars="100"/>
    </w:pPr>
    <w:rPr>
      <w:rFonts w:ascii="Times New Roman" w:hAnsi="Times New Roman" w:eastAsia="宋体" w:cs="Times New Roman"/>
      <w:sz w:val="28"/>
      <w:szCs w:val="20"/>
    </w:rPr>
  </w:style>
  <w:style w:type="paragraph" w:customStyle="1" w:styleId="9">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character" w:customStyle="1" w:styleId="12">
    <w:name w:val="10"/>
    <w:basedOn w:val="8"/>
    <w:qFormat/>
    <w:uiPriority w:val="0"/>
    <w:rPr>
      <w:rFonts w:hint="default" w:ascii="Times New Roman" w:hAnsi="Times New Roman" w:cs="Times New Roman"/>
    </w:rPr>
  </w:style>
  <w:style w:type="paragraph" w:customStyle="1" w:styleId="13">
    <w:name w:val="BodyText"/>
    <w:basedOn w:val="1"/>
    <w:next w:val="14"/>
    <w:qFormat/>
    <w:uiPriority w:val="0"/>
    <w:pPr>
      <w:textAlignment w:val="baseline"/>
    </w:pPr>
    <w:rPr>
      <w:rFonts w:ascii="仿宋_GB2312" w:hAnsi="仿宋_GB2312" w:eastAsia="仿宋_GB2312"/>
      <w:sz w:val="32"/>
      <w:szCs w:val="32"/>
      <w:lang w:val="zh-CN" w:bidi="zh-CN"/>
    </w:rPr>
  </w:style>
  <w:style w:type="paragraph" w:customStyle="1" w:styleId="14">
    <w:name w:val="BodyText1I"/>
    <w:basedOn w:val="13"/>
    <w:qFormat/>
    <w:uiPriority w:val="0"/>
    <w:pPr>
      <w:ind w:firstLine="420" w:firstLineChars="100"/>
      <w:textAlignment w:val="baseline"/>
    </w:pPr>
    <w:rPr>
      <w:rFonts w:ascii="仿宋_GB2312" w:hAnsi="仿宋_GB2312" w:eastAsia="仿宋_GB2312" w:cs="宋体"/>
      <w:sz w:val="32"/>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3940</Words>
  <Characters>4283</Characters>
  <Lines>0</Lines>
  <Paragraphs>0</Paragraphs>
  <TotalTime>11</TotalTime>
  <ScaleCrop>false</ScaleCrop>
  <LinksUpToDate>false</LinksUpToDate>
  <CharactersWithSpaces>4745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橙子</cp:lastModifiedBy>
  <cp:lastPrinted>2024-07-05T07:15:00Z</cp:lastPrinted>
  <dcterms:modified xsi:type="dcterms:W3CDTF">2025-06-03T10:59:27Z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EDD1CC9CA34D48A49ECE37BFCBC2788E_13</vt:lpwstr>
  </property>
  <property fmtid="{D5CDD505-2E9C-101B-9397-08002B2CF9AE}" pid="4" name="KSOTemplateDocerSaveRecord">
    <vt:lpwstr>eyJoZGlkIjoiZjJiNzkyZGJmMGZhMzQ0MWJlOTFkM2JlNDk5YmFiNDgiLCJ1c2VySWQiOiIxOTA0NjM1NzAifQ==</vt:lpwstr>
  </property>
</Properties>
</file>