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object>
          <v:shape id="_x0000_i1025" o:spt="75" type="#_x0000_t75" style="height:631.5pt;width:459pt;" o:ole="t" filled="f" o:preferrelative="t" stroked="f" coordsize="21600,21600">
            <v:path/>
            <v:fill on="f" focussize="0,0"/>
            <v:stroke on="f" joinstyle="miter"/>
            <v:imagedata r:id="rId5" o:title=""/>
            <o:lock v:ext="edit" aspectratio="t"/>
            <w10:wrap type="none"/>
            <w10:anchorlock/>
          </v:shape>
          <o:OLEObject Type="Embed" ProgID="AcroExch.Document.7" ShapeID="_x0000_i1025" DrawAspect="Content" ObjectID="_1468075725" r:id="rId4">
            <o:LockedField>false</o:LockedField>
          </o:OLEObject>
        </w:object>
      </w:r>
      <w:bookmarkStart w:id="0" w:name="_GoBack"/>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2024年度中共岳阳市君山区委办公室整体支出绩效自评报告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w:t>
      </w:r>
      <w:r>
        <w:rPr>
          <w:rFonts w:hint="eastAsia" w:ascii="Times New Roman" w:hAnsi="Times New Roman" w:eastAsia="黑体"/>
          <w:sz w:val="32"/>
          <w:szCs w:val="32"/>
        </w:rPr>
        <w:t>（单位）</w:t>
      </w:r>
      <w:r>
        <w:rPr>
          <w:rFonts w:ascii="Times New Roman" w:hAnsi="Times New Roman" w:eastAsia="黑体"/>
          <w:sz w:val="32"/>
          <w:szCs w:val="32"/>
        </w:rPr>
        <w:t>基本情况</w:t>
      </w:r>
    </w:p>
    <w:p>
      <w:pPr>
        <w:spacing w:line="640" w:lineRule="exact"/>
        <w:rPr>
          <w:rFonts w:ascii="Times New Roman" w:hAnsi="Times New Roman" w:eastAsia="楷体_GB2312"/>
          <w:b/>
          <w:sz w:val="32"/>
          <w:szCs w:val="32"/>
        </w:rPr>
      </w:pPr>
      <w:r>
        <w:rPr>
          <w:rFonts w:hint="eastAsia" w:ascii="Times New Roman" w:hAnsi="Times New Roman" w:eastAsia="黑体"/>
          <w:sz w:val="32"/>
          <w:szCs w:val="32"/>
        </w:rPr>
        <w:t>　</w:t>
      </w:r>
      <w:r>
        <w:rPr>
          <w:rFonts w:hint="eastAsia" w:ascii="Times New Roman" w:hAnsi="Times New Roman" w:eastAsia="楷体_GB2312"/>
          <w:b/>
          <w:sz w:val="32"/>
          <w:szCs w:val="32"/>
        </w:rPr>
        <w:t>（一）单位基本情况</w:t>
      </w:r>
    </w:p>
    <w:p>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中共岳阳市君山区委办公室</w:t>
      </w:r>
      <w:r>
        <w:rPr>
          <w:rFonts w:hint="eastAsia" w:ascii="仿宋_GB2312" w:hAnsi="仿宋_GB2312" w:eastAsia="仿宋_GB2312" w:cs="仿宋_GB2312"/>
          <w:kern w:val="2"/>
          <w:sz w:val="32"/>
          <w:szCs w:val="32"/>
        </w:rPr>
        <w:t>（以下简称区委办）是</w:t>
      </w:r>
      <w:r>
        <w:rPr>
          <w:rFonts w:ascii="Times New Roman" w:hAnsi="Times New Roman" w:eastAsia="仿宋_GB2312"/>
          <w:color w:val="000000"/>
          <w:sz w:val="32"/>
          <w:szCs w:val="32"/>
        </w:rPr>
        <w:t>区委</w:t>
      </w:r>
      <w:bookmarkEnd w:id="0"/>
      <w:r>
        <w:rPr>
          <w:rFonts w:ascii="Times New Roman" w:hAnsi="Times New Roman" w:eastAsia="仿宋_GB2312"/>
          <w:color w:val="000000"/>
          <w:sz w:val="32"/>
          <w:szCs w:val="32"/>
        </w:rPr>
        <w:t>的办事机构，是协助区委领导同志处理区委日常工作的机构，</w:t>
      </w:r>
      <w:r>
        <w:rPr>
          <w:rFonts w:hint="eastAsia" w:ascii="Times New Roman" w:hAnsi="Times New Roman" w:eastAsia="仿宋_GB2312"/>
          <w:color w:val="000000"/>
          <w:sz w:val="32"/>
          <w:szCs w:val="32"/>
        </w:rPr>
        <w:t>其职能职责为</w:t>
      </w:r>
      <w:r>
        <w:rPr>
          <w:rFonts w:ascii="Times New Roman" w:hAnsi="Times New Roman" w:eastAsia="仿宋_GB2312"/>
          <w:color w:val="000000"/>
          <w:sz w:val="32"/>
          <w:szCs w:val="32"/>
        </w:rPr>
        <w:t>：</w:t>
      </w:r>
    </w:p>
    <w:p>
      <w:pPr>
        <w:rPr>
          <w:rFonts w:ascii="仿宋_GB2312" w:hAnsi="仿宋_GB2312" w:eastAsia="仿宋_GB2312" w:cs="仿宋_GB2312"/>
          <w:kern w:val="2"/>
          <w:sz w:val="32"/>
          <w:szCs w:val="32"/>
        </w:rPr>
      </w:pPr>
      <w:r>
        <w:rPr>
          <w:rFonts w:hint="eastAsia" w:ascii="Times New Roman" w:hAnsi="Times New Roman" w:eastAsia="仿宋_GB2312"/>
          <w:color w:val="000000"/>
          <w:szCs w:val="32"/>
        </w:rPr>
        <w:t>　</w:t>
      </w:r>
      <w:r>
        <w:rPr>
          <w:rFonts w:hint="eastAsia"/>
        </w:rPr>
        <w:t>　</w:t>
      </w:r>
      <w:r>
        <w:rPr>
          <w:rFonts w:hint="eastAsia" w:ascii="仿宋_GB2312" w:hAnsi="仿宋_GB2312" w:eastAsia="仿宋_GB2312" w:cs="仿宋_GB2312"/>
          <w:kern w:val="2"/>
          <w:sz w:val="32"/>
          <w:szCs w:val="32"/>
        </w:rPr>
        <w:t>1、</w:t>
      </w:r>
      <w:r>
        <w:rPr>
          <w:rFonts w:ascii="仿宋_GB2312" w:hAnsi="仿宋_GB2312" w:eastAsia="仿宋_GB2312" w:cs="仿宋_GB2312"/>
          <w:kern w:val="2"/>
          <w:sz w:val="32"/>
          <w:szCs w:val="32"/>
        </w:rPr>
        <w:t>负责区委日常文书的处理；围绕中央、省委、</w:t>
      </w:r>
      <w:r>
        <w:rPr>
          <w:rFonts w:hint="eastAsia" w:ascii="仿宋_GB2312" w:hAnsi="仿宋_GB2312" w:eastAsia="仿宋_GB2312" w:cs="仿宋_GB2312"/>
          <w:kern w:val="2"/>
          <w:sz w:val="32"/>
          <w:szCs w:val="32"/>
        </w:rPr>
        <w:t>市</w:t>
      </w:r>
    </w:p>
    <w:p>
      <w:pPr>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委、区委总体工作部署收集信息、反映动态、综合调研；参与起草区委领导同志工作报告、讲话文稿；负责区委文件的起草、校核、把关及规范性文件的审核、备案、清理；负责中央和省、市、区委重大方针政策及重要工作部署的贯彻落实和督促检查；负责中央、省、市、区委及其领导同志重要批示的传达、催办、落实；负责区人大常委会、区政府、区政协的联络协调工作；负责区委重要会议的事务工作和区委领导同志参加重大活动的组织安排，负责全区重大会议活动的统筹协调工作；承担区委领导同志的联络服务工作。</w:t>
      </w:r>
    </w:p>
    <w:p>
      <w:pPr>
        <w:rPr>
          <w:rFonts w:ascii="仿宋_GB2312" w:hAnsi="仿宋_GB2312" w:eastAsia="仿宋_GB2312" w:cs="仿宋_GB2312"/>
          <w:kern w:val="2"/>
          <w:sz w:val="32"/>
          <w:szCs w:val="32"/>
        </w:rPr>
      </w:pPr>
      <w:r>
        <w:rPr>
          <w:rFonts w:ascii="仿宋_GB2312" w:hAnsi="仿宋_GB2312" w:eastAsia="仿宋_GB2312" w:cs="仿宋_GB2312"/>
          <w:kern w:val="2"/>
          <w:sz w:val="32"/>
          <w:szCs w:val="32"/>
        </w:rPr>
        <w:t>　</w:t>
      </w: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2、负责以区委名义向上级党组织请示报告工作的归口、把关工作；负责统筹、指导、督促全区党组织重大事项报告工作。</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3、负责全区党政系统密码通信和密码管理；负责全区电子政务内网、党政专用通信网规划、建设和管理；负责全区电子文件管理工作，协同做好党政机关电子公文系统安全可靠应用推进、区直单位信息化建设项目前置审查工作。</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4、负责上级党委领导来区考察期间的接待工作。</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5、负责区委全面深化改革委员会的日常工作；负责组织开展全区全面深化改革重大问题的政策研究，统筹协调有关方面提出改革方案和措施，协调督促有关方面落实委员会决定事项、工作部署和要求；负责向市委改革办的情况汇报、具体事项请示、资料报送等工作联系。</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6、负责区委财经委员会的日常工作；负责围绕全区经济社会发展的重大问题，组织开展调查研究，分析研判全区经济社会发展形势；负责督导检查全区关于区委财经委员会决策部署落实情况；负责拟订财经工作相关文件和工作规划。</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7、负责区委外事工作委员会的日常工作；贯彻执行党和国家外事和港澳工作方针、政策、法规，统筹协调重要外宾、港澳同胞的来访接待；办理区内公职人员因公出（入）境手续，负责出国（境）人员外事纪律教育，掌握出访团组（人员）在外工作活动情况。</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8、负责贯彻执行党和国家的对台方针政策和各项涉台法律、法规；组织指导管理协调全区对台工作，检查了解各单位贯彻执行党和国家的对台方针政策的落实情况；做好对台宣传教育工作。</w:t>
      </w:r>
    </w:p>
    <w:p>
      <w:pP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ascii="仿宋_GB2312" w:hAnsi="仿宋_GB2312" w:eastAsia="仿宋_GB2312" w:cs="仿宋_GB2312"/>
          <w:kern w:val="2"/>
          <w:sz w:val="32"/>
          <w:szCs w:val="32"/>
        </w:rPr>
        <w:t>9、负责全区档案事业的发展规划、组织协调，全区档案工作的监督和指导，全区档案法规的宣传教育以及依法查处档案违法行为。</w:t>
      </w:r>
    </w:p>
    <w:p>
      <w:pPr>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10、负责区委办公室系统的信访维稳和安全生产工作；</w:t>
      </w:r>
      <w:r>
        <w:rPr>
          <w:rFonts w:hint="eastAsia" w:ascii="仿宋_GB2312" w:hAnsi="仿宋_GB2312" w:eastAsia="仿宋_GB2312" w:cs="仿宋_GB2312"/>
          <w:kern w:val="2"/>
          <w:sz w:val="32"/>
          <w:szCs w:val="32"/>
        </w:rPr>
        <w:t>　　</w:t>
      </w:r>
    </w:p>
    <w:p>
      <w:pPr>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w:t>
      </w:r>
      <w:r>
        <w:rPr>
          <w:rFonts w:ascii="仿宋_GB2312" w:hAnsi="仿宋_GB2312" w:eastAsia="仿宋_GB2312" w:cs="仿宋_GB2312"/>
          <w:kern w:val="2"/>
          <w:sz w:val="32"/>
          <w:szCs w:val="32"/>
        </w:rPr>
        <w:t>完成区委交办的其他工作。</w:t>
      </w:r>
    </w:p>
    <w:p>
      <w:pPr>
        <w:pStyle w:val="13"/>
        <w:widowControl/>
        <w:spacing w:line="640" w:lineRule="exact"/>
        <w:ind w:firstLine="640" w:firstLineChars="0"/>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pPr>
        <w:pStyle w:val="13"/>
        <w:widowControl/>
        <w:spacing w:line="640" w:lineRule="exact"/>
        <w:ind w:firstLine="640" w:firstLineChars="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委办内设机构13个，分别是秘书室、总值班室、法规室（加挂区委法规室牌子）、综调信息室、督查室（对外称区委督查室）、机要密码室保密室、改革指导协调室、外事管理和港澳事务室、台湾事务管理室、财经室、档案宣传教育和业务指导室、政工行财室。正科级财政全额拨款单位1个，为君山区委政策研究中心。</w:t>
      </w:r>
    </w:p>
    <w:p>
      <w:pPr>
        <w:pStyle w:val="13"/>
        <w:widowControl/>
        <w:spacing w:line="640" w:lineRule="exact"/>
        <w:ind w:firstLine="640" w:firstLineChars="0"/>
        <w:rPr>
          <w:rFonts w:ascii="仿宋_GB2312" w:hAnsi="仿宋_GB2312" w:eastAsia="仿宋_GB2312" w:cs="仿宋_GB2312"/>
          <w:kern w:val="2"/>
          <w:sz w:val="32"/>
          <w:szCs w:val="32"/>
        </w:rPr>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年末</w:t>
      </w:r>
      <w:r>
        <w:rPr>
          <w:rFonts w:hint="eastAsia" w:ascii="Times New Roman" w:hAnsi="Times New Roman" w:eastAsia="仿宋_GB2312"/>
          <w:color w:val="000000"/>
          <w:sz w:val="32"/>
          <w:szCs w:val="32"/>
        </w:rPr>
        <w:t>共</w:t>
      </w:r>
      <w:r>
        <w:rPr>
          <w:rFonts w:hint="eastAsia" w:ascii="仿宋_GB2312" w:hAnsi="仿宋_GB2312" w:eastAsia="仿宋_GB2312" w:cs="仿宋_GB2312"/>
          <w:kern w:val="2"/>
          <w:sz w:val="32"/>
          <w:szCs w:val="32"/>
        </w:rPr>
        <w:t>有人数54人，其中：在职22人，离退休32人。</w:t>
      </w:r>
    </w:p>
    <w:p>
      <w:pPr>
        <w:pStyle w:val="13"/>
        <w:widowControl/>
        <w:numPr>
          <w:ilvl w:val="0"/>
          <w:numId w:val="2"/>
        </w:numPr>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单位绩效目标</w:t>
      </w:r>
    </w:p>
    <w:p>
      <w:pPr>
        <w:pStyle w:val="7"/>
        <w:widowControl/>
        <w:spacing w:before="0" w:beforeAutospacing="0" w:after="0" w:afterAutospacing="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整体支出绩效目标：积极推行预算绩效管理，强化对资金使用情况的预算约束和监督，围绕部门职责，在服务大局上参谋辅政，在牵头抓总上统筹协调，在推动落实上督促检查，在日常运转上服务保障，全力保障党委决策部署落地见效，提高财政资金使用绩效，促进管理效能提升。　</w:t>
      </w:r>
    </w:p>
    <w:p>
      <w:pPr>
        <w:pStyle w:val="7"/>
        <w:widowControl/>
        <w:spacing w:before="0" w:beforeAutospacing="0" w:after="0" w:afterAutospacing="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项目支出绩效目标：推动区委决策落地落实，提高为民服务水平；牵头开展全区春节等重大节日慰问走访；牵头开展改革类工作专项督查；牵头召开区委全面深化改革各项会议等相关工作。</w:t>
      </w:r>
    </w:p>
    <w:p>
      <w:pPr>
        <w:pStyle w:val="13"/>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3"/>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kern w:val="2"/>
          <w:sz w:val="32"/>
          <w:szCs w:val="32"/>
        </w:rPr>
        <w:t>2024年</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预算资金900.2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662.4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项目支出237.8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。全年实际支出858.98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621.18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项目支出237.8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。预算执行率100%。</w:t>
      </w:r>
    </w:p>
    <w:p>
      <w:pPr>
        <w:pStyle w:val="13"/>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13"/>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区委办2024年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621.18</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383.24</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237.94</w:t>
      </w:r>
      <w:r>
        <w:rPr>
          <w:rFonts w:ascii="仿宋_GB2312" w:hAnsi="仿宋_GB2312" w:eastAsia="仿宋_GB2312" w:cs="仿宋_GB2312"/>
          <w:kern w:val="2"/>
          <w:sz w:val="32"/>
          <w:szCs w:val="32"/>
        </w:rPr>
        <w:t>万元。</w:t>
      </w:r>
    </w:p>
    <w:p>
      <w:pPr>
        <w:pStyle w:val="13"/>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3"/>
        <w:widowControl/>
        <w:numPr>
          <w:ilvl w:val="0"/>
          <w:numId w:val="3"/>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13"/>
        <w:widowControl/>
        <w:spacing w:line="640" w:lineRule="exact"/>
        <w:ind w:firstLine="0" w:firstLineChars="0"/>
        <w:rPr>
          <w:rFonts w:ascii="Times New Roman" w:hAnsi="Times New Roman" w:eastAsia="楷体_GB2312"/>
          <w:b/>
          <w:sz w:val="32"/>
          <w:szCs w:val="32"/>
          <w:highlight w:val="yellow"/>
        </w:rPr>
      </w:pPr>
      <w:r>
        <w:rPr>
          <w:rFonts w:hint="eastAsia" w:ascii="Times New Roman" w:hAnsi="Times New Roman" w:eastAsia="楷体_GB2312"/>
          <w:b/>
          <w:sz w:val="32"/>
          <w:szCs w:val="32"/>
        </w:rPr>
        <w:t>　</w:t>
      </w:r>
      <w:r>
        <w:rPr>
          <w:rFonts w:hint="eastAsia" w:ascii="仿宋_GB2312" w:hAnsi="仿宋_GB2312" w:eastAsia="仿宋_GB2312" w:cs="仿宋_GB2312"/>
          <w:color w:val="000000"/>
          <w:kern w:val="2"/>
          <w:sz w:val="32"/>
          <w:szCs w:val="32"/>
          <w:shd w:val="clear" w:color="auto" w:fill="FFFFFF"/>
        </w:rPr>
        <w:t>　2024年</w:t>
      </w:r>
      <w:r>
        <w:rPr>
          <w:rFonts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000000"/>
          <w:kern w:val="2"/>
          <w:sz w:val="32"/>
          <w:szCs w:val="32"/>
          <w:shd w:val="clear" w:color="auto" w:fill="FFFFFF"/>
        </w:rPr>
        <w:t>区委办</w:t>
      </w:r>
      <w:r>
        <w:rPr>
          <w:rFonts w:ascii="仿宋_GB2312" w:hAnsi="仿宋_GB2312" w:eastAsia="仿宋_GB2312" w:cs="仿宋_GB2312"/>
          <w:color w:val="000000"/>
          <w:kern w:val="2"/>
          <w:sz w:val="32"/>
          <w:szCs w:val="32"/>
          <w:shd w:val="clear" w:color="auto" w:fill="FFFFFF"/>
        </w:rPr>
        <w:t>全年</w:t>
      </w:r>
      <w:r>
        <w:rPr>
          <w:rFonts w:hint="eastAsia" w:ascii="仿宋_GB2312" w:hAnsi="仿宋_GB2312" w:eastAsia="仿宋_GB2312" w:cs="仿宋_GB2312"/>
          <w:color w:val="000000"/>
          <w:kern w:val="2"/>
          <w:sz w:val="32"/>
          <w:szCs w:val="32"/>
          <w:shd w:val="clear" w:color="auto" w:fill="FFFFFF"/>
        </w:rPr>
        <w:t>项目支出237.8</w:t>
      </w:r>
      <w:r>
        <w:rPr>
          <w:rFonts w:ascii="仿宋_GB2312" w:hAnsi="仿宋_GB2312" w:eastAsia="仿宋_GB2312" w:cs="仿宋_GB2312"/>
          <w:color w:val="000000"/>
          <w:kern w:val="2"/>
          <w:sz w:val="32"/>
          <w:szCs w:val="32"/>
          <w:shd w:val="clear" w:color="auto" w:fill="FFFFFF"/>
        </w:rPr>
        <w:t>万元</w:t>
      </w:r>
      <w:r>
        <w:rPr>
          <w:rFonts w:hint="eastAsia" w:ascii="仿宋_GB2312" w:hAnsi="仿宋_GB2312" w:eastAsia="仿宋_GB2312" w:cs="仿宋_GB2312"/>
          <w:color w:val="000000"/>
          <w:kern w:val="2"/>
          <w:sz w:val="32"/>
          <w:szCs w:val="32"/>
          <w:shd w:val="clear" w:color="auto" w:fill="FFFFFF"/>
        </w:rPr>
        <w:t>，主要是本部门为完成特定工作任务或事业发展目标而发生的支出，包括有关事业发展专项、专项业务费、基本建设支出等，含 业务工作经费、区委办专项等项目支出。</w:t>
      </w:r>
    </w:p>
    <w:p>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区委办无此项支出。</w:t>
      </w:r>
    </w:p>
    <w:p>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区委办无此项支出。</w:t>
      </w:r>
    </w:p>
    <w:p>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区委办无此项支出。</w:t>
      </w:r>
    </w:p>
    <w:p>
      <w:pPr>
        <w:widowControl/>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pPr>
        <w:pStyle w:val="13"/>
        <w:widowControl/>
        <w:spacing w:line="640" w:lineRule="exact"/>
        <w:ind w:firstLine="640" w:firstLineChars="0"/>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区委办</w:t>
      </w:r>
      <w:r>
        <w:rPr>
          <w:rFonts w:hint="eastAsia" w:ascii="Times New Roman" w:hAnsi="Times New Roman" w:eastAsia="仿宋_GB2312"/>
          <w:color w:val="000000"/>
          <w:sz w:val="32"/>
          <w:szCs w:val="32"/>
        </w:rPr>
        <w:t>严格执行预算，</w:t>
      </w:r>
      <w:r>
        <w:rPr>
          <w:rFonts w:ascii="Times New Roman" w:hAnsi="Times New Roman" w:eastAsia="仿宋_GB2312"/>
          <w:color w:val="000000"/>
          <w:sz w:val="32"/>
          <w:szCs w:val="32"/>
        </w:rPr>
        <w:t>财务管理规范，各项工作任务全面完成，单位行政运行稳定有序</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部门整体支出绩效自评得分98.54分。</w:t>
      </w:r>
    </w:p>
    <w:p>
      <w:pPr>
        <w:widowControl/>
        <w:numPr>
          <w:ilvl w:val="0"/>
          <w:numId w:val="4"/>
        </w:num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预算财务管理方面</w:t>
      </w:r>
    </w:p>
    <w:p>
      <w:pPr>
        <w:pStyle w:val="13"/>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区委办</w:t>
      </w:r>
      <w:r>
        <w:rPr>
          <w:rFonts w:ascii="Times New Roman" w:hAnsi="Times New Roman" w:eastAsia="仿宋_GB2312"/>
          <w:color w:val="000000"/>
          <w:sz w:val="32"/>
          <w:szCs w:val="32"/>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44"/>
          <w:sz w:val="32"/>
          <w:szCs w:val="32"/>
        </w:rPr>
        <w:t>（二）履职产出效益方面</w:t>
      </w:r>
    </w:p>
    <w:p>
      <w:pPr>
        <w:pStyle w:val="13"/>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区委办</w:t>
      </w:r>
      <w:r>
        <w:rPr>
          <w:rFonts w:ascii="Times New Roman" w:hAnsi="Times New Roman" w:eastAsia="仿宋_GB2312"/>
          <w:color w:val="000000"/>
          <w:sz w:val="32"/>
          <w:szCs w:val="32"/>
        </w:rPr>
        <w:t>认真履行</w:t>
      </w:r>
      <w:r>
        <w:rPr>
          <w:rFonts w:hint="eastAsia" w:ascii="Times New Roman" w:hAnsi="Times New Roman" w:eastAsia="仿宋_GB2312"/>
          <w:color w:val="000000"/>
          <w:sz w:val="32"/>
          <w:szCs w:val="32"/>
        </w:rPr>
        <w:t>部门职责</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履职情况如下：</w:t>
      </w:r>
    </w:p>
    <w:p>
      <w:pPr>
        <w:overflowPunct w:val="0"/>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一、修身立德重示范，坚定政治立场不动摇</w:t>
      </w:r>
    </w:p>
    <w:p>
      <w:pPr>
        <w:overflowPunct w:val="0"/>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始终牢记习近平总书记关于“领导干部要讲政德”的敦敦教诲，不断涵养政德，筑牢信仰之基、把稳思想之舵。</w:t>
      </w:r>
    </w:p>
    <w:p>
      <w:pPr>
        <w:overflowPunct w:val="0"/>
        <w:adjustRightInd w:val="0"/>
        <w:snapToGrid w:val="0"/>
        <w:spacing w:line="560" w:lineRule="exact"/>
        <w:ind w:firstLine="642" w:firstLineChars="200"/>
        <w:rPr>
          <w:rFonts w:ascii="仿宋_GB2312" w:hAnsi="仿宋_GB2312" w:eastAsia="仿宋_GB2312" w:cs="仿宋_GB2312"/>
          <w:color w:val="000000"/>
          <w:sz w:val="32"/>
          <w:szCs w:val="32"/>
        </w:rPr>
      </w:pPr>
      <w:r>
        <w:rPr>
          <w:rFonts w:hint="eastAsia" w:ascii="仿宋_GB2312" w:hAnsi="Cambria" w:eastAsia="楷体_GB2312"/>
          <w:b/>
          <w:bCs/>
          <w:color w:val="000000"/>
          <w:sz w:val="32"/>
          <w:szCs w:val="22"/>
        </w:rPr>
        <w:t>一是坚定立场讲政治。</w:t>
      </w:r>
      <w:r>
        <w:rPr>
          <w:rFonts w:hint="eastAsia" w:ascii="仿宋_GB2312" w:hAnsi="仿宋_GB2312" w:eastAsia="仿宋_GB2312" w:cs="仿宋_GB2312"/>
          <w:color w:val="000000"/>
          <w:sz w:val="32"/>
          <w:szCs w:val="32"/>
          <w:shd w:val="clear" w:color="auto" w:fill="FFFFFF"/>
        </w:rPr>
        <w:t>始终把政治建设摆在首位，坚持把学习贯彻习近平新时代中国特色社会主义思想作为首要政治任务，</w:t>
      </w:r>
      <w:r>
        <w:rPr>
          <w:rFonts w:hint="eastAsia" w:ascii="仿宋_GB2312" w:eastAsia="仿宋_GB2312"/>
          <w:sz w:val="32"/>
          <w:szCs w:val="32"/>
        </w:rPr>
        <w:t>树牢“四个意识”，坚定“四个自信”，深刻领悟“两个确立”的决定性意义，做到“两个维护”</w:t>
      </w:r>
      <w:r>
        <w:rPr>
          <w:rFonts w:hint="eastAsia" w:ascii="仿宋_GB2312" w:hAnsi="仿宋_GB2312" w:eastAsia="仿宋_GB2312" w:cs="仿宋_GB2312"/>
          <w:color w:val="000000"/>
          <w:sz w:val="32"/>
          <w:szCs w:val="32"/>
          <w:shd w:val="clear" w:color="auto" w:fill="FFFFFF"/>
        </w:rPr>
        <w:t>。先后参加市委党校、区委中心组“党的二十届三中全会精神”等专题集体学习13次（期），全身心投入党纪学习教育，围绕“市委八届六次全会精神”“</w:t>
      </w:r>
      <w:r>
        <w:rPr>
          <w:rFonts w:hint="eastAsia" w:ascii="仿宋_GB2312" w:hAnsi="仿宋_GB2312" w:eastAsia="仿宋_GB2312" w:cs="仿宋_GB2312"/>
          <w:sz w:val="32"/>
          <w:szCs w:val="32"/>
        </w:rPr>
        <w:t>《党纪处分条例》专题</w:t>
      </w:r>
      <w:r>
        <w:rPr>
          <w:rFonts w:hint="eastAsia" w:ascii="仿宋_GB2312" w:hAnsi="仿宋_GB2312" w:eastAsia="仿宋_GB2312" w:cs="仿宋_GB2312"/>
          <w:color w:val="000000"/>
          <w:sz w:val="32"/>
          <w:szCs w:val="32"/>
          <w:shd w:val="clear" w:color="auto" w:fill="FFFFFF"/>
        </w:rPr>
        <w:t>”等集体学习交流发言3次，做到学纪、知纪、明纪、守纪，先学一步、学深一层。引领区委办室务会坚持理论学习“第一议题”制度，带头示范推动党纪学习教育走深走实，带头领学党的二十届三中全会精神，理论武装更加扎实，政治立场更加坚定。</w:t>
      </w:r>
    </w:p>
    <w:p>
      <w:pPr>
        <w:pStyle w:val="3"/>
        <w:overflowPunct w:val="0"/>
        <w:spacing w:line="560" w:lineRule="exact"/>
        <w:ind w:firstLine="642" w:firstLineChars="200"/>
        <w:rPr>
          <w:rFonts w:ascii="仿宋_GB2312" w:hAnsi="仿宋_GB2312" w:eastAsia="仿宋_GB2312" w:cs="仿宋_GB2312"/>
          <w:color w:val="000000"/>
          <w:sz w:val="32"/>
          <w:szCs w:val="32"/>
          <w:lang w:eastAsia="zh-CN"/>
        </w:rPr>
      </w:pPr>
      <w:r>
        <w:rPr>
          <w:rFonts w:hint="eastAsia" w:ascii="仿宋_GB2312" w:hAnsi="Cambria" w:eastAsia="楷体_GB2312"/>
          <w:b/>
          <w:bCs/>
          <w:color w:val="000000"/>
          <w:sz w:val="32"/>
          <w:szCs w:val="22"/>
          <w:lang w:eastAsia="zh-CN"/>
        </w:rPr>
        <w:t>二是对标要求提能力。</w:t>
      </w:r>
      <w:r>
        <w:rPr>
          <w:rFonts w:hint="eastAsia" w:ascii="仿宋_GB2312" w:hAnsi="仿宋_GB2312" w:eastAsia="仿宋_GB2312" w:cs="仿宋_GB2312"/>
          <w:color w:val="000000"/>
          <w:sz w:val="32"/>
          <w:szCs w:val="32"/>
          <w:shd w:val="clear" w:color="auto" w:fill="FFFFFF"/>
          <w:lang w:eastAsia="zh-CN"/>
        </w:rPr>
        <w:t>深入贯彻落实习近平总书记关于办公厅工作“五个坚持”“四个政治”的总要求，坚持“对标对表、依规办事”，不断优化办公室办文、办会和办事制度和流程，紧扣区委决策部署，办公室工作坚持做到“快、稳、严、准、细、实”，精准精细。发挥区委办核心枢纽作用，加强统筹协调，建立“四大家”办公室联席会议制度，健全办公室系统常态化学习机制，先后以“树标杆、抓落实、优服务”“忠实践行‘五个坚持’、坚决做到‘两个维护’”等为主题召开办公室系统学习交流会，不断提升服务区委、服务发展的能力。</w:t>
      </w:r>
      <w:r>
        <w:rPr>
          <w:rFonts w:hint="eastAsia" w:ascii="仿宋_GB2312" w:hAnsi="仿宋_GB2312" w:eastAsia="仿宋_GB2312" w:cs="仿宋_GB2312"/>
          <w:color w:val="000000"/>
          <w:sz w:val="32"/>
          <w:szCs w:val="32"/>
          <w:lang w:eastAsia="zh-CN"/>
        </w:rPr>
        <w:t>全力开展联乡镇、联村、联帮扶联系户工作，深入联点良心堡中心幼儿园督导“校园餐”，积极为“五联”单位解决实际困难。</w:t>
      </w:r>
    </w:p>
    <w:p>
      <w:pPr>
        <w:overflowPunct w:val="0"/>
        <w:adjustRightInd w:val="0"/>
        <w:snapToGrid w:val="0"/>
        <w:spacing w:line="560" w:lineRule="exact"/>
        <w:ind w:firstLine="642" w:firstLineChars="200"/>
        <w:rPr>
          <w:rFonts w:ascii="仿宋_GB2312" w:hAnsi="仿宋_GB2312" w:eastAsia="仿宋_GB2312" w:cs="仿宋_GB2312"/>
          <w:color w:val="000000"/>
          <w:sz w:val="32"/>
          <w:szCs w:val="32"/>
        </w:rPr>
      </w:pPr>
      <w:r>
        <w:rPr>
          <w:rFonts w:hint="eastAsia" w:ascii="仿宋_GB2312" w:hAnsi="Cambria" w:eastAsia="楷体_GB2312"/>
          <w:b/>
          <w:bCs/>
          <w:color w:val="000000"/>
          <w:sz w:val="32"/>
          <w:szCs w:val="22"/>
        </w:rPr>
        <w:t>三是严格纪律守底线。</w:t>
      </w:r>
      <w:r>
        <w:rPr>
          <w:rFonts w:hint="eastAsia" w:ascii="仿宋_GB2312" w:hAnsi="仿宋_GB2312" w:eastAsia="仿宋_GB2312" w:cs="仿宋_GB2312"/>
          <w:color w:val="000000"/>
          <w:sz w:val="32"/>
          <w:szCs w:val="32"/>
          <w:shd w:val="clear" w:color="auto" w:fill="FFFFFF"/>
        </w:rPr>
        <w:t>始终站稳政治立场，在大是大非面前旗帜鲜明、立场坚定，不当两面派，不做“两面人”，坚决做到“五个必须”，杜绝“七个有之”，不折不扣贯彻落实党中央和省市区委各项决策部署。坚持把党的各项纪律挺在前面，带头学习、从严落实。</w:t>
      </w:r>
      <w:r>
        <w:rPr>
          <w:rFonts w:hint="eastAsia" w:ascii="仿宋_GB2312" w:hAnsi="仿宋_GB2312" w:eastAsia="仿宋_GB2312" w:cs="仿宋_GB2312"/>
          <w:color w:val="000000"/>
          <w:sz w:val="32"/>
          <w:szCs w:val="32"/>
        </w:rPr>
        <w:t>坚持守住机要保密底线，牵头举办“增强保密意识，筑牢保密防线”专题培训，邀请市保密专家授课。严格执行请示报告制度，扎实做好值班值守工作，稳妥处置马来西亚球员意外死亡、涉未成年人员舆情等突发事件，为区委当好“巩固后院”。</w:t>
      </w:r>
    </w:p>
    <w:p>
      <w:pPr>
        <w:overflowPunct w:val="0"/>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二、忠诚履职勇担当，服务高质量发展有成效</w:t>
      </w:r>
    </w:p>
    <w:p>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立足“三服务”，把准政治属性，发挥贯通上下、融通内外作用，在服务发展、狠抓落实上善学善思、善作善成。    </w:t>
      </w:r>
    </w:p>
    <w:p>
      <w:pPr>
        <w:pStyle w:val="4"/>
        <w:overflowPunct w:val="0"/>
        <w:spacing w:line="560" w:lineRule="exact"/>
        <w:ind w:left="0" w:leftChars="0" w:firstLine="642" w:firstLineChars="200"/>
        <w:rPr>
          <w:rFonts w:ascii="仿宋_GB2312" w:hAnsi="仿宋_GB2312" w:eastAsia="仿宋_GB2312" w:cs="仿宋_GB2312"/>
          <w:color w:val="000000"/>
          <w:sz w:val="32"/>
          <w:szCs w:val="32"/>
        </w:rPr>
      </w:pPr>
      <w:r>
        <w:rPr>
          <w:rFonts w:hint="eastAsia" w:ascii="仿宋_GB2312" w:hAnsi="Cambria" w:eastAsia="楷体_GB2312"/>
          <w:b/>
          <w:bCs/>
          <w:color w:val="000000"/>
          <w:sz w:val="32"/>
          <w:szCs w:val="22"/>
        </w:rPr>
        <w:t>一是综合服务高效率。</w:t>
      </w:r>
      <w:r>
        <w:rPr>
          <w:rFonts w:hint="eastAsia" w:ascii="仿宋_GB2312" w:hAnsi="仿宋_GB2312" w:eastAsia="仿宋_GB2312" w:cs="仿宋_GB2312"/>
          <w:color w:val="000000"/>
          <w:sz w:val="32"/>
          <w:szCs w:val="32"/>
        </w:rPr>
        <w:t xml:space="preserve">高水平接待服务全国政协副主席秦博勇，省委常委、市委书记谢卫江等省部级以上领导来我区考察调研30余次，统筹组织政务活动28次，服务区委主要领导调研51次。高标准办文办会，开发运行一体无纸化办公系统“君政通”，统筹组织区委常委会、全区干部大会等会议148次，备案党内规范性文件12份，提请区委发文82件。高质量报送信息，主动报送君山区委经验做法、特色亮点等信息，获市级以上采用83篇，其中省委采用39篇，中办《每日汇报》单篇采用1条，党委信息位列全省第二，实现历史性突破。全年编辑《领导每日活动》250期、《每周简报》42期，为区委决策提供高质量信息服务。国安工作统筹有力，有效推进“江豚湾”国安教育基地建设，健全协调联动机制，开展马拉松赛事、洞庭湖国际观鸟节等活动跨行业部门风险联动管控，收报涉政涉稳涉访等情报110余篇。 </w:t>
      </w:r>
    </w:p>
    <w:p>
      <w:pPr>
        <w:pStyle w:val="3"/>
        <w:overflowPunct w:val="0"/>
        <w:spacing w:line="560" w:lineRule="exact"/>
        <w:ind w:firstLine="642" w:firstLineChars="200"/>
        <w:rPr>
          <w:rFonts w:ascii="仿宋_GB2312" w:eastAsia="仿宋_GB2312" w:cs="仿宋_GB2312"/>
          <w:color w:val="000000"/>
          <w:sz w:val="32"/>
          <w:szCs w:val="32"/>
          <w:lang w:eastAsia="zh-CN"/>
        </w:rPr>
      </w:pPr>
      <w:r>
        <w:rPr>
          <w:rFonts w:hint="eastAsia" w:ascii="仿宋_GB2312" w:hAnsi="Cambria" w:eastAsia="楷体_GB2312" w:cs="Times New Roman"/>
          <w:b/>
          <w:bCs/>
          <w:color w:val="000000"/>
          <w:sz w:val="32"/>
          <w:szCs w:val="22"/>
          <w:lang w:eastAsia="zh-CN"/>
        </w:rPr>
        <w:t>二是急难险重严统筹。</w:t>
      </w:r>
      <w:r>
        <w:rPr>
          <w:rFonts w:hint="eastAsia" w:ascii="仿宋_GB2312" w:hAnsi="仿宋_GB2312" w:eastAsia="仿宋_GB2312" w:cs="仿宋_GB2312"/>
          <w:color w:val="000000"/>
          <w:sz w:val="32"/>
          <w:szCs w:val="32"/>
          <w:lang w:eastAsia="zh-CN"/>
        </w:rPr>
        <w:t>牵头抓总推进深改工作全面走深走实，年初出台深改工作要点，持续推进6个领域44项重点改革任务，数字渔业创新应用基地建设项目入选湖南省“数字新基建”标志性项目、六门闸风干鱼获评地理标志产品保护示范区称号；牵头制定《君山区委关于深入学习贯彻党的二十届三中全会精神 进一步全面深化改革奋力推进君山高质量发展的意见》，为我区深化改革确立了任务书和路线图。全力做好市委主要领导调研、全市项目流动现场会、钱团间堤防守等重点工作、重大事项的服务保障工作，做到准备充分、程序严谨、精益求精。有力推进督查问效，绕区委中心工作，聚焦粮食安全、防汛抗灾、省旅发大会等重点工作，跟踪督导省委、市委、区委主要领导指示批示和重要会议、调研安排工作等事项210余件，确保工作落地见效。</w:t>
      </w:r>
    </w:p>
    <w:p>
      <w:pPr>
        <w:overflowPunct w:val="0"/>
        <w:adjustRightInd w:val="0"/>
        <w:snapToGrid w:val="0"/>
        <w:spacing w:line="560" w:lineRule="exact"/>
        <w:ind w:firstLine="642" w:firstLineChars="200"/>
        <w:rPr>
          <w:color w:val="000000"/>
        </w:rPr>
      </w:pPr>
      <w:r>
        <w:rPr>
          <w:rFonts w:hint="eastAsia" w:ascii="仿宋_GB2312" w:hAnsi="Cambria" w:eastAsia="楷体_GB2312"/>
          <w:b/>
          <w:bCs/>
          <w:color w:val="000000"/>
          <w:sz w:val="32"/>
          <w:szCs w:val="22"/>
        </w:rPr>
        <w:t>三是整治整改出成效。</w:t>
      </w:r>
      <w:r>
        <w:rPr>
          <w:rFonts w:hint="eastAsia" w:ascii="仿宋_GB2312" w:hAnsi="仿宋_GB2312" w:eastAsia="仿宋_GB2312" w:cs="仿宋_GB2312"/>
          <w:color w:val="000000"/>
          <w:kern w:val="2"/>
          <w:sz w:val="32"/>
          <w:szCs w:val="32"/>
        </w:rPr>
        <w:t>牵头整治形式主义为基层减负工作，推动区委常委会先后6次专题学习和研究，召开5次专项机制推进会，出台《君山区破解小马拉大车具体举措》等7项制度，共120多条具体措施。推动清除</w:t>
      </w:r>
      <w:r>
        <w:rPr>
          <w:rFonts w:hint="eastAsia" w:ascii="仿宋_GB2312" w:eastAsia="仿宋_GB2312"/>
          <w:sz w:val="32"/>
          <w:szCs w:val="32"/>
        </w:rPr>
        <w:t>强制下载安装、积分排名、统计在线时长</w:t>
      </w:r>
      <w:r>
        <w:rPr>
          <w:rFonts w:hint="eastAsia" w:eastAsia="仿宋" w:cs="仿宋"/>
          <w:sz w:val="32"/>
          <w:szCs w:val="32"/>
        </w:rPr>
        <w:t>等30多项问题全面整治，</w:t>
      </w:r>
      <w:r>
        <w:rPr>
          <w:rFonts w:hint="eastAsia" w:ascii="仿宋_GB2312" w:hAnsi="仿宋_GB2312" w:eastAsia="仿宋_GB2312" w:cs="仿宋_GB2312"/>
          <w:color w:val="000000"/>
          <w:kern w:val="2"/>
          <w:sz w:val="32"/>
          <w:szCs w:val="32"/>
        </w:rPr>
        <w:t>清理工作微信群620多个，拆除不合规村级挂牌1057块，区委办发文减少16%，调整优化区级议事机构至21个，基层党员干部和群众感受深切。“君政通”无纸化办公、校园减负等获全市通报表扬或经验推介。</w:t>
      </w:r>
      <w:r>
        <w:rPr>
          <w:rFonts w:hint="eastAsia" w:ascii="仿宋_GB2312" w:hAnsi="仿宋_GB2312" w:eastAsia="仿宋_GB2312" w:cs="仿宋_GB2312"/>
          <w:color w:val="000000"/>
          <w:sz w:val="32"/>
          <w:szCs w:val="32"/>
          <w:shd w:val="clear" w:color="auto" w:fill="FFFFFF"/>
        </w:rPr>
        <w:t>扎实推进群众身边不正之风和腐败问题集中整治工作，牵头“聚焦整治形式主义官僚主义”领域群腐问题整治，组织召开办公室系统群腐整治调度会，深入剖析查找存在问题，认真排查出问题40多个，做到立行立改，聚焦形式主义官僚主义领域群腐问题共立案59件、处分43人。</w:t>
      </w:r>
    </w:p>
    <w:p>
      <w:pPr>
        <w:overflowPunct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三、清正廉洁守底线，从严治党“一岗双责”讲担当</w:t>
      </w:r>
    </w:p>
    <w:p>
      <w:pPr>
        <w:pStyle w:val="4"/>
        <w:overflowPunct w:val="0"/>
        <w:spacing w:line="560" w:lineRule="exact"/>
        <w:ind w:left="0" w:leftChars="0" w:firstLine="61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始终把廉洁从政作为做人做事的“底线”，</w:t>
      </w:r>
      <w:r>
        <w:rPr>
          <w:rFonts w:hint="eastAsia" w:ascii="仿宋_GB2312" w:hAnsi="仿宋_GB2312" w:eastAsia="仿宋_GB2312" w:cs="仿宋_GB2312"/>
          <w:color w:val="000000"/>
          <w:sz w:val="32"/>
          <w:szCs w:val="32"/>
        </w:rPr>
        <w:t>常思贪欲之害、常怀律己之心，把牢思想关，绷紧纪法弦，带好班管好人。</w:t>
      </w:r>
    </w:p>
    <w:p>
      <w:pPr>
        <w:pStyle w:val="3"/>
        <w:overflowPunct w:val="0"/>
        <w:spacing w:line="560" w:lineRule="exact"/>
        <w:ind w:firstLine="642" w:firstLineChars="200"/>
        <w:rPr>
          <w:rFonts w:ascii="仿宋_GB2312" w:eastAsia="仿宋_GB2312" w:cs="仿宋_GB2312"/>
          <w:color w:val="000000"/>
          <w:sz w:val="32"/>
          <w:szCs w:val="32"/>
          <w:lang w:eastAsia="zh-CN"/>
        </w:rPr>
      </w:pPr>
      <w:r>
        <w:rPr>
          <w:rFonts w:hint="eastAsia" w:ascii="仿宋_GB2312" w:hAnsi="Cambria" w:eastAsia="楷体_GB2312"/>
          <w:b/>
          <w:bCs/>
          <w:color w:val="000000"/>
          <w:sz w:val="32"/>
          <w:szCs w:val="22"/>
          <w:lang w:eastAsia="zh-CN"/>
        </w:rPr>
        <w:t>一是强化“一岗双责”落实。</w:t>
      </w:r>
      <w:r>
        <w:rPr>
          <w:rFonts w:hint="eastAsia" w:ascii="仿宋_GB2312" w:hAnsi="仿宋_GB2312" w:eastAsia="仿宋_GB2312" w:cs="仿宋_GB2312"/>
          <w:color w:val="000000"/>
          <w:sz w:val="32"/>
          <w:szCs w:val="40"/>
          <w:lang w:eastAsia="zh-CN"/>
        </w:rPr>
        <w:t>扎实履行党风廉政建设和意识形态工作责任制，将党风廉政建设、意识形态工作与办公室中心工作同部署、同推进、同落实，结合党纪学习教育活动，抓好“关键少数”和关键岗位日常监督，通过上廉政主题党课、学习案例通报、观看</w:t>
      </w:r>
      <w:r>
        <w:rPr>
          <w:rFonts w:hint="eastAsia" w:ascii="仿宋_GB2312" w:hAnsi="仿宋_GB2312" w:eastAsia="仿宋_GB2312" w:cs="仿宋_GB2312"/>
          <w:color w:val="000000"/>
          <w:sz w:val="32"/>
          <w:szCs w:val="32"/>
          <w:shd w:val="clear" w:color="auto" w:fill="FFFFFF"/>
          <w:lang w:eastAsia="zh-CN"/>
        </w:rPr>
        <w:t>“蝇贪蚁腐”</w:t>
      </w:r>
      <w:r>
        <w:rPr>
          <w:rFonts w:hint="eastAsia" w:ascii="仿宋_GB2312" w:hAnsi="仿宋_GB2312" w:eastAsia="仿宋_GB2312" w:cs="仿宋_GB2312"/>
          <w:color w:val="000000"/>
          <w:sz w:val="32"/>
          <w:szCs w:val="40"/>
          <w:lang w:eastAsia="zh-CN"/>
        </w:rPr>
        <w:t>警示教育片等，教育引导区委办党员干部知纪守纪，时刻绷紧从严治党这根弦，始终保持忠诚干净担当的政治本色。全年参加区委办公室全面从严治党会商会2次，讲授“深化党纪教育，筑牢思想防线”专题党课，与区委办班子成员和党员干部廉政谈心谈话10余次。</w:t>
      </w:r>
      <w:r>
        <w:rPr>
          <w:rFonts w:hint="eastAsia" w:ascii="仿宋_GB2312" w:hAnsi="仿宋_GB2312" w:eastAsia="仿宋_GB2312" w:cs="仿宋_GB2312"/>
          <w:color w:val="000000"/>
          <w:sz w:val="32"/>
          <w:szCs w:val="32"/>
          <w:lang w:eastAsia="zh-CN"/>
        </w:rPr>
        <w:t>始终扛稳扛牢全面从严治党主体责任，</w:t>
      </w:r>
      <w:r>
        <w:rPr>
          <w:rFonts w:hint="eastAsia" w:ascii="仿宋_GB2312" w:hAnsi="仿宋_GB2312" w:eastAsia="仿宋_GB2312" w:cs="仿宋_GB2312"/>
          <w:color w:val="000000"/>
          <w:sz w:val="32"/>
          <w:szCs w:val="32"/>
          <w:shd w:val="clear" w:color="auto" w:fill="FFFFFF"/>
          <w:lang w:eastAsia="zh-CN"/>
        </w:rPr>
        <w:t>牵头落实省委、区委巡视巡察反馈意见整改要求，制定完善整改方案和落实全面从严治党工作计划，扎实做好巡视巡察整改“后半篇文章”。</w:t>
      </w:r>
    </w:p>
    <w:p>
      <w:pPr>
        <w:widowControl/>
        <w:spacing w:line="640" w:lineRule="exact"/>
        <w:ind w:firstLine="640"/>
        <w:rPr>
          <w:rFonts w:ascii="Times New Roman" w:hAnsi="Times New Roman" w:eastAsia="黑体"/>
          <w:sz w:val="32"/>
          <w:szCs w:val="32"/>
        </w:rPr>
      </w:pPr>
      <w:r>
        <w:rPr>
          <w:rFonts w:hint="eastAsia" w:ascii="仿宋_GB2312" w:hAnsi="Cambria" w:eastAsia="楷体_GB2312"/>
          <w:b/>
          <w:bCs/>
          <w:color w:val="000000"/>
          <w:sz w:val="32"/>
          <w:szCs w:val="22"/>
        </w:rPr>
        <w:t>二是打造清廉机关标杆。</w:t>
      </w:r>
      <w:r>
        <w:rPr>
          <w:rFonts w:hint="eastAsia" w:ascii="仿宋_GB2312" w:hAnsi="仿宋_GB2312" w:eastAsia="仿宋_GB2312" w:cs="仿宋_GB2312"/>
          <w:color w:val="000000"/>
          <w:sz w:val="32"/>
          <w:szCs w:val="32"/>
          <w:shd w:val="clear" w:color="auto" w:fill="FFFFFF"/>
        </w:rPr>
        <w:t>积极推进区委办清廉机关创建和市级文明标兵单位建设工作，坚持把习近平总书记关于全面从严治</w:t>
      </w:r>
      <w:r>
        <w:rPr>
          <w:rFonts w:hint="eastAsia" w:ascii="仿宋_GB2312" w:hAnsi="仿宋_GB2312" w:eastAsia="仿宋_GB2312" w:cs="仿宋_GB2312"/>
          <w:color w:val="000000"/>
          <w:sz w:val="32"/>
          <w:szCs w:val="40"/>
        </w:rPr>
        <w:t>党的重要论述作为支部和党员学习的首要政治任务，常态化落实理论学习中心组学习、“三会一课”等制度，严肃党内政治生活，严格落实重大事项请示报告制度，带动机关党员干部不断增强推进清廉机关建设的政治自觉、思想自觉和行动自觉。</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40"/>
        </w:rPr>
        <w:t>区委办</w:t>
      </w:r>
      <w:r>
        <w:rPr>
          <w:rFonts w:hint="eastAsia" w:ascii="仿宋_GB2312" w:hAnsi="仿宋_GB2312" w:eastAsia="仿宋_GB2312" w:cs="仿宋_GB2312"/>
          <w:color w:val="000000"/>
          <w:sz w:val="32"/>
          <w:szCs w:val="32"/>
        </w:rPr>
        <w:t>党员干部赴野生荷花世界廉洁文化园、君山“不能腐”数字化教育基地、任弼时纪念园等地开展</w:t>
      </w:r>
      <w:r>
        <w:rPr>
          <w:rFonts w:hint="eastAsia" w:ascii="仿宋_GB2312" w:hAnsi="仿宋_GB2312" w:eastAsia="仿宋_GB2312" w:cs="仿宋_GB2312"/>
          <w:color w:val="000000"/>
          <w:sz w:val="32"/>
          <w:szCs w:val="32"/>
          <w:shd w:val="clear" w:color="auto" w:fill="FFFFFF"/>
        </w:rPr>
        <w:t>廉政教育，评选“清廉股室”“清廉家庭”5个。</w:t>
      </w:r>
      <w:r>
        <w:rPr>
          <w:rFonts w:hint="eastAsia" w:ascii="Times New Roman" w:hAnsi="Times New Roman" w:eastAsia="黑体"/>
          <w:sz w:val="32"/>
          <w:szCs w:val="32"/>
        </w:rPr>
        <w:t>六、</w:t>
      </w:r>
      <w:r>
        <w:rPr>
          <w:rFonts w:ascii="Times New Roman" w:hAnsi="Times New Roman" w:eastAsia="黑体"/>
          <w:sz w:val="32"/>
          <w:szCs w:val="32"/>
        </w:rPr>
        <w:t>存在的问题及原因分析</w:t>
      </w:r>
    </w:p>
    <w:p>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绩效评价并不能完全兼顾工作的方方面面，在各项指标的分析上也未能做到透彻，对各项资金使用的规范性和使用结果的有效性分析</w:t>
      </w:r>
      <w:r>
        <w:rPr>
          <w:rFonts w:hint="eastAsia" w:ascii="Times New Roman" w:hAnsi="Times New Roman" w:eastAsia="仿宋_GB2312"/>
          <w:color w:val="000000"/>
          <w:sz w:val="32"/>
          <w:szCs w:val="32"/>
        </w:rPr>
        <w:t>有不足。</w:t>
      </w:r>
    </w:p>
    <w:p>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对预算绩效管理知识的学习存在局限性，预算绩效管理的合理性、科学性还需加强。</w:t>
      </w:r>
    </w:p>
    <w:p>
      <w:pPr>
        <w:widowControl/>
        <w:spacing w:line="640" w:lineRule="exact"/>
        <w:ind w:firstLine="64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下一步改进措施</w:t>
      </w:r>
    </w:p>
    <w:p>
      <w:pPr>
        <w:pStyle w:val="10"/>
        <w:ind w:firstLine="640"/>
      </w:pPr>
      <w:r>
        <w:rPr>
          <w:rFonts w:hint="eastAsia"/>
          <w:lang w:val="en-US"/>
        </w:rPr>
        <w:t>1、</w:t>
      </w:r>
      <w:r>
        <w:t>细化预算编制工作，认真做好预算的编制。进一步加强单位内部的预算管理意识，严格按照预算编制的相关制度和要求进行预算编制；提高人员的业务素质与参与度。</w:t>
      </w:r>
    </w:p>
    <w:p>
      <w:pPr>
        <w:pStyle w:val="10"/>
        <w:ind w:firstLine="640"/>
        <w:rPr>
          <w:rFonts w:ascii="Times New Roman" w:hAnsi="Times New Roman"/>
          <w:lang w:val="en-US" w:bidi="ar-SA"/>
        </w:rPr>
      </w:pPr>
      <w:r>
        <w:rPr>
          <w:rFonts w:hint="eastAsia"/>
          <w:lang w:val="en-US"/>
        </w:rPr>
        <w:t>2、</w:t>
      </w:r>
      <w: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widowControl/>
        <w:shd w:val="clear" w:color="auto" w:fill="FFFFFF"/>
        <w:spacing w:line="560" w:lineRule="exact"/>
        <w:ind w:firstLine="640" w:firstLineChars="200"/>
      </w:pPr>
      <w:r>
        <w:rPr>
          <w:rFonts w:hint="eastAsia" w:ascii="Times New Roman" w:hAnsi="Times New Roman" w:eastAsia="仿宋_GB2312"/>
          <w:sz w:val="32"/>
          <w:szCs w:val="32"/>
        </w:rPr>
        <w:t>对部门整体支出绩效自评在规定时间内公开至本单位门户网站，确保公开数据真实、完整、准确。</w:t>
      </w:r>
    </w:p>
    <w:p>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3.42</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3.42</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151.95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237.8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237.8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254.77</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279.15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237.94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38.35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30.34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30.34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0.78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0.78</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6.96</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5.46</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5.46</w:t>
            </w:r>
          </w:p>
        </w:tc>
      </w:tr>
      <w:tr>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46</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46</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662.4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662.4</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widowControl/>
        <w:spacing w:line="400" w:lineRule="exact"/>
        <w:jc w:val="left"/>
        <w:rPr>
          <w:rFonts w:ascii="Times New Roman" w:hAnsi="Times New Roman" w:eastAsia="仿宋_GB2312"/>
          <w:sz w:val="22"/>
        </w:rPr>
      </w:pPr>
    </w:p>
    <w:p>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3"/>
        <w:gridCol w:w="1070"/>
        <w:gridCol w:w="1500"/>
        <w:gridCol w:w="1530"/>
        <w:gridCol w:w="1350"/>
        <w:gridCol w:w="660"/>
        <w:gridCol w:w="705"/>
        <w:gridCol w:w="1101"/>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中共岳阳市君山区委办公室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53"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p>
        </w:tc>
        <w:tc>
          <w:tcPr>
            <w:tcW w:w="150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53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35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0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16"/>
                <w:szCs w:val="16"/>
              </w:rPr>
              <w:t>执行率</w:t>
            </w:r>
          </w:p>
        </w:tc>
        <w:tc>
          <w:tcPr>
            <w:tcW w:w="110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390"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2153"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50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1049.36</w:t>
            </w:r>
          </w:p>
        </w:tc>
        <w:tc>
          <w:tcPr>
            <w:tcW w:w="153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900.2</w:t>
            </w:r>
          </w:p>
        </w:tc>
        <w:tc>
          <w:tcPr>
            <w:tcW w:w="135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858.98</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70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16"/>
                <w:szCs w:val="16"/>
              </w:rPr>
              <w:t>95.42%</w:t>
            </w:r>
          </w:p>
        </w:tc>
        <w:tc>
          <w:tcPr>
            <w:tcW w:w="110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9.54</w:t>
            </w:r>
          </w:p>
        </w:tc>
      </w:tr>
      <w:tr>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81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858.18</w:t>
            </w:r>
          </w:p>
        </w:tc>
        <w:tc>
          <w:tcPr>
            <w:tcW w:w="381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其中：基本支出：621.18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3816"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项目支出：237.8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381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其他资金：0.8</w:t>
            </w:r>
          </w:p>
        </w:tc>
        <w:tc>
          <w:tcPr>
            <w:tcW w:w="381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183"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1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755"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5183" w:type="dxa"/>
            <w:gridSpan w:val="4"/>
            <w:tcBorders>
              <w:top w:val="single" w:color="auto" w:sz="4" w:space="0"/>
              <w:left w:val="nil"/>
              <w:bottom w:val="single" w:color="auto" w:sz="4" w:space="0"/>
              <w:right w:val="single" w:color="000000" w:sz="4" w:space="0"/>
            </w:tcBorders>
            <w:noWrap/>
          </w:tcPr>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开展档案业务培训和档案执法检查</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确保区委常委会会议正常有序召开</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强化区委督查，确保政令畅通</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4</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做好党委信息综合调研，信息报送</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做好党建工作，开展党建活动</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6</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做好全面深化改革工作</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w:t>
            </w:r>
            <w:r>
              <w:rPr>
                <w:rFonts w:hint="eastAsia" w:ascii="仿宋_GB2312" w:hAnsi="仿宋_GB2312" w:eastAsia="仿宋_GB2312" w:cs="仿宋_GB2312"/>
                <w:color w:val="000000"/>
                <w:sz w:val="20"/>
                <w:szCs w:val="20"/>
                <w:lang w:val="en-US" w:eastAsia="zh-CN"/>
              </w:rPr>
              <w:t>.</w:t>
            </w:r>
            <w:r>
              <w:rPr>
                <w:rFonts w:ascii="仿宋_GB2312" w:hAnsi="仿宋_GB2312" w:eastAsia="仿宋_GB2312" w:cs="仿宋_GB2312"/>
                <w:color w:val="000000"/>
                <w:sz w:val="20"/>
                <w:szCs w:val="20"/>
              </w:rPr>
              <w:t>做好办文办会和公务接待</w:t>
            </w:r>
          </w:p>
        </w:tc>
        <w:tc>
          <w:tcPr>
            <w:tcW w:w="3816" w:type="dxa"/>
            <w:gridSpan w:val="4"/>
            <w:tcBorders>
              <w:top w:val="single" w:color="auto" w:sz="4" w:space="0"/>
              <w:left w:val="nil"/>
              <w:bottom w:val="single" w:color="auto" w:sz="4" w:space="0"/>
              <w:right w:val="single" w:color="auto" w:sz="4" w:space="0"/>
            </w:tcBorders>
            <w:noWrap/>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积极推行预算绩效管理，强化对资金使用情况的预算约束和监督，围绕部门职责，在服务大局上参谋辅政，在牵头抓总上统筹协调，在推动落实上督促检查，在日常运转上服务保障，全力保障党委决策部署落地见效，提高财政资金使用绩效，促进管理效能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53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35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10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7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积极开展理论学习.培训</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12次</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21次</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50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起草文稿，报送信息</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800篇、条</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860篇、条</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50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督促检查</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≥60次</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70次</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4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0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稿件合格率</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98%</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35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50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文稿采用率</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98%</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60" w:type="dxa"/>
            <w:tcBorders>
              <w:top w:val="nil"/>
              <w:left w:val="nil"/>
              <w:bottom w:val="single" w:color="auto" w:sz="4" w:space="0"/>
              <w:right w:val="single" w:color="auto" w:sz="4" w:space="0"/>
            </w:tcBorders>
            <w:noWrap/>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nil"/>
              <w:left w:val="nil"/>
              <w:bottom w:val="single" w:color="auto" w:sz="4" w:space="0"/>
              <w:right w:val="single" w:color="auto" w:sz="4" w:space="0"/>
            </w:tcBorders>
            <w:noWrap/>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56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按计划时间完成任务</w:t>
            </w:r>
          </w:p>
        </w:tc>
        <w:tc>
          <w:tcPr>
            <w:tcW w:w="153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16"/>
                <w:szCs w:val="16"/>
              </w:rPr>
              <w:t>2024年</w:t>
            </w:r>
            <w:r>
              <w:rPr>
                <w:rFonts w:hint="eastAsia" w:ascii="仿宋_GB2312" w:hAnsi="仿宋_GB2312" w:eastAsia="仿宋_GB2312" w:cs="仿宋_GB2312"/>
                <w:color w:val="000000"/>
                <w:sz w:val="16"/>
                <w:szCs w:val="16"/>
              </w:rPr>
              <w:t>12</w:t>
            </w:r>
            <w:r>
              <w:rPr>
                <w:rFonts w:ascii="仿宋_GB2312" w:hAnsi="仿宋_GB2312" w:eastAsia="仿宋_GB2312" w:cs="仿宋_GB2312"/>
                <w:color w:val="000000"/>
                <w:sz w:val="16"/>
                <w:szCs w:val="16"/>
              </w:rPr>
              <w:t>月</w:t>
            </w:r>
            <w:r>
              <w:rPr>
                <w:rFonts w:hint="eastAsia" w:ascii="仿宋_GB2312" w:hAnsi="仿宋_GB2312" w:eastAsia="仿宋_GB2312" w:cs="仿宋_GB2312"/>
                <w:color w:val="000000"/>
                <w:sz w:val="16"/>
                <w:szCs w:val="16"/>
              </w:rPr>
              <w:t>31日</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2024年</w:t>
            </w:r>
            <w:r>
              <w:rPr>
                <w:rFonts w:hint="eastAsia" w:ascii="仿宋_GB2312" w:hAnsi="仿宋_GB2312" w:eastAsia="仿宋_GB2312" w:cs="仿宋_GB2312"/>
                <w:color w:val="000000"/>
                <w:sz w:val="20"/>
                <w:szCs w:val="20"/>
              </w:rPr>
              <w:t>12</w:t>
            </w:r>
            <w:r>
              <w:rPr>
                <w:rFonts w:ascii="仿宋_GB2312" w:hAnsi="仿宋_GB2312" w:eastAsia="仿宋_GB2312" w:cs="仿宋_GB2312"/>
                <w:color w:val="000000"/>
                <w:sz w:val="20"/>
                <w:szCs w:val="20"/>
              </w:rPr>
              <w:t>月</w:t>
            </w:r>
            <w:r>
              <w:rPr>
                <w:rFonts w:hint="eastAsia" w:ascii="仿宋_GB2312" w:hAnsi="仿宋_GB2312" w:eastAsia="仿宋_GB2312" w:cs="仿宋_GB2312"/>
                <w:color w:val="000000"/>
                <w:sz w:val="20"/>
                <w:szCs w:val="20"/>
              </w:rPr>
              <w:t>31日</w:t>
            </w:r>
          </w:p>
        </w:tc>
        <w:tc>
          <w:tcPr>
            <w:tcW w:w="660" w:type="dxa"/>
            <w:tcBorders>
              <w:top w:val="nil"/>
              <w:left w:val="nil"/>
              <w:bottom w:val="single" w:color="auto" w:sz="4" w:space="0"/>
              <w:right w:val="single" w:color="auto" w:sz="4" w:space="0"/>
            </w:tcBorders>
            <w:noWrap/>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nil"/>
              <w:left w:val="nil"/>
              <w:bottom w:val="single" w:color="auto" w:sz="4" w:space="0"/>
              <w:right w:val="single" w:color="auto" w:sz="4" w:space="0"/>
            </w:tcBorders>
            <w:noWrap/>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118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p>
            <w:pPr>
              <w:widowControl/>
              <w:spacing w:line="240" w:lineRule="exact"/>
              <w:jc w:val="center"/>
              <w:rPr>
                <w:rFonts w:ascii="仿宋_GB2312" w:hAnsi="仿宋_GB2312" w:eastAsia="仿宋_GB2312" w:cs="仿宋_GB2312"/>
                <w:color w:val="000000"/>
                <w:sz w:val="20"/>
                <w:szCs w:val="20"/>
              </w:rPr>
            </w:pPr>
          </w:p>
        </w:tc>
        <w:tc>
          <w:tcPr>
            <w:tcW w:w="150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958</w:t>
            </w:r>
          </w:p>
        </w:tc>
        <w:tc>
          <w:tcPr>
            <w:tcW w:w="153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858.98</w:t>
            </w:r>
          </w:p>
        </w:tc>
        <w:tc>
          <w:tcPr>
            <w:tcW w:w="13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资金支出控制在 958万元以内，计5分，每超出  1万元，扣1分，扣完即止。</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0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服务经济社会发展</w:t>
            </w:r>
          </w:p>
        </w:tc>
        <w:tc>
          <w:tcPr>
            <w:tcW w:w="153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5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未</w:t>
            </w:r>
            <w:r>
              <w:rPr>
                <w:rFonts w:hint="eastAsia" w:ascii="仿宋_GB2312" w:hAnsi="仿宋_GB2312" w:eastAsia="仿宋_GB2312" w:cs="仿宋_GB2312"/>
                <w:color w:val="000000"/>
                <w:sz w:val="20"/>
                <w:szCs w:val="20"/>
              </w:rPr>
              <w:t>达到完全效果</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服务经济社会发展</w:t>
            </w:r>
          </w:p>
        </w:tc>
        <w:tc>
          <w:tcPr>
            <w:tcW w:w="153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5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服务生态环保提升</w:t>
            </w:r>
          </w:p>
        </w:tc>
        <w:tc>
          <w:tcPr>
            <w:tcW w:w="153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5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08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服务社会可持续性发展</w:t>
            </w:r>
          </w:p>
        </w:tc>
        <w:tc>
          <w:tcPr>
            <w:tcW w:w="153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1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625"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6"/>
                <w:szCs w:val="16"/>
              </w:rPr>
              <w:t>服务对象满意度指标</w:t>
            </w:r>
          </w:p>
        </w:tc>
        <w:tc>
          <w:tcPr>
            <w:tcW w:w="150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社会公众或服务对象满意度</w:t>
            </w:r>
          </w:p>
        </w:tc>
        <w:tc>
          <w:tcPr>
            <w:tcW w:w="153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95%</w:t>
            </w:r>
          </w:p>
        </w:tc>
        <w:tc>
          <w:tcPr>
            <w:tcW w:w="135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98</w:t>
            </w:r>
            <w:r>
              <w:rPr>
                <w:rFonts w:hint="eastAsia" w:ascii="仿宋_GB2312" w:hAnsi="仿宋_GB2312" w:eastAsia="仿宋_GB2312" w:cs="仿宋_GB2312"/>
                <w:color w:val="000000"/>
                <w:sz w:val="20"/>
                <w:szCs w:val="20"/>
              </w:rPr>
              <w:t>%</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10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450" w:hRule="atLeast"/>
          <w:jc w:val="center"/>
        </w:trPr>
        <w:tc>
          <w:tcPr>
            <w:tcW w:w="7613"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6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98.54</w:t>
            </w:r>
          </w:p>
        </w:tc>
        <w:tc>
          <w:tcPr>
            <w:tcW w:w="110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spacing w:line="360" w:lineRule="auto"/>
        <w:rPr>
          <w:rFonts w:ascii="Times New Roman" w:hAnsi="Times New Roman" w:eastAsia="仿宋_GB2312"/>
          <w:sz w:val="22"/>
          <w:szCs w:val="22"/>
        </w:rPr>
      </w:pPr>
    </w:p>
    <w:p>
      <w:pPr>
        <w:spacing w:line="360" w:lineRule="auto"/>
        <w:rPr>
          <w:rFonts w:ascii="Times New Roman" w:hAnsi="Times New Roman" w:eastAsia="仿宋_GB2312"/>
          <w:sz w:val="22"/>
          <w:szCs w:val="2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fixed"/>
        <w:tblCellMar>
          <w:top w:w="0" w:type="dxa"/>
          <w:left w:w="108" w:type="dxa"/>
          <w:bottom w:w="0" w:type="dxa"/>
          <w:right w:w="108" w:type="dxa"/>
        </w:tblCellMar>
      </w:tblPr>
      <w:tblGrid>
        <w:gridCol w:w="1058"/>
        <w:gridCol w:w="1065"/>
        <w:gridCol w:w="1053"/>
        <w:gridCol w:w="1428"/>
        <w:gridCol w:w="1080"/>
        <w:gridCol w:w="1120"/>
        <w:gridCol w:w="814"/>
        <w:gridCol w:w="861"/>
        <w:gridCol w:w="1372"/>
      </w:tblGrid>
      <w:tr>
        <w:tblPrEx>
          <w:tblCellMar>
            <w:top w:w="0" w:type="dxa"/>
            <w:left w:w="108" w:type="dxa"/>
            <w:bottom w:w="0" w:type="dxa"/>
            <w:right w:w="108" w:type="dxa"/>
          </w:tblCellMar>
        </w:tblPrEx>
        <w:trPr>
          <w:trHeight w:val="480" w:hRule="atLeast"/>
          <w:jc w:val="center"/>
        </w:trPr>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区委办专项　</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26"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中共岳阳市君山区委办公室</w:t>
            </w:r>
          </w:p>
        </w:tc>
        <w:tc>
          <w:tcPr>
            <w:tcW w:w="1120" w:type="dxa"/>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47" w:type="dxa"/>
            <w:gridSpan w:val="3"/>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中共岳阳市君山区委办公室</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8"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0"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4"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1"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72"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458.4</w:t>
            </w:r>
          </w:p>
        </w:tc>
        <w:tc>
          <w:tcPr>
            <w:tcW w:w="1080" w:type="dxa"/>
            <w:tcBorders>
              <w:top w:val="nil"/>
              <w:left w:val="nil"/>
              <w:bottom w:val="single" w:color="auto" w:sz="4" w:space="0"/>
              <w:right w:val="single" w:color="auto" w:sz="4" w:space="0"/>
            </w:tcBorders>
            <w:noWrap/>
          </w:tcPr>
          <w:p>
            <w:r>
              <w:rPr>
                <w:rFonts w:hint="eastAsia" w:ascii="仿宋_GB2312" w:hAnsi="仿宋_GB2312" w:eastAsia="仿宋_GB2312" w:cs="仿宋_GB2312"/>
                <w:color w:val="000000"/>
                <w:sz w:val="20"/>
                <w:szCs w:val="20"/>
              </w:rPr>
              <w:t>458.4</w:t>
            </w:r>
          </w:p>
        </w:tc>
        <w:tc>
          <w:tcPr>
            <w:tcW w:w="1120" w:type="dxa"/>
            <w:tcBorders>
              <w:top w:val="nil"/>
              <w:left w:val="nil"/>
              <w:bottom w:val="single" w:color="auto" w:sz="4" w:space="0"/>
              <w:right w:val="single" w:color="auto" w:sz="4" w:space="0"/>
            </w:tcBorders>
            <w:noWrap/>
          </w:tcPr>
          <w:p>
            <w:r>
              <w:rPr>
                <w:rFonts w:hint="eastAsia" w:ascii="仿宋_GB2312" w:hAnsi="仿宋_GB2312" w:eastAsia="仿宋_GB2312" w:cs="仿宋_GB2312"/>
                <w:color w:val="000000"/>
                <w:sz w:val="20"/>
                <w:szCs w:val="20"/>
              </w:rPr>
              <w:t>458.4</w:t>
            </w:r>
          </w:p>
        </w:tc>
        <w:tc>
          <w:tcPr>
            <w:tcW w:w="81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1"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372"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458.4</w:t>
            </w:r>
          </w:p>
        </w:tc>
        <w:tc>
          <w:tcPr>
            <w:tcW w:w="1080" w:type="dxa"/>
            <w:tcBorders>
              <w:top w:val="nil"/>
              <w:left w:val="nil"/>
              <w:bottom w:val="single" w:color="auto" w:sz="4" w:space="0"/>
              <w:right w:val="single" w:color="auto" w:sz="4" w:space="0"/>
            </w:tcBorders>
            <w:noWrap/>
          </w:tcPr>
          <w:p>
            <w:r>
              <w:rPr>
                <w:rFonts w:hint="eastAsia" w:ascii="仿宋_GB2312" w:hAnsi="仿宋_GB2312" w:eastAsia="仿宋_GB2312" w:cs="仿宋_GB2312"/>
                <w:color w:val="000000"/>
                <w:sz w:val="20"/>
                <w:szCs w:val="20"/>
              </w:rPr>
              <w:t>458.4</w:t>
            </w:r>
          </w:p>
        </w:tc>
        <w:tc>
          <w:tcPr>
            <w:tcW w:w="1120" w:type="dxa"/>
            <w:tcBorders>
              <w:top w:val="nil"/>
              <w:left w:val="nil"/>
              <w:bottom w:val="single" w:color="auto" w:sz="4" w:space="0"/>
              <w:right w:val="single" w:color="auto" w:sz="4" w:space="0"/>
            </w:tcBorders>
            <w:noWrap/>
          </w:tcPr>
          <w:p>
            <w:r>
              <w:rPr>
                <w:rFonts w:hint="eastAsia" w:ascii="仿宋_GB2312" w:hAnsi="仿宋_GB2312" w:eastAsia="仿宋_GB2312" w:cs="仿宋_GB2312"/>
                <w:color w:val="000000"/>
                <w:sz w:val="20"/>
                <w:szCs w:val="20"/>
              </w:rPr>
              <w:t>458.4</w:t>
            </w:r>
          </w:p>
        </w:tc>
        <w:tc>
          <w:tcPr>
            <w:tcW w:w="81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1"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372"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26" w:type="dxa"/>
            <w:gridSpan w:val="4"/>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67"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4626" w:type="dxa"/>
            <w:gridSpan w:val="4"/>
            <w:tcBorders>
              <w:top w:val="single" w:color="auto" w:sz="4" w:space="0"/>
              <w:left w:val="nil"/>
              <w:bottom w:val="single" w:color="auto" w:sz="4" w:space="0"/>
              <w:right w:val="single" w:color="000000"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1、定期开展慰问走访活动，确保全区社会大局稳定。</w:t>
            </w:r>
          </w:p>
          <w:p>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2、高标准推动全区全面深化改革等各项工作，确保各项改革工作落实、落地。</w:t>
            </w:r>
            <w:r>
              <w:rPr>
                <w:rFonts w:hint="eastAsia" w:ascii="仿宋_GB2312" w:hAnsi="仿宋_GB2312" w:eastAsia="仿宋_GB2312" w:cs="仿宋_GB2312"/>
                <w:color w:val="000000"/>
                <w:sz w:val="20"/>
                <w:szCs w:val="20"/>
              </w:rPr>
              <w:t>　</w:t>
            </w:r>
          </w:p>
        </w:tc>
        <w:tc>
          <w:tcPr>
            <w:tcW w:w="4167"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w w:val="90"/>
                <w:sz w:val="18"/>
                <w:szCs w:val="18"/>
                <w:lang w:val="en-US" w:eastAsia="zh-CN"/>
              </w:rPr>
              <w:t>制定改革工作要点，纵深推进6个领域44项重点改革任务，助力数字渔业创新应用基地入选省“数字新基建”100个标志性项目，淡水湿地修复碳汇项目成功入选2024绿光ESG榜，推动探索“基层服务一次办”“一枚印章管审批”改革。开展“五联”工作，深入走访脱贫户、监测户等困难群众，走访联点良心堡中心幼儿园督导“校园餐”情况，给予政策帮扶和慰问，今年共组织走访慰问困难群众68户次。</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3"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1"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72"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开展改革类工作专项督查</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≥12次</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12次</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5</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5</w:t>
            </w:r>
          </w:p>
        </w:tc>
        <w:tc>
          <w:tcPr>
            <w:tcW w:w="1372"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召开区委全面深化改革各项会议</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≥4次</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6次</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5</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5</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390"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督查及时性</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420"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高质量完成率</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715"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经费支出时效性</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2024-12-31</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2024-12-31</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400"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both"/>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年初内预算</w:t>
            </w:r>
          </w:p>
        </w:tc>
        <w:tc>
          <w:tcPr>
            <w:tcW w:w="1080"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≤100%</w:t>
            </w:r>
          </w:p>
        </w:tc>
        <w:tc>
          <w:tcPr>
            <w:tcW w:w="1120"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≤100%</w:t>
            </w:r>
          </w:p>
        </w:tc>
        <w:tc>
          <w:tcPr>
            <w:tcW w:w="814"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w:t>
            </w:r>
          </w:p>
        </w:tc>
        <w:tc>
          <w:tcPr>
            <w:tcW w:w="861" w:type="dxa"/>
            <w:tcBorders>
              <w:top w:val="nil"/>
              <w:left w:val="nil"/>
              <w:bottom w:val="single" w:color="auto" w:sz="4" w:space="0"/>
              <w:right w:val="single" w:color="auto" w:sz="4" w:space="0"/>
            </w:tcBorders>
            <w:noWrap/>
            <w:vAlign w:val="center"/>
          </w:tcPr>
          <w:p>
            <w:pPr>
              <w:jc w:val="center"/>
              <w:rPr>
                <w:rFonts w:ascii="微软雅黑" w:hAnsi="微软雅黑" w:eastAsia="微软雅黑" w:cs="宋体"/>
                <w:color w:val="000000"/>
                <w:sz w:val="20"/>
                <w:szCs w:val="20"/>
              </w:rPr>
            </w:pPr>
            <w:r>
              <w:rPr>
                <w:rFonts w:hint="eastAsia" w:ascii="微软雅黑" w:hAnsi="微软雅黑" w:eastAsia="微软雅黑"/>
                <w:color w:val="000000"/>
                <w:sz w:val="20"/>
                <w:szCs w:val="20"/>
              </w:rPr>
              <w:t>10.00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发展高质量经济</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18"/>
                <w:szCs w:val="18"/>
                <w:lang w:eastAsia="zh-CN"/>
              </w:rPr>
              <w:t>未达到完全效果</w:t>
            </w:r>
            <w:r>
              <w:rPr>
                <w:rFonts w:hint="eastAsia" w:ascii="仿宋_GB2312" w:hAnsi="仿宋_GB2312" w:eastAsia="仿宋_GB2312" w:cs="仿宋_GB2312"/>
                <w:color w:val="000000"/>
                <w:sz w:val="18"/>
                <w:szCs w:val="18"/>
              </w:rPr>
              <w:t>达到效果</w:t>
            </w:r>
          </w:p>
        </w:tc>
      </w:tr>
      <w:tr>
        <w:tblPrEx>
          <w:tblCellMar>
            <w:top w:w="0" w:type="dxa"/>
            <w:left w:w="108" w:type="dxa"/>
            <w:bottom w:w="0" w:type="dxa"/>
            <w:right w:w="108" w:type="dxa"/>
          </w:tblCellMar>
        </w:tblPrEx>
        <w:trPr>
          <w:trHeight w:val="544"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提高为民服务水平</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有效增强</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有效增强</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455"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节约水电</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有效减少</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有效减少</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nil"/>
              <w:left w:val="nil"/>
              <w:bottom w:val="single" w:color="auto" w:sz="4" w:space="0"/>
              <w:right w:val="single" w:color="auto" w:sz="4" w:space="0"/>
            </w:tcBorders>
            <w:noWrap/>
            <w:vAlign w:val="center"/>
          </w:tcPr>
          <w:p>
            <w:pPr>
              <w:widowControl/>
              <w:spacing w:line="260" w:lineRule="exact"/>
              <w:ind w:firstLine="200" w:firstLineChars="100"/>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进一步提升工作质量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112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trHeight w:val="635" w:hRule="atLeast"/>
          <w:jc w:val="center"/>
        </w:trPr>
        <w:tc>
          <w:tcPr>
            <w:tcW w:w="1058"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w w:val="100"/>
                <w:sz w:val="16"/>
                <w:szCs w:val="16"/>
              </w:rPr>
            </w:pPr>
            <w:r>
              <w:rPr>
                <w:rFonts w:hint="eastAsia" w:ascii="仿宋_GB2312" w:hAnsi="仿宋_GB2312" w:eastAsia="仿宋_GB2312" w:cs="仿宋_GB2312"/>
                <w:color w:val="000000"/>
                <w:w w:val="100"/>
                <w:sz w:val="16"/>
                <w:szCs w:val="16"/>
              </w:rPr>
              <w:t>满意度指标</w:t>
            </w:r>
          </w:p>
          <w:p>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w w:val="100"/>
                <w:sz w:val="16"/>
                <w:szCs w:val="16"/>
              </w:rPr>
              <w:t>（10分）</w:t>
            </w:r>
          </w:p>
        </w:tc>
        <w:tc>
          <w:tcPr>
            <w:tcW w:w="105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服务对象满意度指标</w:t>
            </w:r>
          </w:p>
        </w:tc>
        <w:tc>
          <w:tcPr>
            <w:tcW w:w="14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08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120"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96%</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nil"/>
              <w:left w:val="nil"/>
              <w:bottom w:val="single" w:color="auto" w:sz="4" w:space="0"/>
              <w:right w:val="single" w:color="auto" w:sz="4" w:space="0"/>
            </w:tcBorders>
            <w:noWrap/>
            <w:vAlign w:val="center"/>
          </w:tcPr>
          <w:p>
            <w:pPr>
              <w:jc w:val="cente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1"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372"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pStyle w:val="13"/>
        <w:widowControl/>
        <w:spacing w:line="640" w:lineRule="exact"/>
        <w:ind w:firstLine="0" w:firstLineChars="0"/>
        <w:rPr>
          <w:rFonts w:ascii="Times New Roman" w:hAnsi="Times New Roman" w:eastAsia="仿宋_GB2312"/>
          <w:sz w:val="22"/>
          <w:szCs w:val="22"/>
        </w:rPr>
      </w:pPr>
      <w:r>
        <w:rPr>
          <w:rFonts w:ascii="Times New Roman" w:hAnsi="Times New Roman" w:eastAsia="仿宋_GB2312"/>
          <w:sz w:val="22"/>
        </w:rPr>
        <w:t xml:space="preserve">填表人：       </w:t>
      </w:r>
      <w:r>
        <w:rPr>
          <w:rFonts w:hint="eastAsia" w:ascii="Times New Roman" w:hAnsi="Times New Roman" w:eastAsia="仿宋_GB2312"/>
          <w:sz w:val="22"/>
        </w:rPr>
        <w:t xml:space="preserve"> </w:t>
      </w:r>
      <w:r>
        <w:rPr>
          <w:rFonts w:ascii="Times New Roman" w:hAnsi="Times New Roman" w:eastAsia="仿宋_GB2312"/>
          <w:sz w:val="22"/>
        </w:rPr>
        <w:t xml:space="preserve">填报日期：     </w:t>
      </w:r>
      <w:r>
        <w:rPr>
          <w:rFonts w:hint="eastAsia" w:ascii="Times New Roman" w:hAnsi="Times New Roman" w:eastAsia="仿宋_GB2312"/>
          <w:sz w:val="22"/>
        </w:rPr>
        <w:t xml:space="preserve">      </w:t>
      </w:r>
      <w:r>
        <w:rPr>
          <w:rFonts w:ascii="Times New Roman" w:hAnsi="Times New Roman" w:eastAsia="仿宋_GB2312"/>
          <w:sz w:val="22"/>
        </w:rPr>
        <w:t xml:space="preserve">联系电话：   </w:t>
      </w:r>
      <w:r>
        <w:rPr>
          <w:rFonts w:hint="eastAsia" w:ascii="Times New Roman" w:hAnsi="Times New Roman" w:eastAsia="仿宋_GB2312"/>
          <w:sz w:val="22"/>
        </w:rPr>
        <w:t xml:space="preserve">         </w:t>
      </w:r>
      <w:r>
        <w:rPr>
          <w:rFonts w:ascii="Times New Roman" w:hAnsi="Times New Roman" w:eastAsia="仿宋_GB2312"/>
          <w:sz w:val="22"/>
        </w:rPr>
        <w:t xml:space="preserve"> 单位负责人签字：</w:t>
      </w:r>
    </w:p>
    <w:sectPr>
      <w:pgSz w:w="11906" w:h="16838"/>
      <w:pgMar w:top="127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3OGRhMTY5M2FlM2JiYzViOWMwYjI3YWFkZWVmNTkifQ=="/>
  </w:docVars>
  <w:rsids>
    <w:rsidRoot w:val="59886344"/>
    <w:rsid w:val="00047B02"/>
    <w:rsid w:val="000E39D4"/>
    <w:rsid w:val="00170287"/>
    <w:rsid w:val="0018792F"/>
    <w:rsid w:val="001B2ABA"/>
    <w:rsid w:val="002C3B03"/>
    <w:rsid w:val="00321046"/>
    <w:rsid w:val="00402BE2"/>
    <w:rsid w:val="00417D6A"/>
    <w:rsid w:val="004E7AF4"/>
    <w:rsid w:val="005A5C88"/>
    <w:rsid w:val="005C088A"/>
    <w:rsid w:val="0061443A"/>
    <w:rsid w:val="00931E2B"/>
    <w:rsid w:val="00A93F08"/>
    <w:rsid w:val="00AC540B"/>
    <w:rsid w:val="00BD0973"/>
    <w:rsid w:val="00C22BB3"/>
    <w:rsid w:val="00C53004"/>
    <w:rsid w:val="00D70748"/>
    <w:rsid w:val="00E06383"/>
    <w:rsid w:val="00E412BE"/>
    <w:rsid w:val="00E5153C"/>
    <w:rsid w:val="00F57038"/>
    <w:rsid w:val="03585F5D"/>
    <w:rsid w:val="0368705F"/>
    <w:rsid w:val="03E40645"/>
    <w:rsid w:val="04155018"/>
    <w:rsid w:val="05F16DA0"/>
    <w:rsid w:val="067D155B"/>
    <w:rsid w:val="072A0D5E"/>
    <w:rsid w:val="08D531AA"/>
    <w:rsid w:val="0A0718F5"/>
    <w:rsid w:val="0A23066B"/>
    <w:rsid w:val="0B521208"/>
    <w:rsid w:val="0BD0037E"/>
    <w:rsid w:val="0BD07CC1"/>
    <w:rsid w:val="0F29227F"/>
    <w:rsid w:val="0FC41FA8"/>
    <w:rsid w:val="101F6442"/>
    <w:rsid w:val="104073FF"/>
    <w:rsid w:val="12D32267"/>
    <w:rsid w:val="13D670D0"/>
    <w:rsid w:val="13DA2702"/>
    <w:rsid w:val="1405311A"/>
    <w:rsid w:val="16F15A69"/>
    <w:rsid w:val="172B2124"/>
    <w:rsid w:val="172D2B29"/>
    <w:rsid w:val="17AD2D85"/>
    <w:rsid w:val="17DC7904"/>
    <w:rsid w:val="18096877"/>
    <w:rsid w:val="18A72D74"/>
    <w:rsid w:val="192E77AB"/>
    <w:rsid w:val="198A7D37"/>
    <w:rsid w:val="1CA92FCC"/>
    <w:rsid w:val="1DD737EE"/>
    <w:rsid w:val="1E284F2F"/>
    <w:rsid w:val="1ECA401E"/>
    <w:rsid w:val="1F417171"/>
    <w:rsid w:val="1F9C4CF0"/>
    <w:rsid w:val="1F9F20EA"/>
    <w:rsid w:val="1FE411A4"/>
    <w:rsid w:val="20717F2A"/>
    <w:rsid w:val="20F87A39"/>
    <w:rsid w:val="216B6728"/>
    <w:rsid w:val="24BE2C1C"/>
    <w:rsid w:val="27CB7F20"/>
    <w:rsid w:val="292C7FA1"/>
    <w:rsid w:val="2A100353"/>
    <w:rsid w:val="2A450AA9"/>
    <w:rsid w:val="2A8D3BB3"/>
    <w:rsid w:val="2B0F3E96"/>
    <w:rsid w:val="2BAA0E41"/>
    <w:rsid w:val="2D410C84"/>
    <w:rsid w:val="2D4657EE"/>
    <w:rsid w:val="2F0E4B96"/>
    <w:rsid w:val="2F2045CC"/>
    <w:rsid w:val="320B53DF"/>
    <w:rsid w:val="321D3FE2"/>
    <w:rsid w:val="32C548F8"/>
    <w:rsid w:val="35CF5E74"/>
    <w:rsid w:val="38C118F0"/>
    <w:rsid w:val="3B23785C"/>
    <w:rsid w:val="3C156456"/>
    <w:rsid w:val="3C2C64D2"/>
    <w:rsid w:val="3CB537CF"/>
    <w:rsid w:val="3CF73497"/>
    <w:rsid w:val="3D070645"/>
    <w:rsid w:val="3F696B11"/>
    <w:rsid w:val="40F273ED"/>
    <w:rsid w:val="41B63929"/>
    <w:rsid w:val="41F76A00"/>
    <w:rsid w:val="42182D4E"/>
    <w:rsid w:val="427C2F78"/>
    <w:rsid w:val="42907FB1"/>
    <w:rsid w:val="43B151C2"/>
    <w:rsid w:val="440B0BF3"/>
    <w:rsid w:val="44182F4F"/>
    <w:rsid w:val="44401EAB"/>
    <w:rsid w:val="4441183E"/>
    <w:rsid w:val="445265DF"/>
    <w:rsid w:val="44930287"/>
    <w:rsid w:val="458D5615"/>
    <w:rsid w:val="47F62B74"/>
    <w:rsid w:val="4829354E"/>
    <w:rsid w:val="48770C66"/>
    <w:rsid w:val="497F0684"/>
    <w:rsid w:val="49A50F0B"/>
    <w:rsid w:val="49C65963"/>
    <w:rsid w:val="49FF2520"/>
    <w:rsid w:val="4A747320"/>
    <w:rsid w:val="4B9C166F"/>
    <w:rsid w:val="4C404189"/>
    <w:rsid w:val="4EC87298"/>
    <w:rsid w:val="503F0BFC"/>
    <w:rsid w:val="540612DD"/>
    <w:rsid w:val="54326440"/>
    <w:rsid w:val="54622945"/>
    <w:rsid w:val="55215252"/>
    <w:rsid w:val="55241353"/>
    <w:rsid w:val="56EE3E47"/>
    <w:rsid w:val="570F7BE9"/>
    <w:rsid w:val="577354C1"/>
    <w:rsid w:val="57EA583A"/>
    <w:rsid w:val="57F152A0"/>
    <w:rsid w:val="58393127"/>
    <w:rsid w:val="59886344"/>
    <w:rsid w:val="59BB0154"/>
    <w:rsid w:val="5A375EA4"/>
    <w:rsid w:val="5AF440A0"/>
    <w:rsid w:val="5B0A331F"/>
    <w:rsid w:val="5B192C82"/>
    <w:rsid w:val="5B411CCC"/>
    <w:rsid w:val="5B950730"/>
    <w:rsid w:val="5C1263A3"/>
    <w:rsid w:val="5E8C14B0"/>
    <w:rsid w:val="5EE144F9"/>
    <w:rsid w:val="607D37A6"/>
    <w:rsid w:val="61045C75"/>
    <w:rsid w:val="619E0691"/>
    <w:rsid w:val="62D378CB"/>
    <w:rsid w:val="63202106"/>
    <w:rsid w:val="63C60FC0"/>
    <w:rsid w:val="6410048D"/>
    <w:rsid w:val="64CF6C8F"/>
    <w:rsid w:val="674F6FAE"/>
    <w:rsid w:val="68DD5D2B"/>
    <w:rsid w:val="69FB9605"/>
    <w:rsid w:val="6A7B3442"/>
    <w:rsid w:val="6B99345E"/>
    <w:rsid w:val="6C303DC2"/>
    <w:rsid w:val="6CA97D11"/>
    <w:rsid w:val="6D800432"/>
    <w:rsid w:val="6E705326"/>
    <w:rsid w:val="6EBC4974"/>
    <w:rsid w:val="6EC01A4C"/>
    <w:rsid w:val="6F0D3B6F"/>
    <w:rsid w:val="6F41220A"/>
    <w:rsid w:val="70F133F4"/>
    <w:rsid w:val="71973F9C"/>
    <w:rsid w:val="73102258"/>
    <w:rsid w:val="73BF6C6B"/>
    <w:rsid w:val="74EC4E86"/>
    <w:rsid w:val="758D6016"/>
    <w:rsid w:val="767D7DFF"/>
    <w:rsid w:val="768770CB"/>
    <w:rsid w:val="77141D7E"/>
    <w:rsid w:val="7728263E"/>
    <w:rsid w:val="77E67A2B"/>
    <w:rsid w:val="79607369"/>
    <w:rsid w:val="798C015E"/>
    <w:rsid w:val="7A5614FA"/>
    <w:rsid w:val="7C7D6B26"/>
    <w:rsid w:val="7C9150AE"/>
    <w:rsid w:val="7F2A13E6"/>
    <w:rsid w:val="7F343489"/>
    <w:rsid w:val="A7DFE88C"/>
    <w:rsid w:val="BFFD51A1"/>
    <w:rsid w:val="C1378595"/>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rPr>
      <w:rFonts w:eastAsia="仿宋" w:cs="仿宋"/>
      <w:sz w:val="31"/>
      <w:szCs w:val="31"/>
      <w:lang w:eastAsia="en-US"/>
    </w:rPr>
  </w:style>
  <w:style w:type="paragraph" w:styleId="4">
    <w:name w:val="toc 5"/>
    <w:basedOn w:val="1"/>
    <w:next w:val="1"/>
    <w:qFormat/>
    <w:uiPriority w:val="0"/>
    <w:pPr>
      <w:ind w:left="1680" w:leftChars="800"/>
    </w:pPr>
    <w:rPr>
      <w:rFonts w:ascii="Calibri" w:hAnsi="Calibri"/>
      <w:kern w:val="2"/>
      <w:sz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sz w:val="24"/>
    </w:rPr>
  </w:style>
  <w:style w:type="paragraph" w:customStyle="1" w:styleId="10">
    <w:name w:val="BodyText"/>
    <w:basedOn w:val="1"/>
    <w:next w:val="11"/>
    <w:qFormat/>
    <w:uiPriority w:val="0"/>
    <w:pPr>
      <w:textAlignment w:val="baseline"/>
    </w:pPr>
    <w:rPr>
      <w:rFonts w:ascii="仿宋_GB2312" w:hAnsi="仿宋_GB2312" w:eastAsia="仿宋_GB2312"/>
      <w:sz w:val="32"/>
      <w:szCs w:val="32"/>
      <w:lang w:val="zh-CN" w:bidi="zh-CN"/>
    </w:rPr>
  </w:style>
  <w:style w:type="paragraph" w:customStyle="1" w:styleId="11">
    <w:name w:val="BodyText1I"/>
    <w:basedOn w:val="10"/>
    <w:qFormat/>
    <w:uiPriority w:val="0"/>
    <w:pPr>
      <w:ind w:firstLine="420" w:firstLineChars="100"/>
    </w:pPr>
    <w:rPr>
      <w:rFonts w:cs="宋体"/>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 w:type="character" w:customStyle="1" w:styleId="14">
    <w:name w:val="页眉 Char"/>
    <w:basedOn w:val="9"/>
    <w:link w:val="6"/>
    <w:qFormat/>
    <w:uiPriority w:val="0"/>
    <w:rPr>
      <w:rFonts w:ascii="仿宋" w:hAnsi="仿宋" w:eastAsia="宋体" w:cs="Times New Roman"/>
      <w:sz w:val="18"/>
      <w:szCs w:val="18"/>
    </w:rPr>
  </w:style>
  <w:style w:type="character" w:customStyle="1" w:styleId="15">
    <w:name w:val="页脚 Char"/>
    <w:basedOn w:val="9"/>
    <w:link w:val="5"/>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7242</Words>
  <Characters>1380</Characters>
  <Lines>11</Lines>
  <Paragraphs>17</Paragraphs>
  <TotalTime>13</TotalTime>
  <ScaleCrop>false</ScaleCrop>
  <LinksUpToDate>false</LinksUpToDate>
  <CharactersWithSpaces>8605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︶默。ㄣ</cp:lastModifiedBy>
  <cp:lastPrinted>2025-05-15T14:59:09Z</cp:lastPrinted>
  <dcterms:modified xsi:type="dcterms:W3CDTF">2025-05-15T15:12:51Z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12C804FB5DC74582993175EDEB038DA2_13</vt:lpwstr>
  </property>
</Properties>
</file>