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8F313">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6CB63598">
      <w:pPr>
        <w:jc w:val="center"/>
        <w:rPr>
          <w:rFonts w:hint="default" w:ascii="Times New Roman" w:hAnsi="Times New Roman" w:eastAsia="方正小标宋_GBK" w:cs="Times New Roman"/>
          <w:sz w:val="52"/>
          <w:szCs w:val="52"/>
          <w:highlight w:val="none"/>
        </w:rPr>
      </w:pPr>
    </w:p>
    <w:p w14:paraId="7FB3208A">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岳阳市君山区自然资源局</w:t>
      </w:r>
    </w:p>
    <w:p w14:paraId="13ADDA35">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w:t>
      </w:r>
    </w:p>
    <w:p w14:paraId="6D832EE2">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676E7156">
      <w:pPr>
        <w:jc w:val="center"/>
        <w:rPr>
          <w:rFonts w:hint="default" w:ascii="Times New Roman" w:hAnsi="Times New Roman" w:eastAsia="方正小标宋_GBK" w:cs="Times New Roman"/>
          <w:b/>
          <w:sz w:val="52"/>
          <w:szCs w:val="52"/>
          <w:highlight w:val="none"/>
        </w:rPr>
      </w:pPr>
    </w:p>
    <w:p w14:paraId="7B34BD11">
      <w:pPr>
        <w:jc w:val="center"/>
        <w:rPr>
          <w:rFonts w:hint="default" w:ascii="Times New Roman" w:hAnsi="Times New Roman" w:eastAsia="楷体_GB2312" w:cs="Times New Roman"/>
          <w:b/>
          <w:sz w:val="32"/>
          <w:szCs w:val="32"/>
          <w:highlight w:val="none"/>
        </w:rPr>
      </w:pPr>
    </w:p>
    <w:p w14:paraId="7A353CE2">
      <w:pPr>
        <w:jc w:val="center"/>
        <w:rPr>
          <w:rFonts w:hint="default" w:ascii="Times New Roman" w:hAnsi="Times New Roman" w:eastAsia="楷体_GB2312" w:cs="Times New Roman"/>
          <w:b/>
          <w:sz w:val="32"/>
          <w:szCs w:val="32"/>
          <w:highlight w:val="none"/>
        </w:rPr>
      </w:pPr>
    </w:p>
    <w:p w14:paraId="239AFDB7">
      <w:pPr>
        <w:jc w:val="center"/>
        <w:rPr>
          <w:rFonts w:hint="default" w:ascii="Times New Roman" w:hAnsi="Times New Roman" w:eastAsia="楷体_GB2312" w:cs="Times New Roman"/>
          <w:b/>
          <w:sz w:val="32"/>
          <w:szCs w:val="32"/>
          <w:highlight w:val="none"/>
        </w:rPr>
      </w:pPr>
    </w:p>
    <w:p w14:paraId="2EDC099F">
      <w:pPr>
        <w:jc w:val="center"/>
        <w:rPr>
          <w:rFonts w:hint="default" w:ascii="Times New Roman" w:hAnsi="Times New Roman" w:eastAsia="楷体_GB2312" w:cs="Times New Roman"/>
          <w:b/>
          <w:sz w:val="32"/>
          <w:szCs w:val="32"/>
          <w:highlight w:val="none"/>
        </w:rPr>
      </w:pPr>
    </w:p>
    <w:p w14:paraId="3D85656E">
      <w:pPr>
        <w:jc w:val="center"/>
        <w:rPr>
          <w:rFonts w:hint="default" w:ascii="Times New Roman" w:hAnsi="Times New Roman" w:eastAsia="楷体_GB2312" w:cs="Times New Roman"/>
          <w:b/>
          <w:sz w:val="32"/>
          <w:szCs w:val="32"/>
          <w:highlight w:val="none"/>
        </w:rPr>
      </w:pPr>
    </w:p>
    <w:p w14:paraId="47B103F1">
      <w:pPr>
        <w:jc w:val="center"/>
        <w:rPr>
          <w:rFonts w:hint="default" w:ascii="Times New Roman" w:hAnsi="Times New Roman" w:eastAsia="楷体_GB2312" w:cs="Times New Roman"/>
          <w:b/>
          <w:sz w:val="32"/>
          <w:szCs w:val="32"/>
          <w:highlight w:val="none"/>
        </w:rPr>
      </w:pPr>
    </w:p>
    <w:p w14:paraId="1A30FA59">
      <w:pPr>
        <w:jc w:val="center"/>
        <w:rPr>
          <w:rFonts w:hint="default" w:ascii="Times New Roman" w:hAnsi="Times New Roman" w:eastAsia="黑体" w:cs="Times New Roman"/>
          <w:sz w:val="32"/>
          <w:szCs w:val="32"/>
          <w:highlight w:val="none"/>
        </w:rPr>
      </w:pPr>
    </w:p>
    <w:p w14:paraId="59500CA3">
      <w:pPr>
        <w:jc w:val="center"/>
        <w:rPr>
          <w:rFonts w:hint="default" w:ascii="Times New Roman" w:hAnsi="Times New Roman" w:eastAsia="黑体" w:cs="Times New Roman"/>
          <w:sz w:val="32"/>
          <w:szCs w:val="32"/>
          <w:highlight w:val="none"/>
        </w:rPr>
      </w:pPr>
    </w:p>
    <w:p w14:paraId="05330F1E">
      <w:pPr>
        <w:jc w:val="both"/>
        <w:rPr>
          <w:rFonts w:hint="default" w:ascii="Times New Roman" w:hAnsi="Times New Roman" w:eastAsia="黑体" w:cs="Times New Roman"/>
          <w:sz w:val="32"/>
          <w:szCs w:val="32"/>
          <w:highlight w:val="none"/>
        </w:rPr>
      </w:pPr>
    </w:p>
    <w:p w14:paraId="49532A15">
      <w:pPr>
        <w:jc w:val="center"/>
        <w:rPr>
          <w:rFonts w:hint="default" w:ascii="Times New Roman" w:hAnsi="Times New Roman" w:eastAsia="黑体" w:cs="Times New Roman"/>
          <w:sz w:val="32"/>
          <w:szCs w:val="32"/>
          <w:highlight w:val="none"/>
        </w:rPr>
      </w:pPr>
    </w:p>
    <w:p w14:paraId="70E2E79F">
      <w:pPr>
        <w:jc w:val="center"/>
        <w:rPr>
          <w:rFonts w:hint="default" w:ascii="Times New Roman" w:hAnsi="Times New Roman" w:eastAsia="黑体" w:cs="Times New Roman"/>
          <w:sz w:val="32"/>
          <w:szCs w:val="32"/>
          <w:highlight w:val="none"/>
        </w:rPr>
      </w:pPr>
    </w:p>
    <w:p w14:paraId="5BB2C4FE">
      <w:pPr>
        <w:jc w:val="center"/>
        <w:rPr>
          <w:rFonts w:hint="default" w:ascii="Times New Roman" w:hAnsi="Times New Roman" w:eastAsia="黑体" w:cs="Times New Roman"/>
          <w:sz w:val="32"/>
          <w:szCs w:val="32"/>
          <w:highlight w:val="none"/>
        </w:rPr>
      </w:pPr>
    </w:p>
    <w:p w14:paraId="5DAE7279">
      <w:pPr>
        <w:spacing w:line="600" w:lineRule="exact"/>
        <w:jc w:val="center"/>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u w:val="single"/>
          <w:lang w:val="en-US" w:eastAsia="zh-CN"/>
        </w:rPr>
        <w:t>岳阳市君山区自然资源局</w:t>
      </w:r>
    </w:p>
    <w:p w14:paraId="7057388F">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4</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18</w:t>
      </w:r>
      <w:r>
        <w:rPr>
          <w:rFonts w:hint="default" w:ascii="Times New Roman" w:hAnsi="Times New Roman" w:eastAsia="楷体_GB2312" w:cs="Times New Roman"/>
          <w:sz w:val="32"/>
          <w:szCs w:val="32"/>
          <w:highlight w:val="none"/>
        </w:rPr>
        <w:t>日</w:t>
      </w:r>
    </w:p>
    <w:p w14:paraId="00B67816">
      <w:pPr>
        <w:jc w:val="center"/>
        <w:rPr>
          <w:rFonts w:hint="eastAsia" w:ascii="方正小标宋简体" w:hAnsi="方正小标宋简体" w:eastAsia="方正小标宋简体" w:cs="方正小标宋简体"/>
          <w:sz w:val="44"/>
          <w:szCs w:val="44"/>
          <w:highlight w:val="none"/>
          <w:lang w:val="en-US"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岳阳市君山区自然资源局</w:t>
      </w:r>
    </w:p>
    <w:p w14:paraId="6775F28F">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w:t>
      </w:r>
    </w:p>
    <w:p w14:paraId="46AB2D2A">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05F1AE73">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64B22229">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一、</w:t>
      </w:r>
      <w:r>
        <w:rPr>
          <w:rFonts w:hint="default" w:ascii="Times New Roman" w:hAnsi="Times New Roman" w:eastAsia="黑体" w:cs="Times New Roman"/>
          <w:sz w:val="32"/>
          <w:szCs w:val="32"/>
          <w:highlight w:val="none"/>
        </w:rPr>
        <w:t>部门（单位）基本情况</w:t>
      </w:r>
    </w:p>
    <w:p w14:paraId="68708D31">
      <w:pPr>
        <w:pStyle w:val="4"/>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（一）主要职责</w:t>
      </w:r>
    </w:p>
    <w:p w14:paraId="11D0437D">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依法履行全民所有土地、矿产、森林、草原、湿地、水等自然资源资产所有者职责和国土空间用途管制职责。负责自然资源调查监测评价。负责自然资源统一确权登记工作。</w:t>
      </w:r>
      <w:r>
        <w:rPr>
          <w:rFonts w:hint="eastAsia" w:ascii="仿宋_GB2312" w:hAnsi="仿宋_GB2312" w:eastAsia="仿宋_GB2312" w:cs="仿宋_GB2312"/>
          <w:b w:val="0"/>
          <w:bCs/>
          <w:sz w:val="32"/>
          <w:szCs w:val="32"/>
          <w:lang w:eastAsia="zh-CN"/>
        </w:rPr>
        <w:t>负责辖区自然资源资产有偿使用工作。</w:t>
      </w:r>
      <w:r>
        <w:rPr>
          <w:rFonts w:hint="eastAsia" w:ascii="仿宋_GB2312" w:hAnsi="仿宋_GB2312" w:eastAsia="仿宋_GB2312" w:cs="仿宋_GB2312"/>
          <w:b w:val="0"/>
          <w:bCs/>
          <w:sz w:val="32"/>
          <w:szCs w:val="32"/>
        </w:rPr>
        <w:t>负责自然资源的合理开发利用。</w:t>
      </w:r>
      <w:r>
        <w:rPr>
          <w:rFonts w:hint="eastAsia" w:ascii="仿宋_GB2312" w:hAnsi="仿宋_GB2312" w:eastAsia="仿宋_GB2312" w:cs="仿宋_GB2312"/>
          <w:b w:val="0"/>
          <w:bCs/>
          <w:sz w:val="32"/>
          <w:szCs w:val="32"/>
          <w:lang w:eastAsia="zh-CN"/>
        </w:rPr>
        <w:t>协助</w:t>
      </w:r>
      <w:r>
        <w:rPr>
          <w:rFonts w:hint="eastAsia" w:ascii="仿宋_GB2312" w:hAnsi="仿宋_GB2312" w:eastAsia="仿宋_GB2312" w:cs="仿宋_GB2312"/>
          <w:b w:val="0"/>
          <w:bCs/>
          <w:sz w:val="32"/>
          <w:szCs w:val="32"/>
        </w:rPr>
        <w:t>建立国土空间规划体系并监督实施。</w:t>
      </w:r>
      <w:r>
        <w:rPr>
          <w:rFonts w:hint="eastAsia" w:ascii="仿宋_GB2312" w:hAnsi="仿宋_GB2312" w:eastAsia="仿宋_GB2312" w:cs="仿宋_GB2312"/>
          <w:b w:val="0"/>
          <w:bCs/>
          <w:sz w:val="32"/>
          <w:szCs w:val="32"/>
          <w:lang w:eastAsia="zh-CN"/>
        </w:rPr>
        <w:t>建立健全国土空间用途管制制度；负责辖区集体土地征收启动公告、征地拆迁安置方案、土地征收公告审核呈报工作。配合制定全区国土空间规划编制计划和近期建设规划，配合制定全区土地利用及储备供应、矿产资源保护利用、基础测绘等年度计划</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eastAsia="zh-CN"/>
        </w:rPr>
        <w:t>并上报批准后组织实施</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eastAsia="zh-CN"/>
        </w:rPr>
        <w:t>参与城市发展年度建设计划及实施工作。</w:t>
      </w:r>
      <w:r>
        <w:rPr>
          <w:rFonts w:hint="eastAsia" w:ascii="仿宋_GB2312" w:hAnsi="仿宋_GB2312" w:eastAsia="仿宋_GB2312" w:cs="仿宋_GB2312"/>
          <w:b w:val="0"/>
          <w:bCs/>
          <w:sz w:val="32"/>
          <w:szCs w:val="32"/>
        </w:rPr>
        <w:t>负责统筹国土空间生态修复</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负责组织实施最严格的耕地保护制度。</w:t>
      </w:r>
      <w:r>
        <w:rPr>
          <w:rFonts w:hint="eastAsia" w:ascii="仿宋_GB2312" w:hAnsi="仿宋_GB2312" w:eastAsia="仿宋_GB2312" w:cs="仿宋_GB2312"/>
          <w:b w:val="0"/>
          <w:bCs/>
          <w:sz w:val="32"/>
          <w:szCs w:val="32"/>
          <w:lang w:eastAsia="zh-CN"/>
        </w:rPr>
        <w:t>负责管理地质勘查行业和全区地质工作。</w:t>
      </w:r>
      <w:r>
        <w:rPr>
          <w:rFonts w:hint="eastAsia" w:ascii="仿宋_GB2312" w:hAnsi="仿宋_GB2312" w:eastAsia="仿宋_GB2312" w:cs="仿宋_GB2312"/>
          <w:b w:val="0"/>
          <w:bCs/>
          <w:sz w:val="32"/>
          <w:szCs w:val="32"/>
        </w:rPr>
        <w:t>负责地质灾害预防和治理。负责矿产资源管理工作。</w:t>
      </w:r>
      <w:r>
        <w:rPr>
          <w:rFonts w:hint="eastAsia" w:ascii="仿宋_GB2312" w:hAnsi="仿宋_GB2312" w:eastAsia="仿宋_GB2312" w:cs="仿宋_GB2312"/>
          <w:b w:val="0"/>
          <w:bCs/>
          <w:sz w:val="32"/>
          <w:szCs w:val="32"/>
          <w:lang w:eastAsia="zh-CN"/>
        </w:rPr>
        <w:t>推动自然资源领域科技发展。</w:t>
      </w:r>
      <w:r>
        <w:rPr>
          <w:rFonts w:hint="eastAsia" w:ascii="仿宋_GB2312" w:hAnsi="仿宋_GB2312" w:eastAsia="仿宋_GB2312" w:cs="仿宋_GB2312"/>
          <w:b w:val="0"/>
          <w:bCs/>
          <w:sz w:val="32"/>
          <w:szCs w:val="32"/>
        </w:rPr>
        <w:t>负责测绘地理信息管理工作。</w:t>
      </w:r>
      <w:r>
        <w:rPr>
          <w:rFonts w:hint="eastAsia" w:ascii="仿宋_GB2312" w:hAnsi="仿宋_GB2312" w:eastAsia="仿宋_GB2312" w:cs="仿宋_GB2312"/>
          <w:b w:val="0"/>
          <w:bCs/>
          <w:sz w:val="32"/>
          <w:szCs w:val="32"/>
          <w:lang w:eastAsia="zh-CN"/>
        </w:rPr>
        <w:t>按权限查处自然资源领域及测绘领域违法案件。</w:t>
      </w:r>
      <w:r>
        <w:rPr>
          <w:rFonts w:hint="eastAsia" w:ascii="仿宋_GB2312" w:hAnsi="仿宋_GB2312" w:eastAsia="仿宋_GB2312" w:cs="仿宋_GB2312"/>
          <w:b w:val="0"/>
          <w:bCs/>
          <w:sz w:val="32"/>
          <w:szCs w:val="32"/>
          <w:lang w:val="en-US" w:eastAsia="zh-CN"/>
        </w:rPr>
        <w:t>负责田长制相关工作。</w:t>
      </w:r>
    </w:p>
    <w:p w14:paraId="777EBC0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lang w:eastAsia="zh-CN"/>
        </w:rPr>
        <w:t>截止202</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eastAsia="zh-CN"/>
        </w:rPr>
        <w:t>年底，岳阳市君山区自然资源局年末实有在职人员3</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eastAsia="zh-CN"/>
        </w:rPr>
        <w:t>人，其中行政人员12人、参照公务员法管理事业人员</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lang w:eastAsia="zh-CN"/>
        </w:rPr>
        <w:t>人、事业人员2</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eastAsia="zh-CN"/>
        </w:rPr>
        <w:t>人。202</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eastAsia="zh-CN"/>
        </w:rPr>
        <w:t>年年末实有在职人数为</w:t>
      </w:r>
      <w:r>
        <w:rPr>
          <w:rFonts w:hint="eastAsia" w:ascii="仿宋_GB2312" w:hAnsi="仿宋_GB2312" w:eastAsia="仿宋_GB2312" w:cs="仿宋_GB2312"/>
          <w:b w:val="0"/>
          <w:bCs/>
          <w:sz w:val="32"/>
          <w:szCs w:val="32"/>
          <w:lang w:val="en-US" w:eastAsia="zh-CN"/>
        </w:rPr>
        <w:t>35</w:t>
      </w:r>
      <w:r>
        <w:rPr>
          <w:rFonts w:hint="eastAsia" w:ascii="仿宋_GB2312" w:hAnsi="仿宋_GB2312" w:eastAsia="仿宋_GB2312" w:cs="仿宋_GB2312"/>
          <w:b w:val="0"/>
          <w:bCs/>
          <w:sz w:val="32"/>
          <w:szCs w:val="32"/>
          <w:lang w:eastAsia="zh-CN"/>
        </w:rPr>
        <w:t>人，今年相比上年变化为</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人。单位管理的离休人员为0人、退休人员为17人。在职人员变动原因为</w:t>
      </w:r>
      <w:r>
        <w:rPr>
          <w:rFonts w:hint="eastAsia" w:ascii="仿宋_GB2312" w:hAnsi="仿宋_GB2312" w:eastAsia="仿宋_GB2312" w:cs="仿宋_GB2312"/>
          <w:b w:val="0"/>
          <w:bCs/>
          <w:sz w:val="32"/>
          <w:szCs w:val="32"/>
          <w:lang w:val="en-US" w:eastAsia="zh-CN"/>
        </w:rPr>
        <w:t>正常工作调出</w:t>
      </w:r>
      <w:r>
        <w:rPr>
          <w:rFonts w:hint="eastAsia" w:ascii="仿宋_GB2312" w:hAnsi="仿宋_GB2312" w:eastAsia="仿宋_GB2312" w:cs="仿宋_GB2312"/>
          <w:b w:val="0"/>
          <w:bCs/>
          <w:sz w:val="32"/>
          <w:szCs w:val="32"/>
          <w:lang w:eastAsia="zh-CN"/>
        </w:rPr>
        <w:t>。</w:t>
      </w:r>
    </w:p>
    <w:p w14:paraId="6B70E31E">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13AFEFCE">
      <w:pPr>
        <w:pStyle w:val="4"/>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126E5C49">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val="0"/>
          <w:bCs w:val="0"/>
          <w:sz w:val="32"/>
          <w:szCs w:val="32"/>
          <w:highlight w:val="none"/>
          <w:lang w:eastAsia="zh-CN"/>
        </w:rPr>
        <w:t>202</w:t>
      </w: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lang w:eastAsia="zh-CN"/>
        </w:rPr>
        <w:t>年</w:t>
      </w:r>
      <w:r>
        <w:rPr>
          <w:rFonts w:hint="eastAsia" w:ascii="仿宋_GB2312" w:hAnsi="仿宋_GB2312" w:eastAsia="仿宋_GB2312" w:cs="仿宋_GB2312"/>
          <w:b w:val="0"/>
          <w:bCs w:val="0"/>
          <w:sz w:val="32"/>
          <w:szCs w:val="32"/>
          <w:highlight w:val="none"/>
          <w:lang w:val="en-US" w:eastAsia="zh-CN"/>
        </w:rPr>
        <w:t>度</w:t>
      </w:r>
      <w:r>
        <w:rPr>
          <w:rFonts w:hint="eastAsia" w:ascii="仿宋_GB2312" w:hAnsi="仿宋_GB2312" w:eastAsia="仿宋_GB2312" w:cs="仿宋_GB2312"/>
          <w:b w:val="0"/>
          <w:bCs w:val="0"/>
          <w:sz w:val="32"/>
          <w:szCs w:val="32"/>
          <w:highlight w:val="none"/>
          <w:lang w:eastAsia="zh-CN"/>
        </w:rPr>
        <w:t>基本支出</w:t>
      </w:r>
      <w:r>
        <w:rPr>
          <w:rFonts w:hint="eastAsia" w:ascii="仿宋_GB2312" w:hAnsi="仿宋_GB2312" w:eastAsia="仿宋_GB2312" w:cs="仿宋_GB2312"/>
          <w:b w:val="0"/>
          <w:bCs w:val="0"/>
          <w:sz w:val="32"/>
          <w:szCs w:val="32"/>
          <w:highlight w:val="none"/>
          <w:lang w:val="en-US" w:eastAsia="zh-CN"/>
        </w:rPr>
        <w:t>1641.76</w:t>
      </w:r>
      <w:r>
        <w:rPr>
          <w:rFonts w:hint="eastAsia" w:ascii="仿宋_GB2312" w:hAnsi="仿宋_GB2312" w:eastAsia="仿宋_GB2312" w:cs="仿宋_GB2312"/>
          <w:b w:val="0"/>
          <w:bCs w:val="0"/>
          <w:sz w:val="32"/>
          <w:szCs w:val="32"/>
          <w:highlight w:val="none"/>
          <w:lang w:eastAsia="zh-CN"/>
        </w:rPr>
        <w:t>万元（人员经费</w:t>
      </w:r>
      <w:r>
        <w:rPr>
          <w:rFonts w:hint="eastAsia" w:ascii="仿宋_GB2312" w:hAnsi="仿宋_GB2312" w:eastAsia="仿宋_GB2312" w:cs="仿宋_GB2312"/>
          <w:b w:val="0"/>
          <w:bCs w:val="0"/>
          <w:sz w:val="32"/>
          <w:szCs w:val="32"/>
          <w:highlight w:val="none"/>
          <w:lang w:val="en-US" w:eastAsia="zh-CN"/>
        </w:rPr>
        <w:t>468.80</w:t>
      </w:r>
      <w:r>
        <w:rPr>
          <w:rFonts w:hint="eastAsia" w:ascii="仿宋_GB2312" w:hAnsi="仿宋_GB2312" w:eastAsia="仿宋_GB2312" w:cs="仿宋_GB2312"/>
          <w:b w:val="0"/>
          <w:bCs w:val="0"/>
          <w:sz w:val="32"/>
          <w:szCs w:val="32"/>
          <w:highlight w:val="none"/>
          <w:lang w:eastAsia="zh-CN"/>
        </w:rPr>
        <w:t>万元、公用经费</w:t>
      </w:r>
      <w:r>
        <w:rPr>
          <w:rFonts w:hint="eastAsia" w:ascii="仿宋_GB2312" w:hAnsi="仿宋_GB2312" w:eastAsia="仿宋_GB2312" w:cs="仿宋_GB2312"/>
          <w:sz w:val="32"/>
          <w:szCs w:val="32"/>
          <w:highlight w:val="none"/>
          <w:lang w:val="en-US" w:eastAsia="zh-CN"/>
        </w:rPr>
        <w:t>34.92</w:t>
      </w:r>
      <w:r>
        <w:rPr>
          <w:rFonts w:hint="eastAsia" w:ascii="仿宋_GB2312" w:hAnsi="仿宋_GB2312" w:eastAsia="仿宋_GB2312" w:cs="仿宋_GB2312"/>
          <w:b w:val="0"/>
          <w:bCs w:val="0"/>
          <w:sz w:val="32"/>
          <w:szCs w:val="32"/>
          <w:highlight w:val="none"/>
          <w:lang w:eastAsia="zh-CN"/>
        </w:rPr>
        <w:t>万元、</w:t>
      </w:r>
      <w:r>
        <w:rPr>
          <w:rFonts w:hint="eastAsia" w:ascii="仿宋_GB2312" w:hAnsi="仿宋_GB2312" w:eastAsia="仿宋_GB2312" w:cs="仿宋_GB2312"/>
          <w:b w:val="0"/>
          <w:bCs w:val="0"/>
          <w:sz w:val="32"/>
          <w:szCs w:val="32"/>
          <w:highlight w:val="none"/>
          <w:lang w:val="en-US" w:eastAsia="zh-CN"/>
        </w:rPr>
        <w:t>其他追加项支出1138.04万元</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主要为发放单位的基本工资、津贴补贴、奖金、社会保障、对个人和家庭的补助等支出，工资福利支出430.86万元、商品和服务支出50.12万元、对个人和家庭的补助22.74万元。</w:t>
      </w:r>
    </w:p>
    <w:p w14:paraId="08F177D4">
      <w:pPr>
        <w:pStyle w:val="4"/>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671CDD24">
      <w:pPr>
        <w:pStyle w:val="4"/>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b w:val="0"/>
          <w:bCs w:val="0"/>
          <w:kern w:val="0"/>
          <w:sz w:val="28"/>
          <w:szCs w:val="28"/>
          <w:highlight w:val="none"/>
          <w:lang w:val="en-US" w:eastAsia="zh-CN" w:bidi="ar-SA"/>
        </w:rPr>
      </w:pPr>
      <w:r>
        <w:rPr>
          <w:rFonts w:hint="default" w:ascii="仿宋_GB2312" w:hAnsi="仿宋_GB2312" w:eastAsia="仿宋_GB2312" w:cs="仿宋_GB2312"/>
          <w:b w:val="0"/>
          <w:bCs w:val="0"/>
          <w:sz w:val="32"/>
          <w:szCs w:val="32"/>
          <w:highlight w:val="none"/>
          <w:lang w:val="en-US" w:eastAsia="zh-CN"/>
        </w:rPr>
        <w:t>202</w:t>
      </w:r>
      <w:r>
        <w:rPr>
          <w:rFonts w:hint="eastAsia" w:ascii="仿宋_GB2312" w:hAnsi="仿宋_GB2312" w:eastAsia="仿宋_GB2312" w:cs="仿宋_GB2312"/>
          <w:b w:val="0"/>
          <w:bCs w:val="0"/>
          <w:sz w:val="32"/>
          <w:szCs w:val="32"/>
          <w:highlight w:val="none"/>
          <w:lang w:val="en-US" w:eastAsia="zh-CN"/>
        </w:rPr>
        <w:t>4</w:t>
      </w:r>
      <w:r>
        <w:rPr>
          <w:rFonts w:hint="default" w:ascii="仿宋_GB2312" w:hAnsi="仿宋_GB2312" w:eastAsia="仿宋_GB2312" w:cs="仿宋_GB2312"/>
          <w:b w:val="0"/>
          <w:bCs w:val="0"/>
          <w:sz w:val="32"/>
          <w:szCs w:val="32"/>
          <w:highlight w:val="none"/>
          <w:lang w:val="en-US" w:eastAsia="zh-CN"/>
        </w:rPr>
        <w:t>年</w:t>
      </w:r>
      <w:r>
        <w:rPr>
          <w:rFonts w:hint="eastAsia" w:ascii="仿宋_GB2312" w:hAnsi="仿宋_GB2312" w:eastAsia="仿宋_GB2312" w:cs="仿宋_GB2312"/>
          <w:b w:val="0"/>
          <w:bCs w:val="0"/>
          <w:sz w:val="32"/>
          <w:szCs w:val="32"/>
          <w:highlight w:val="none"/>
          <w:lang w:val="en-US" w:eastAsia="zh-CN"/>
        </w:rPr>
        <w:t>度</w:t>
      </w:r>
      <w:r>
        <w:rPr>
          <w:rFonts w:hint="default" w:ascii="仿宋_GB2312" w:hAnsi="仿宋_GB2312" w:eastAsia="仿宋_GB2312" w:cs="仿宋_GB2312"/>
          <w:b w:val="0"/>
          <w:bCs w:val="0"/>
          <w:sz w:val="32"/>
          <w:szCs w:val="32"/>
          <w:highlight w:val="none"/>
          <w:lang w:val="en-US" w:eastAsia="zh-CN"/>
        </w:rPr>
        <w:t>项目支出</w:t>
      </w:r>
      <w:r>
        <w:rPr>
          <w:rFonts w:hint="eastAsia" w:ascii="仿宋_GB2312" w:hAnsi="仿宋_GB2312" w:eastAsia="仿宋_GB2312" w:cs="仿宋_GB2312"/>
          <w:b w:val="0"/>
          <w:bCs w:val="0"/>
          <w:sz w:val="32"/>
          <w:szCs w:val="32"/>
          <w:highlight w:val="none"/>
          <w:lang w:val="en-US" w:eastAsia="zh-CN"/>
        </w:rPr>
        <w:t>840.02</w:t>
      </w:r>
      <w:r>
        <w:rPr>
          <w:rFonts w:hint="default" w:ascii="仿宋_GB2312" w:hAnsi="仿宋_GB2312" w:eastAsia="仿宋_GB2312" w:cs="仿宋_GB2312"/>
          <w:b w:val="0"/>
          <w:bCs w:val="0"/>
          <w:sz w:val="32"/>
          <w:szCs w:val="32"/>
          <w:highlight w:val="none"/>
          <w:lang w:val="en-US" w:eastAsia="zh-CN"/>
        </w:rPr>
        <w:t>万元。</w:t>
      </w:r>
      <w:r>
        <w:rPr>
          <w:rFonts w:hint="eastAsia" w:ascii="仿宋_GB2312" w:hAnsi="仿宋_GB2312" w:eastAsia="仿宋_GB2312" w:cs="仿宋_GB2312"/>
          <w:b w:val="0"/>
          <w:bCs w:val="0"/>
          <w:sz w:val="32"/>
          <w:szCs w:val="32"/>
          <w:highlight w:val="none"/>
          <w:lang w:val="en-US" w:eastAsia="zh-CN"/>
        </w:rPr>
        <w:t>主要</w:t>
      </w:r>
      <w:r>
        <w:rPr>
          <w:rFonts w:hint="default" w:ascii="仿宋_GB2312" w:hAnsi="仿宋_GB2312" w:eastAsia="仿宋_GB2312" w:cs="仿宋_GB2312"/>
          <w:b w:val="0"/>
          <w:bCs w:val="0"/>
          <w:sz w:val="32"/>
          <w:szCs w:val="32"/>
          <w:highlight w:val="none"/>
          <w:lang w:val="en-US" w:eastAsia="zh-CN"/>
        </w:rPr>
        <w:t>为</w:t>
      </w:r>
      <w:r>
        <w:rPr>
          <w:rFonts w:hint="eastAsia" w:ascii="仿宋_GB2312" w:hAnsi="仿宋_GB2312" w:eastAsia="仿宋_GB2312" w:cs="仿宋_GB2312"/>
          <w:b w:val="0"/>
          <w:bCs w:val="0"/>
          <w:sz w:val="32"/>
          <w:szCs w:val="32"/>
          <w:highlight w:val="none"/>
          <w:lang w:val="en-US" w:eastAsia="zh-CN"/>
        </w:rPr>
        <w:t>业务工作经费自然资源专项和旱改水项目支出，业务工作经费为</w:t>
      </w:r>
      <w:r>
        <w:rPr>
          <w:rFonts w:hint="default" w:ascii="仿宋_GB2312" w:hAnsi="仿宋_GB2312" w:eastAsia="仿宋_GB2312" w:cs="仿宋_GB2312"/>
          <w:b w:val="0"/>
          <w:bCs w:val="0"/>
          <w:sz w:val="32"/>
          <w:szCs w:val="32"/>
          <w:highlight w:val="none"/>
          <w:lang w:val="en-US" w:eastAsia="zh-CN"/>
        </w:rPr>
        <w:t>单位</w:t>
      </w:r>
      <w:r>
        <w:rPr>
          <w:rFonts w:hint="eastAsia" w:ascii="仿宋_GB2312" w:hAnsi="仿宋_GB2312" w:eastAsia="仿宋_GB2312" w:cs="仿宋_GB2312"/>
          <w:b w:val="0"/>
          <w:bCs w:val="0"/>
          <w:sz w:val="32"/>
          <w:szCs w:val="32"/>
          <w:highlight w:val="none"/>
          <w:lang w:val="en-US" w:eastAsia="zh-CN"/>
        </w:rPr>
        <w:t>日常开支发生的经费，自然资源专项为单位</w:t>
      </w:r>
      <w:r>
        <w:rPr>
          <w:rFonts w:hint="default" w:ascii="仿宋_GB2312" w:hAnsi="仿宋_GB2312" w:eastAsia="仿宋_GB2312" w:cs="仿宋_GB2312"/>
          <w:b w:val="0"/>
          <w:bCs w:val="0"/>
          <w:sz w:val="32"/>
          <w:szCs w:val="32"/>
          <w:highlight w:val="none"/>
          <w:lang w:val="en-US" w:eastAsia="zh-CN"/>
        </w:rPr>
        <w:t>开展</w:t>
      </w:r>
      <w:r>
        <w:rPr>
          <w:rFonts w:hint="eastAsia" w:ascii="仿宋_GB2312" w:hAnsi="仿宋_GB2312" w:eastAsia="仿宋_GB2312" w:cs="仿宋_GB2312"/>
          <w:b w:val="0"/>
          <w:bCs w:val="0"/>
          <w:sz w:val="32"/>
          <w:szCs w:val="32"/>
          <w:highlight w:val="none"/>
          <w:lang w:val="en-US" w:eastAsia="zh-CN"/>
        </w:rPr>
        <w:t>自然资源业务</w:t>
      </w:r>
      <w:r>
        <w:rPr>
          <w:rFonts w:hint="default" w:ascii="仿宋_GB2312" w:hAnsi="仿宋_GB2312" w:eastAsia="仿宋_GB2312" w:cs="仿宋_GB2312"/>
          <w:b w:val="0"/>
          <w:bCs w:val="0"/>
          <w:sz w:val="32"/>
          <w:szCs w:val="32"/>
          <w:highlight w:val="none"/>
          <w:lang w:val="en-US" w:eastAsia="zh-CN"/>
        </w:rPr>
        <w:t>所支付的专项业务费用，</w:t>
      </w:r>
      <w:r>
        <w:rPr>
          <w:rFonts w:hint="eastAsia" w:ascii="仿宋_GB2312" w:hAnsi="仿宋_GB2312" w:eastAsia="仿宋_GB2312" w:cs="仿宋_GB2312"/>
          <w:b w:val="0"/>
          <w:bCs w:val="0"/>
          <w:sz w:val="32"/>
          <w:szCs w:val="32"/>
          <w:highlight w:val="none"/>
          <w:lang w:val="en-US" w:eastAsia="zh-CN"/>
        </w:rPr>
        <w:t>旱改水项目支出为旱改水项目的相关专项支出，</w:t>
      </w:r>
      <w:r>
        <w:rPr>
          <w:rFonts w:hint="default" w:ascii="仿宋_GB2312" w:hAnsi="仿宋_GB2312" w:eastAsia="仿宋_GB2312" w:cs="仿宋_GB2312"/>
          <w:b w:val="0"/>
          <w:bCs w:val="0"/>
          <w:sz w:val="32"/>
          <w:szCs w:val="32"/>
          <w:highlight w:val="none"/>
          <w:lang w:val="en-US" w:eastAsia="zh-CN"/>
        </w:rPr>
        <w:t>其中</w:t>
      </w:r>
      <w:r>
        <w:rPr>
          <w:rFonts w:hint="eastAsia" w:ascii="仿宋_GB2312" w:hAnsi="仿宋_GB2312" w:eastAsia="仿宋_GB2312" w:cs="仿宋_GB2312"/>
          <w:b w:val="0"/>
          <w:bCs w:val="0"/>
          <w:sz w:val="32"/>
          <w:szCs w:val="32"/>
          <w:highlight w:val="none"/>
          <w:lang w:val="en-US" w:eastAsia="zh-CN"/>
        </w:rPr>
        <w:t>业务工作经费240万元，自然资源专项494.73</w:t>
      </w:r>
      <w:r>
        <w:rPr>
          <w:rFonts w:hint="default" w:ascii="仿宋_GB2312" w:hAnsi="仿宋_GB2312" w:eastAsia="仿宋_GB2312" w:cs="仿宋_GB2312"/>
          <w:b w:val="0"/>
          <w:bCs w:val="0"/>
          <w:sz w:val="32"/>
          <w:szCs w:val="32"/>
          <w:highlight w:val="none"/>
          <w:lang w:val="en-US" w:eastAsia="zh-CN"/>
        </w:rPr>
        <w:t>万元</w:t>
      </w:r>
      <w:r>
        <w:rPr>
          <w:rFonts w:hint="eastAsia" w:ascii="仿宋_GB2312" w:hAnsi="仿宋_GB2312" w:eastAsia="仿宋_GB2312" w:cs="仿宋_GB2312"/>
          <w:b w:val="0"/>
          <w:bCs w:val="0"/>
          <w:sz w:val="32"/>
          <w:szCs w:val="32"/>
          <w:highlight w:val="none"/>
          <w:lang w:val="en-US" w:eastAsia="zh-CN"/>
        </w:rPr>
        <w:t>，旱改水项目支出105.29万元。</w:t>
      </w:r>
    </w:p>
    <w:p w14:paraId="7FC9F547">
      <w:pPr>
        <w:pStyle w:val="4"/>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楷体_GB2312" w:cs="Times New Roman"/>
          <w:b/>
          <w:sz w:val="32"/>
          <w:szCs w:val="32"/>
          <w:highlight w:val="none"/>
        </w:rPr>
      </w:pPr>
    </w:p>
    <w:p w14:paraId="03F0FFC2">
      <w:pPr>
        <w:pStyle w:val="4"/>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14:paraId="0D5CE646">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bidi="ar-SA"/>
        </w:rPr>
        <w:t>2023年度政府性基金预算支出105.29万元，主要为君山区增减挂钩和涵盖谁及耕地开发项目领导小组发生的支出。</w:t>
      </w:r>
    </w:p>
    <w:p w14:paraId="17B34EB4">
      <w:pPr>
        <w:pStyle w:val="4"/>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1665B1AA">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我单位2023年度无国有资本经营预算支出。</w:t>
      </w:r>
    </w:p>
    <w:p w14:paraId="1DDE3307">
      <w:pPr>
        <w:pStyle w:val="4"/>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13BE41D8">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我单位2023年度无社会保险基金预算支出。</w:t>
      </w:r>
    </w:p>
    <w:p w14:paraId="1105D51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62756D3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年年初预算本年支出4229.37万元，其中：</w:t>
      </w:r>
      <w:r>
        <w:rPr>
          <w:rFonts w:hint="eastAsia" w:ascii="Times New Roman" w:hAnsi="Times New Roman" w:eastAsia="仿宋_GB2312" w:cs="Times New Roman"/>
          <w:color w:val="000000"/>
          <w:sz w:val="32"/>
          <w:szCs w:val="32"/>
          <w:highlight w:val="none"/>
          <w:lang w:val="en-US" w:eastAsia="zh-CN"/>
        </w:rPr>
        <w:t>一般公共预算经费拨款支出1229.37万元（人员类项目支出447.37万元，公用经费项目支出42.00万元，其他运转类及特定目标类项目支出740万元），政府基金支出3000万元。</w:t>
      </w:r>
      <w:r>
        <w:rPr>
          <w:rFonts w:hint="default" w:ascii="Times New Roman" w:hAnsi="Times New Roman" w:eastAsia="仿宋_GB2312" w:cs="Times New Roman"/>
          <w:color w:val="000000"/>
          <w:sz w:val="32"/>
          <w:szCs w:val="32"/>
          <w:highlight w:val="none"/>
        </w:rPr>
        <w:t>本年支出决算数2481.78万元，其中：基本支出</w:t>
      </w:r>
      <w:r>
        <w:rPr>
          <w:rFonts w:hint="eastAsia" w:ascii="仿宋_GB2312" w:hAnsi="仿宋_GB2312" w:eastAsia="仿宋_GB2312" w:cs="仿宋_GB2312"/>
          <w:b w:val="0"/>
          <w:bCs w:val="0"/>
          <w:sz w:val="32"/>
          <w:szCs w:val="32"/>
          <w:highlight w:val="none"/>
          <w:lang w:val="en-US" w:eastAsia="zh-CN"/>
        </w:rPr>
        <w:t>1641.76</w:t>
      </w:r>
      <w:r>
        <w:rPr>
          <w:rFonts w:hint="default" w:ascii="Times New Roman" w:hAnsi="Times New Roman" w:eastAsia="仿宋_GB2312" w:cs="Times New Roman"/>
          <w:color w:val="000000"/>
          <w:sz w:val="32"/>
          <w:szCs w:val="32"/>
          <w:highlight w:val="none"/>
        </w:rPr>
        <w:t>万元（人员经费</w:t>
      </w:r>
      <w:r>
        <w:rPr>
          <w:rFonts w:hint="eastAsia" w:ascii="仿宋_GB2312" w:hAnsi="仿宋_GB2312" w:eastAsia="仿宋_GB2312" w:cs="仿宋_GB2312"/>
          <w:b w:val="0"/>
          <w:bCs w:val="0"/>
          <w:sz w:val="32"/>
          <w:szCs w:val="32"/>
          <w:highlight w:val="none"/>
          <w:lang w:val="en-US" w:eastAsia="zh-CN"/>
        </w:rPr>
        <w:t>468.80</w:t>
      </w:r>
      <w:r>
        <w:rPr>
          <w:rFonts w:hint="default" w:ascii="Times New Roman" w:hAnsi="Times New Roman" w:eastAsia="仿宋_GB2312" w:cs="Times New Roman"/>
          <w:color w:val="000000"/>
          <w:sz w:val="32"/>
          <w:szCs w:val="32"/>
          <w:highlight w:val="none"/>
        </w:rPr>
        <w:t>万元、公用经费</w:t>
      </w:r>
      <w:r>
        <w:rPr>
          <w:rFonts w:hint="eastAsia" w:ascii="仿宋_GB2312" w:hAnsi="仿宋_GB2312" w:eastAsia="仿宋_GB2312" w:cs="仿宋_GB2312"/>
          <w:sz w:val="32"/>
          <w:szCs w:val="32"/>
          <w:highlight w:val="none"/>
          <w:lang w:val="en-US" w:eastAsia="zh-CN"/>
        </w:rPr>
        <w:t>34.92</w:t>
      </w:r>
      <w:r>
        <w:rPr>
          <w:rFonts w:hint="default" w:ascii="Times New Roman" w:hAnsi="Times New Roman" w:eastAsia="仿宋_GB2312" w:cs="Times New Roman"/>
          <w:color w:val="000000"/>
          <w:sz w:val="32"/>
          <w:szCs w:val="32"/>
          <w:highlight w:val="none"/>
        </w:rPr>
        <w:t>万元</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其他追加项支出1138.04万元</w:t>
      </w:r>
      <w:bookmarkStart w:id="0" w:name="_GoBack"/>
      <w:bookmarkEnd w:id="0"/>
      <w:r>
        <w:rPr>
          <w:rFonts w:hint="default" w:ascii="Times New Roman" w:hAnsi="Times New Roman" w:eastAsia="仿宋_GB2312" w:cs="Times New Roman"/>
          <w:color w:val="000000"/>
          <w:sz w:val="32"/>
          <w:szCs w:val="32"/>
          <w:highlight w:val="none"/>
        </w:rPr>
        <w:t>），项目支出</w:t>
      </w:r>
      <w:r>
        <w:rPr>
          <w:rFonts w:hint="eastAsia" w:ascii="仿宋_GB2312" w:hAnsi="仿宋_GB2312" w:eastAsia="仿宋_GB2312" w:cs="仿宋_GB2312"/>
          <w:b w:val="0"/>
          <w:bCs w:val="0"/>
          <w:sz w:val="32"/>
          <w:szCs w:val="32"/>
          <w:highlight w:val="none"/>
          <w:lang w:val="en-US" w:eastAsia="zh-CN"/>
        </w:rPr>
        <w:t>840.02</w:t>
      </w:r>
      <w:r>
        <w:rPr>
          <w:rFonts w:hint="default" w:ascii="Times New Roman" w:hAnsi="Times New Roman" w:eastAsia="仿宋_GB2312" w:cs="Times New Roman"/>
          <w:color w:val="000000"/>
          <w:sz w:val="32"/>
          <w:szCs w:val="32"/>
          <w:highlight w:val="none"/>
        </w:rPr>
        <w:t>万元。</w:t>
      </w:r>
    </w:p>
    <w:p w14:paraId="6480344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年度，我局整体工作完成情况如下:</w:t>
      </w:r>
    </w:p>
    <w:p w14:paraId="28545C7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w:t>
      </w:r>
      <w:r>
        <w:rPr>
          <w:rFonts w:hint="default" w:ascii="Times New Roman" w:hAnsi="Times New Roman" w:eastAsia="仿宋_GB2312" w:cs="Times New Roman"/>
          <w:b/>
          <w:bCs/>
          <w:color w:val="000000"/>
          <w:sz w:val="32"/>
          <w:szCs w:val="32"/>
          <w:highlight w:val="none"/>
        </w:rPr>
        <w:t>要素保障精准有力。</w:t>
      </w:r>
      <w:r>
        <w:rPr>
          <w:rFonts w:hint="default" w:ascii="Times New Roman" w:hAnsi="Times New Roman" w:eastAsia="仿宋_GB2312" w:cs="Times New Roman"/>
          <w:color w:val="000000"/>
          <w:sz w:val="32"/>
          <w:szCs w:val="32"/>
          <w:highlight w:val="none"/>
        </w:rPr>
        <w:t>一是规划保障提质。笃定国土空间规划攻坚年目标任务，乡镇国土空间规划已经市级审查，控详规划全面启动，村庄规划质量提升，规划体系基本建立。通过城镇开发边界局部优化调整，保障23个重点项目落地。钱粮湖镇、良心堡镇、许市镇、广兴洲镇、岳阳监狱等5个乡镇国土空间规划成果通过市级审查，40个村庄规划成果通过市政府审批，2个省级重点村、4个市县级重点村村庄规划通过质量提升评审，乡村振兴项目规划保障落地。挂口、九公里、林阁老、濠河、荆江门五个片区控规编制初步完成。二是用地报批高效。坚持</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超前谋划、提前介入、靠前服务</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三前</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工作模式，实现用地报批组卷快、补正快、获批快目标。完成14个项目、70户村民建房用地用林报批，办理17个项目建设工程规划许可证、7个建设用地预审与选址意见书、13个项目规划条件，完成35宗设施农用地入库程序。三是土地供应到位。围绕全区中心重点，编制重点项目服务清单和土地收储供应计划。开展存量土地盘活攻坚行动，批而未供、闲置土地省市排名靠前，全年出让土地8宗。</w:t>
      </w:r>
    </w:p>
    <w:p w14:paraId="18AA549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w:t>
      </w:r>
      <w:r>
        <w:rPr>
          <w:rFonts w:hint="default" w:ascii="Times New Roman" w:hAnsi="Times New Roman" w:eastAsia="仿宋_GB2312" w:cs="Times New Roman"/>
          <w:b/>
          <w:bCs/>
          <w:color w:val="000000"/>
          <w:sz w:val="32"/>
          <w:szCs w:val="32"/>
          <w:highlight w:val="none"/>
        </w:rPr>
        <w:t>安全底线全面筑牢。</w:t>
      </w:r>
      <w:r>
        <w:rPr>
          <w:rFonts w:hint="default" w:ascii="Times New Roman" w:hAnsi="Times New Roman" w:eastAsia="仿宋_GB2312" w:cs="Times New Roman"/>
          <w:color w:val="000000"/>
          <w:sz w:val="32"/>
          <w:szCs w:val="32"/>
          <w:highlight w:val="none"/>
        </w:rPr>
        <w:t>一是守住耕地红线。以耕地</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非农化</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、基本农田</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非粮化</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专项整治为抓手，持续加大耕地保护及耕地整治力度。妥处约9000亩疑似永久基本农田流出问题，在守住44.02万亩耕地、38.16万亩永久基本农田保护底线目标基础上，连续3年实现耕地净增，2024年净增1062.19亩，实现经济收益700万元。</w:t>
      </w:r>
      <w:r>
        <w:rPr>
          <w:rFonts w:hint="eastAsia" w:ascii="Times New Roman" w:hAnsi="Times New Roman" w:eastAsia="仿宋_GB2312" w:cs="Times New Roman"/>
          <w:color w:val="000000"/>
          <w:sz w:val="32"/>
          <w:szCs w:val="32"/>
          <w:highlight w:val="none"/>
          <w:lang w:val="en-US" w:eastAsia="zh-CN"/>
        </w:rPr>
        <w:t>二</w:t>
      </w:r>
      <w:r>
        <w:rPr>
          <w:rFonts w:hint="default" w:ascii="Times New Roman" w:hAnsi="Times New Roman" w:eastAsia="仿宋_GB2312" w:cs="Times New Roman"/>
          <w:color w:val="000000"/>
          <w:sz w:val="32"/>
          <w:szCs w:val="32"/>
          <w:highlight w:val="none"/>
        </w:rPr>
        <w:t>是夯实安全底线。地质灾害措施全面落实，人防、物防、技防“三防一体”安全网构建持续健全。地灾防治装备全部配齐，“空、天、地”智能监测体系全面覆盖，灾害“零发生”成果持续巩固。我局被评为2024年度地灾防治先进单位，开展自然资源领域行政执法突出问题专项整治，统筹推进规划、土地、矿产、“双零”行动，有效遏制自然资源违法违规行为。</w:t>
      </w:r>
    </w:p>
    <w:p w14:paraId="168CFD4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w:t>
      </w:r>
      <w:r>
        <w:rPr>
          <w:rFonts w:hint="default" w:ascii="Times New Roman" w:hAnsi="Times New Roman" w:eastAsia="仿宋_GB2312" w:cs="Times New Roman"/>
          <w:b/>
          <w:bCs/>
          <w:color w:val="000000"/>
          <w:sz w:val="32"/>
          <w:szCs w:val="32"/>
          <w:highlight w:val="none"/>
        </w:rPr>
        <w:t>治理效能持续提升。</w:t>
      </w:r>
      <w:r>
        <w:rPr>
          <w:rFonts w:hint="default" w:ascii="Times New Roman" w:hAnsi="Times New Roman" w:eastAsia="仿宋_GB2312" w:cs="Times New Roman"/>
          <w:color w:val="000000"/>
          <w:sz w:val="32"/>
          <w:szCs w:val="32"/>
          <w:highlight w:val="none"/>
        </w:rPr>
        <w:t>一是田长制更强。推进“三长合一”协同共治改革，田长制减负轻装上阵，运行更高效。优化“三地两矿”管理安排，实行“月提醒、季调度、年算账”机制。</w:t>
      </w:r>
      <w:r>
        <w:rPr>
          <w:rFonts w:hint="eastAsia" w:ascii="Times New Roman" w:hAnsi="Times New Roman" w:eastAsia="仿宋_GB2312" w:cs="Times New Roman"/>
          <w:color w:val="000000"/>
          <w:sz w:val="32"/>
          <w:szCs w:val="32"/>
          <w:highlight w:val="none"/>
          <w:lang w:val="en-US" w:eastAsia="zh-CN"/>
        </w:rPr>
        <w:t>二</w:t>
      </w:r>
      <w:r>
        <w:rPr>
          <w:rFonts w:hint="default" w:ascii="Times New Roman" w:hAnsi="Times New Roman" w:eastAsia="仿宋_GB2312" w:cs="Times New Roman"/>
          <w:color w:val="000000"/>
          <w:sz w:val="32"/>
          <w:szCs w:val="32"/>
          <w:highlight w:val="none"/>
        </w:rPr>
        <w:t>是营商环境更优。持续深化“放管服”改革，主要抓好财产登记、规划审批工作，特别是大力推广“自助办”“一网通办”“线上办”，提升登记便利度。主动上门对接服务逾60次，完成55宗地争议调处确权工作，办结不动产登记1.4万余件。</w:t>
      </w:r>
      <w:r>
        <w:rPr>
          <w:rFonts w:hint="eastAsia" w:ascii="Times New Roman" w:hAnsi="Times New Roman" w:eastAsia="仿宋_GB2312" w:cs="Times New Roman"/>
          <w:color w:val="000000"/>
          <w:sz w:val="32"/>
          <w:szCs w:val="32"/>
          <w:highlight w:val="none"/>
          <w:lang w:val="en-US" w:eastAsia="zh-CN"/>
        </w:rPr>
        <w:t>三</w:t>
      </w:r>
      <w:r>
        <w:rPr>
          <w:rFonts w:hint="default" w:ascii="Times New Roman" w:hAnsi="Times New Roman" w:eastAsia="仿宋_GB2312" w:cs="Times New Roman"/>
          <w:color w:val="000000"/>
          <w:sz w:val="32"/>
          <w:szCs w:val="32"/>
          <w:highlight w:val="none"/>
        </w:rPr>
        <w:t>是民生保障更实。认真落实“民呼我为，接诉即办”机制，扎实推进基层减负和民生实事办理，扎实推进信访、建议、提案办理，今年信访办结率100%件（共49件，包括部省信访件11件、市长信箱3件、热线工单35件），解决机关小区、洞庭国际、亚龙世纪嘉园等8个小区1417户业主不动产登记“办证难”历史遗留难题。</w:t>
      </w:r>
    </w:p>
    <w:p w14:paraId="1FB23FD2">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2029C09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预算绩效管理基础工作有待进一步加强。</w:t>
      </w:r>
    </w:p>
    <w:p w14:paraId="0F551E2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1、绩效管理工作意识有待提高；</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、绩效评价指标设定的科学性有待加强；</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、绩效评价工作监督力度需进一步。</w:t>
      </w:r>
    </w:p>
    <w:p w14:paraId="7BE2957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636CFA0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1、开展关于预算绩效管理的培训，让业务管理部门有更多的绩效管理意识，更有正对性的设置绩效目标，使得绩效目标能够细化量化。</w:t>
      </w:r>
    </w:p>
    <w:p w14:paraId="6DCC2CC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2、将单位各项工作与绩效考核制度紧密结合起来，突出绩效考核的针对性，促使绩效管理细节和可操作化落到工作实处，达到单位绩效考核工作的整体与部分协调。</w:t>
      </w:r>
    </w:p>
    <w:p w14:paraId="672ECF3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3、简历抽查机制，对单位内部绩效考核情况进行分析，并开展绩效考核监管工作，保证绩效考核管理工作的顺利进行。</w:t>
      </w:r>
    </w:p>
    <w:p w14:paraId="1B264C7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351E74A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仿宋_GB2312" w:hAnsi="仿宋_GB2312" w:eastAsia="仿宋_GB2312" w:cs="仿宋_GB2312"/>
          <w:b w:val="0"/>
          <w:bCs w:val="0"/>
          <w:sz w:val="32"/>
          <w:szCs w:val="32"/>
          <w:highlight w:val="none"/>
        </w:rPr>
        <w:t>本单位将参考部门整体支出绩效自评结果，将绩效自评结果与年终部门考核挂钩。部门整体支出绩效自评结果将</w:t>
      </w:r>
      <w:r>
        <w:rPr>
          <w:rFonts w:hint="eastAsia" w:ascii="仿宋_GB2312" w:hAnsi="仿宋_GB2312" w:eastAsia="仿宋_GB2312" w:cs="仿宋_GB2312"/>
          <w:b w:val="0"/>
          <w:bCs w:val="0"/>
          <w:sz w:val="32"/>
          <w:szCs w:val="32"/>
          <w:highlight w:val="none"/>
          <w:lang w:val="en-US" w:eastAsia="zh-CN"/>
        </w:rPr>
        <w:t>按照区财政要求</w:t>
      </w:r>
      <w:r>
        <w:rPr>
          <w:rFonts w:hint="default" w:ascii="仿宋_GB2312" w:hAnsi="仿宋_GB2312" w:eastAsia="仿宋_GB2312" w:cs="仿宋_GB2312"/>
          <w:b w:val="0"/>
          <w:bCs w:val="0"/>
          <w:sz w:val="32"/>
          <w:szCs w:val="32"/>
          <w:highlight w:val="none"/>
        </w:rPr>
        <w:t>在</w:t>
      </w:r>
      <w:r>
        <w:rPr>
          <w:rFonts w:hint="eastAsia" w:ascii="仿宋_GB2312" w:hAnsi="仿宋_GB2312" w:eastAsia="仿宋_GB2312" w:cs="仿宋_GB2312"/>
          <w:b w:val="0"/>
          <w:bCs w:val="0"/>
          <w:sz w:val="32"/>
          <w:szCs w:val="32"/>
          <w:highlight w:val="none"/>
          <w:lang w:val="en-US" w:eastAsia="zh-CN"/>
        </w:rPr>
        <w:t>相应</w:t>
      </w:r>
      <w:r>
        <w:rPr>
          <w:rFonts w:hint="default" w:ascii="仿宋_GB2312" w:hAnsi="仿宋_GB2312" w:eastAsia="仿宋_GB2312" w:cs="仿宋_GB2312"/>
          <w:b w:val="0"/>
          <w:bCs w:val="0"/>
          <w:sz w:val="32"/>
          <w:szCs w:val="32"/>
          <w:highlight w:val="none"/>
        </w:rPr>
        <w:t>网站进行公开。</w:t>
      </w:r>
    </w:p>
    <w:p w14:paraId="20E8C59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十、</w:t>
      </w:r>
      <w:r>
        <w:rPr>
          <w:rFonts w:hint="default" w:ascii="Times New Roman" w:hAnsi="Times New Roman" w:eastAsia="黑体" w:cs="Times New Roman"/>
          <w:sz w:val="32"/>
          <w:szCs w:val="32"/>
          <w:highlight w:val="none"/>
        </w:rPr>
        <w:t>其他需要说明的情况</w:t>
      </w:r>
    </w:p>
    <w:p w14:paraId="35AAE95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无其他需要说明的情况。</w:t>
      </w:r>
    </w:p>
    <w:p w14:paraId="3B1B70F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p>
    <w:p w14:paraId="21F9A64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p>
    <w:p w14:paraId="21D2AA8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14:paraId="69FA843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报告附件：</w:t>
      </w:r>
    </w:p>
    <w:p w14:paraId="0E6CCCC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5753025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36785ED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3D53DFA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7BF1067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0514601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487CFF53">
      <w:r>
        <w:rPr>
          <w:rFonts w:hint="eastAsia" w:ascii="仿宋_GB2312" w:hAnsi="仿宋_GB2312" w:eastAsia="仿宋_GB2312" w:cs="仿宋_GB2312"/>
          <w:sz w:val="32"/>
          <w:szCs w:val="32"/>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A8AD7A-07D2-4096-9E34-25D8050E91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FE9E9A7-A9AB-487E-AA94-A18534880387}"/>
  </w:font>
  <w:font w:name="仿宋">
    <w:panose1 w:val="02010609060101010101"/>
    <w:charset w:val="86"/>
    <w:family w:val="auto"/>
    <w:pitch w:val="default"/>
    <w:sig w:usb0="800002BF" w:usb1="38CF7CFA" w:usb2="00000016" w:usb3="00000000" w:csb0="00040001" w:csb1="00000000"/>
    <w:embedRegular r:id="rId3" w:fontKey="{4845418B-8EBF-4A88-A25E-7091BAF72491}"/>
  </w:font>
  <w:font w:name="方正小标宋_GBK">
    <w:altName w:val="微软雅黑"/>
    <w:panose1 w:val="02000000000000000000"/>
    <w:charset w:val="86"/>
    <w:family w:val="script"/>
    <w:pitch w:val="default"/>
    <w:sig w:usb0="00000000" w:usb1="00000000" w:usb2="00000000" w:usb3="00000000" w:csb0="00040000" w:csb1="00000000"/>
    <w:embedRegular r:id="rId4" w:fontKey="{8D45C1E3-9DF8-4A2C-8E1B-CBE59A143A06}"/>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5" w:fontKey="{1C7CB1CD-C7EF-4FFF-BF0D-4A89AF3C0C7A}"/>
  </w:font>
  <w:font w:name="楷体_GB2312">
    <w:altName w:val="楷体"/>
    <w:panose1 w:val="02010609030101010101"/>
    <w:charset w:val="86"/>
    <w:family w:val="modern"/>
    <w:pitch w:val="default"/>
    <w:sig w:usb0="00000000" w:usb1="00000000" w:usb2="00000000" w:usb3="00000000" w:csb0="00040000" w:csb1="00000000"/>
    <w:embedRegular r:id="rId6" w:fontKey="{F4BD1BEC-0AC0-4B94-96DC-287F6CEC42CE}"/>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7" w:fontKey="{4095E139-73E1-4FF5-82EC-A66AAD9B260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FB5FB"/>
    <w:multiLevelType w:val="singleLevel"/>
    <w:tmpl w:val="B85FB5FB"/>
    <w:lvl w:ilvl="0" w:tentative="0">
      <w:start w:val="3"/>
      <w:numFmt w:val="chineseCounting"/>
      <w:suff w:val="nothing"/>
      <w:lvlText w:val="%1、"/>
      <w:lvlJc w:val="left"/>
      <w:rPr>
        <w:rFonts w:hint="eastAsia"/>
      </w:rPr>
    </w:lvl>
  </w:abstractNum>
  <w:abstractNum w:abstractNumId="1">
    <w:nsid w:val="38FE309B"/>
    <w:multiLevelType w:val="singleLevel"/>
    <w:tmpl w:val="38FE309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hZDExNjc2YzUzNGI0YjIxYjYyOWI4Nzc5ZTZkNDMifQ=="/>
  </w:docVars>
  <w:rsids>
    <w:rsidRoot w:val="07A169B8"/>
    <w:rsid w:val="011E3D92"/>
    <w:rsid w:val="07A169B8"/>
    <w:rsid w:val="0EDE53C4"/>
    <w:rsid w:val="145E2B0E"/>
    <w:rsid w:val="1811244B"/>
    <w:rsid w:val="22C557CF"/>
    <w:rsid w:val="3C097E48"/>
    <w:rsid w:val="4A29579D"/>
    <w:rsid w:val="556709D9"/>
    <w:rsid w:val="57882E88"/>
    <w:rsid w:val="737C169B"/>
    <w:rsid w:val="73B9492C"/>
    <w:rsid w:val="73EF4563"/>
    <w:rsid w:val="75D60362"/>
    <w:rsid w:val="78F87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hAnsi="仿宋" w:eastAsia="宋体" w:cs="Times New Roman"/>
      <w:kern w:val="0"/>
      <w:sz w:val="28"/>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styleId="4">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2669</Words>
  <Characters>2860</Characters>
  <Lines>0</Lines>
  <Paragraphs>0</Paragraphs>
  <TotalTime>7</TotalTime>
  <ScaleCrop>false</ScaleCrop>
  <LinksUpToDate>false</LinksUpToDate>
  <CharactersWithSpaces>2861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2025-04-17T03:02:00Z</dcterms:created>
  <dc:creator>曾茜</dc:creator>
  <cp:lastModifiedBy>曾茜</cp:lastModifiedBy>
  <dcterms:modified xsi:type="dcterms:W3CDTF">2025-05-16T02:55:10Z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B47E4BB9B0AC491C81A9F9311202067B_13</vt:lpwstr>
  </property>
  <property fmtid="{D5CDD505-2E9C-101B-9397-08002B2CF9AE}" pid="4" name="KSOTemplateDocerSaveRecord">
    <vt:lpwstr>eyJoZGlkIjoiNjJhZDExNjc2YzUzNGI0YjIxYjYyOWI4Nzc5ZTZkNDMiLCJ1c2VySWQiOiIxNjAxODMwOTU5In0=</vt:lpwstr>
  </property>
</Properties>
</file>