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2024年</w:t>
      </w:r>
      <w:r>
        <w:rPr>
          <w:rFonts w:hint="eastAsia" w:ascii="方正小标宋简体" w:hAnsi="方正小标宋简体" w:eastAsia="方正小标宋简体" w:cs="方正小标宋简体"/>
          <w:sz w:val="44"/>
          <w:szCs w:val="44"/>
        </w:rPr>
        <w:t>度岳阳市君山区岳西中学整体支出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年</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月</w:t>
      </w:r>
      <w:r>
        <w:rPr>
          <w:rFonts w:hint="eastAsia" w:ascii="Times New Roman" w:hAnsi="Times New Roman" w:eastAsia="楷体_GB2312"/>
          <w:sz w:val="32"/>
          <w:szCs w:val="32"/>
          <w:lang w:val="en-US" w:eastAsia="zh-CN"/>
        </w:rPr>
        <w:t>7</w:t>
      </w:r>
      <w:r>
        <w:rPr>
          <w:rFonts w:ascii="Times New Roman" w:hAnsi="Times New Roman" w:eastAsia="楷体_GB2312"/>
          <w:sz w:val="32"/>
          <w:szCs w:val="32"/>
        </w:rPr>
        <w:t>日</w:t>
      </w:r>
    </w:p>
    <w:p>
      <w:pPr>
        <w:jc w:val="center"/>
        <w:rPr>
          <w:rFonts w:ascii="Times New Roman" w:hAnsi="Times New Roman" w:eastAsia="仿宋_GB2312"/>
          <w:sz w:val="32"/>
          <w:szCs w:val="32"/>
        </w:rPr>
      </w:pPr>
      <w:r>
        <w:rPr>
          <w:rFonts w:ascii="Times New Roman" w:hAnsi="Times New Roman" w:eastAsia="仿宋_GB2312"/>
          <w:sz w:val="32"/>
          <w:szCs w:val="32"/>
        </w:rPr>
        <w:t>（此页为封面）</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b/>
          <w:bCs/>
          <w:sz w:val="44"/>
          <w:szCs w:val="44"/>
          <w:lang w:eastAsia="zh-CN"/>
        </w:rPr>
        <w:t>2024年</w:t>
      </w:r>
      <w:r>
        <w:rPr>
          <w:rFonts w:hint="eastAsia" w:ascii="方正小标宋简体" w:hAnsi="方正小标宋简体" w:eastAsia="方正小标宋简体" w:cs="方正小标宋简体"/>
          <w:b/>
          <w:bCs/>
          <w:sz w:val="44"/>
          <w:szCs w:val="44"/>
        </w:rPr>
        <w:t>度岳阳市君山区岳西中学整体支出</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绩效自评报告</w:t>
      </w:r>
    </w:p>
    <w:p>
      <w:pPr>
        <w:adjustRightInd w:val="0"/>
        <w:snapToGrid w:val="0"/>
        <w:spacing w:line="360" w:lineRule="auto"/>
        <w:ind w:firstLine="600" w:firstLineChars="200"/>
        <w:rPr>
          <w:rFonts w:eastAsia="仿宋"/>
          <w:sz w:val="30"/>
          <w:szCs w:val="30"/>
        </w:rPr>
      </w:pPr>
    </w:p>
    <w:p>
      <w:pPr>
        <w:widowControl/>
        <w:shd w:val="clear" w:color="auto" w:fill="FFFFFF"/>
        <w:spacing w:line="23" w:lineRule="atLeast"/>
        <w:ind w:firstLine="600"/>
        <w:rPr>
          <w:rFonts w:hint="eastAsia" w:eastAsia="仿宋" w:cs="宋体"/>
          <w:color w:val="333333"/>
          <w:sz w:val="30"/>
          <w:szCs w:val="30"/>
          <w:shd w:val="clear" w:color="auto" w:fill="FFFFFF"/>
        </w:rPr>
      </w:pPr>
      <w:r>
        <w:rPr>
          <w:rFonts w:hint="eastAsia" w:eastAsia="仿宋" w:cs="宋体"/>
          <w:color w:val="333333"/>
          <w:sz w:val="30"/>
          <w:szCs w:val="30"/>
          <w:shd w:val="clear" w:color="auto" w:fill="FFFFFF"/>
        </w:rPr>
        <w:t>为全面贯彻落实《中共中央国务院关于全面实施预算绩效管理的意见》（中发〔2018〕34号）和《中共湖南省委办公厅湖南省人民政府办公厅关于全面实施预算绩效管理的实施意见》（湘办发〔2019〕10号）精神，为进一步规范财政资金管理，强化绩效和责任意识，切实提高财政资金使用效益，我单位</w:t>
      </w:r>
      <w:r>
        <w:rPr>
          <w:rFonts w:hint="eastAsia" w:eastAsia="仿宋" w:cs="宋体"/>
          <w:color w:val="333333"/>
          <w:sz w:val="30"/>
          <w:szCs w:val="30"/>
          <w:shd w:val="clear" w:color="auto" w:fill="FFFFFF"/>
          <w:lang w:eastAsia="zh-CN"/>
        </w:rPr>
        <w:t>认真组织开展了年度支出绩效自评工作</w:t>
      </w:r>
      <w:r>
        <w:rPr>
          <w:rFonts w:hint="eastAsia" w:eastAsia="仿宋" w:cs="宋体"/>
          <w:color w:val="333333"/>
          <w:sz w:val="30"/>
          <w:szCs w:val="30"/>
          <w:shd w:val="clear" w:color="auto" w:fill="FFFFFF"/>
        </w:rPr>
        <w:t>，现将自评结果报告如下：</w:t>
      </w:r>
    </w:p>
    <w:p>
      <w:pPr>
        <w:adjustRightInd w:val="0"/>
        <w:snapToGrid w:val="0"/>
        <w:spacing w:line="360" w:lineRule="auto"/>
        <w:ind w:firstLine="602" w:firstLineChars="200"/>
        <w:rPr>
          <w:rFonts w:ascii="黑体" w:hAnsi="黑体" w:eastAsia="黑体" w:cs="仿宋"/>
          <w:b/>
          <w:bCs/>
          <w:sz w:val="30"/>
          <w:szCs w:val="30"/>
        </w:rPr>
      </w:pPr>
      <w:r>
        <w:rPr>
          <w:rFonts w:hint="eastAsia" w:ascii="黑体" w:hAnsi="黑体" w:eastAsia="黑体" w:cs="仿宋"/>
          <w:b/>
          <w:bCs/>
          <w:sz w:val="30"/>
          <w:szCs w:val="30"/>
        </w:rPr>
        <w:t>一、单位基本情况</w:t>
      </w:r>
    </w:p>
    <w:p>
      <w:pPr>
        <w:adjustRightInd w:val="0"/>
        <w:snapToGrid w:val="0"/>
        <w:spacing w:line="360" w:lineRule="auto"/>
        <w:rPr>
          <w:rFonts w:eastAsia="仿宋" w:cs="仿宋"/>
          <w:b/>
          <w:bCs/>
          <w:sz w:val="30"/>
          <w:szCs w:val="30"/>
        </w:rPr>
      </w:pPr>
      <w:r>
        <w:rPr>
          <w:rFonts w:hint="eastAsia" w:eastAsia="仿宋" w:cs="仿宋"/>
          <w:b/>
          <w:bCs/>
          <w:sz w:val="30"/>
          <w:szCs w:val="30"/>
        </w:rPr>
        <w:t>　　（一）职能职责</w:t>
      </w:r>
    </w:p>
    <w:p>
      <w:pPr>
        <w:widowControl/>
        <w:spacing w:line="570" w:lineRule="atLeast"/>
        <w:ind w:firstLine="707" w:firstLineChars="221"/>
        <w:jc w:val="left"/>
        <w:rPr>
          <w:rFonts w:ascii="仿宋_GB2312" w:eastAsia="仿宋_GB2312"/>
          <w:sz w:val="32"/>
          <w:szCs w:val="32"/>
        </w:rPr>
      </w:pPr>
      <w:r>
        <w:rPr>
          <w:rFonts w:hint="eastAsia" w:ascii="仿宋_GB2312" w:eastAsia="仿宋_GB2312"/>
          <w:sz w:val="32"/>
          <w:szCs w:val="32"/>
        </w:rPr>
        <w:t>1.认真贯彻执行国家有关财经法规和学校财务制度。</w:t>
      </w:r>
    </w:p>
    <w:p>
      <w:pPr>
        <w:widowControl/>
        <w:spacing w:line="570" w:lineRule="atLeast"/>
        <w:ind w:firstLine="707" w:firstLineChars="221"/>
        <w:jc w:val="left"/>
        <w:rPr>
          <w:rFonts w:ascii="仿宋_GB2312" w:eastAsia="仿宋_GB2312"/>
          <w:sz w:val="32"/>
          <w:szCs w:val="32"/>
        </w:rPr>
      </w:pPr>
      <w:r>
        <w:rPr>
          <w:rFonts w:hint="eastAsia" w:ascii="仿宋_GB2312" w:eastAsia="仿宋_GB2312"/>
          <w:sz w:val="32"/>
          <w:szCs w:val="32"/>
        </w:rPr>
        <w:t>2.负责组织编制学校部门预算，并上报上级主管部门；组织编制学校预算，并对预算执行、调整等进行日常管理工作。</w:t>
      </w:r>
    </w:p>
    <w:p>
      <w:pPr>
        <w:widowControl/>
        <w:tabs>
          <w:tab w:val="left" w:pos="1276"/>
        </w:tabs>
        <w:spacing w:line="570" w:lineRule="atLeast"/>
        <w:ind w:firstLine="707" w:firstLineChars="221"/>
        <w:jc w:val="left"/>
        <w:rPr>
          <w:rFonts w:eastAsia="仿宋_GB2312"/>
          <w:sz w:val="32"/>
          <w:szCs w:val="32"/>
        </w:rPr>
      </w:pPr>
      <w:r>
        <w:rPr>
          <w:rFonts w:hint="eastAsia" w:ascii="仿宋_GB2312" w:eastAsia="仿宋_GB2312"/>
          <w:sz w:val="32"/>
          <w:szCs w:val="32"/>
        </w:rPr>
        <w:t>3.负责做好年终决算及会计报表的编制、审核，编写年度部门决算分析评价报告及上报工作。</w:t>
      </w:r>
    </w:p>
    <w:p>
      <w:pPr>
        <w:widowControl/>
        <w:spacing w:line="570" w:lineRule="atLeast"/>
        <w:ind w:firstLine="707" w:firstLineChars="221"/>
        <w:rPr>
          <w:rFonts w:eastAsia="仿宋_GB2312"/>
          <w:sz w:val="32"/>
          <w:szCs w:val="32"/>
        </w:rPr>
      </w:pPr>
      <w:r>
        <w:rPr>
          <w:rFonts w:hint="eastAsia" w:eastAsia="仿宋_GB2312"/>
          <w:sz w:val="32"/>
          <w:szCs w:val="32"/>
        </w:rPr>
        <w:t>4.负责配合领导争取国家财政拨款，多渠道筹集资金，建立和巩固良好的对外合作关系。</w:t>
      </w:r>
    </w:p>
    <w:p>
      <w:pPr>
        <w:widowControl/>
        <w:spacing w:line="570" w:lineRule="atLeast"/>
        <w:ind w:firstLine="707" w:firstLineChars="221"/>
        <w:rPr>
          <w:rFonts w:eastAsia="仿宋_GB2312"/>
          <w:sz w:val="32"/>
          <w:szCs w:val="32"/>
        </w:rPr>
      </w:pPr>
      <w:r>
        <w:rPr>
          <w:rFonts w:hint="eastAsia" w:eastAsia="仿宋_GB2312"/>
          <w:sz w:val="32"/>
          <w:szCs w:val="32"/>
        </w:rPr>
        <w:t>5.负责协调教育、财政、审计、税务等上级部门和学校纪监审等部门的专项检查工作。</w:t>
      </w:r>
    </w:p>
    <w:p>
      <w:pPr>
        <w:widowControl/>
        <w:spacing w:line="570" w:lineRule="atLeast"/>
        <w:ind w:firstLine="707" w:firstLineChars="221"/>
        <w:rPr>
          <w:rFonts w:eastAsia="仿宋_GB2312"/>
          <w:sz w:val="32"/>
          <w:szCs w:val="32"/>
        </w:rPr>
      </w:pPr>
      <w:r>
        <w:rPr>
          <w:rFonts w:hint="eastAsia" w:eastAsia="仿宋_GB2312"/>
          <w:sz w:val="32"/>
          <w:szCs w:val="32"/>
        </w:rPr>
        <w:t>6.负责学校教育工会会计核算、报表编制等财务管理工作。</w:t>
      </w:r>
    </w:p>
    <w:p>
      <w:pPr>
        <w:widowControl/>
        <w:spacing w:line="570" w:lineRule="atLeast"/>
        <w:ind w:firstLine="707" w:firstLineChars="221"/>
        <w:rPr>
          <w:rFonts w:eastAsia="仿宋_GB2312"/>
          <w:sz w:val="32"/>
          <w:szCs w:val="32"/>
        </w:rPr>
      </w:pPr>
      <w:r>
        <w:rPr>
          <w:rFonts w:hint="eastAsia" w:eastAsia="仿宋_GB2312"/>
          <w:sz w:val="32"/>
          <w:szCs w:val="32"/>
        </w:rPr>
        <w:t>7.负责学校会计人员的管理、继续教育培训等工作。</w:t>
      </w:r>
    </w:p>
    <w:p>
      <w:pPr>
        <w:widowControl/>
        <w:spacing w:line="570" w:lineRule="atLeast"/>
        <w:ind w:firstLine="707" w:firstLineChars="221"/>
        <w:rPr>
          <w:rFonts w:eastAsia="仿宋_GB2312"/>
          <w:sz w:val="32"/>
          <w:szCs w:val="32"/>
        </w:rPr>
      </w:pPr>
      <w:r>
        <w:rPr>
          <w:rFonts w:hint="eastAsia" w:eastAsia="仿宋_GB2312"/>
          <w:sz w:val="32"/>
          <w:szCs w:val="32"/>
        </w:rPr>
        <w:t>8.配合其他处室开展各项工作。</w:t>
      </w:r>
    </w:p>
    <w:p>
      <w:pPr>
        <w:widowControl/>
        <w:spacing w:line="570" w:lineRule="atLeast"/>
        <w:ind w:firstLine="707" w:firstLineChars="221"/>
        <w:rPr>
          <w:rFonts w:eastAsia="仿宋_GB2312"/>
          <w:sz w:val="32"/>
          <w:szCs w:val="32"/>
        </w:rPr>
      </w:pPr>
      <w:r>
        <w:rPr>
          <w:rFonts w:hint="eastAsia" w:eastAsia="仿宋_GB2312"/>
          <w:sz w:val="32"/>
          <w:szCs w:val="32"/>
        </w:rPr>
        <w:t>9.配合其他科室开展各项工作，完成领导交办的其他工作。</w:t>
      </w:r>
    </w:p>
    <w:p>
      <w:pPr>
        <w:widowControl/>
        <w:numPr>
          <w:ilvl w:val="0"/>
          <w:numId w:val="1"/>
        </w:numPr>
        <w:spacing w:line="570" w:lineRule="atLeast"/>
        <w:ind w:firstLine="630" w:firstLineChars="196"/>
        <w:jc w:val="left"/>
        <w:rPr>
          <w:rFonts w:eastAsia="楷体_GB2312"/>
          <w:b/>
          <w:sz w:val="32"/>
          <w:szCs w:val="32"/>
        </w:rPr>
      </w:pPr>
      <w:r>
        <w:rPr>
          <w:rFonts w:eastAsia="楷体_GB2312"/>
          <w:b/>
          <w:sz w:val="32"/>
          <w:szCs w:val="32"/>
        </w:rPr>
        <w:t>机构设置</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eastAsia="仿宋_GB2312"/>
          <w:sz w:val="32"/>
          <w:szCs w:val="32"/>
        </w:rPr>
        <w:t>岳阳市君山区岳西中学为君山区教育局所属公益一类事业单位，经费形式为财政全额拨款。学校核定编制数148名，其中全额编制148 名，差额编制0名，自收自支0名。该单位部门预算实有人员215人，其中在职人员148人，离休人员0人，退休人员67人，其他人员0人。现有教学班48个，学生2532人。岳</w:t>
      </w:r>
      <w:r>
        <w:rPr>
          <w:rFonts w:hint="eastAsia" w:ascii="仿宋_GB2312" w:hAnsi="仿宋_GB2312" w:eastAsia="仿宋_GB2312" w:cs="仿宋_GB2312"/>
          <w:color w:val="000000"/>
          <w:sz w:val="32"/>
          <w:szCs w:val="32"/>
          <w:shd w:val="clear" w:color="auto" w:fill="FFFFFF"/>
        </w:rPr>
        <w:t>阳市君山区岳西中学设置了校长室、办公室、政教处、教务处、总务处、教研室、工会7个内设机构。</w:t>
      </w:r>
    </w:p>
    <w:p>
      <w:pPr>
        <w:adjustRightInd w:val="0"/>
        <w:snapToGrid w:val="0"/>
        <w:spacing w:line="360" w:lineRule="auto"/>
        <w:ind w:firstLine="602" w:firstLineChars="200"/>
        <w:rPr>
          <w:rFonts w:ascii="黑体" w:hAnsi="黑体" w:eastAsia="黑体" w:cs="仿宋"/>
          <w:b/>
          <w:bCs/>
          <w:sz w:val="30"/>
          <w:szCs w:val="30"/>
        </w:rPr>
      </w:pPr>
      <w:r>
        <w:rPr>
          <w:rFonts w:hint="eastAsia" w:ascii="黑体" w:hAnsi="黑体" w:eastAsia="黑体" w:cs="仿宋"/>
          <w:b/>
          <w:bCs/>
          <w:sz w:val="30"/>
          <w:szCs w:val="30"/>
        </w:rPr>
        <w:t>二、一般公共预算支出情况</w:t>
      </w:r>
    </w:p>
    <w:p>
      <w:pPr>
        <w:adjustRightInd w:val="0"/>
        <w:snapToGrid w:val="0"/>
        <w:spacing w:line="360" w:lineRule="auto"/>
        <w:ind w:firstLine="602" w:firstLineChars="200"/>
        <w:rPr>
          <w:rFonts w:eastAsia="仿宋" w:cs="仿宋"/>
          <w:b/>
          <w:bCs/>
          <w:sz w:val="30"/>
          <w:szCs w:val="30"/>
        </w:rPr>
      </w:pPr>
      <w:r>
        <w:rPr>
          <w:rFonts w:hint="eastAsia" w:eastAsia="仿宋" w:cs="仿宋"/>
          <w:b/>
          <w:bCs/>
          <w:sz w:val="30"/>
          <w:szCs w:val="30"/>
        </w:rPr>
        <w:t>（一）基本支出情况</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lang w:eastAsia="zh-CN"/>
        </w:rPr>
        <w:t>2024年</w:t>
      </w:r>
      <w:r>
        <w:rPr>
          <w:rFonts w:hint="eastAsia" w:eastAsia="仿宋" w:cs="仿宋"/>
          <w:sz w:val="30"/>
          <w:szCs w:val="30"/>
        </w:rPr>
        <w:t>学校基本支出为4092</w:t>
      </w:r>
      <w:r>
        <w:rPr>
          <w:rFonts w:hint="eastAsia" w:eastAsia="仿宋" w:cs="仿宋"/>
          <w:sz w:val="30"/>
          <w:szCs w:val="30"/>
          <w:lang w:val="en-US" w:eastAsia="zh-CN"/>
        </w:rPr>
        <w:t>.</w:t>
      </w:r>
      <w:r>
        <w:rPr>
          <w:rFonts w:hint="eastAsia" w:eastAsia="仿宋" w:cs="仿宋"/>
          <w:sz w:val="30"/>
          <w:szCs w:val="30"/>
        </w:rPr>
        <w:t>81万元，是指为保障单位机构正常运转、完成日常工作任务而发生的各项支出，包括用于基本工资、津贴补贴等人员经费以及办公费、印刷费、水电费、差旅费等日常公用经费。其中工资福利支出2559</w:t>
      </w:r>
      <w:r>
        <w:rPr>
          <w:rFonts w:hint="eastAsia" w:eastAsia="仿宋" w:cs="仿宋"/>
          <w:sz w:val="30"/>
          <w:szCs w:val="30"/>
          <w:lang w:val="en-US" w:eastAsia="zh-CN"/>
        </w:rPr>
        <w:t>.</w:t>
      </w:r>
      <w:r>
        <w:rPr>
          <w:rFonts w:hint="eastAsia" w:eastAsia="仿宋" w:cs="仿宋"/>
          <w:sz w:val="30"/>
          <w:szCs w:val="30"/>
        </w:rPr>
        <w:t>9</w:t>
      </w:r>
      <w:r>
        <w:rPr>
          <w:rFonts w:hint="eastAsia" w:eastAsia="仿宋" w:cs="仿宋"/>
          <w:sz w:val="30"/>
          <w:szCs w:val="30"/>
          <w:lang w:val="en-US" w:eastAsia="zh-CN"/>
        </w:rPr>
        <w:t>1</w:t>
      </w:r>
      <w:r>
        <w:rPr>
          <w:rFonts w:hint="eastAsia" w:eastAsia="仿宋" w:cs="仿宋"/>
          <w:sz w:val="30"/>
          <w:szCs w:val="30"/>
        </w:rPr>
        <w:t>万元；商品和服务支出1219</w:t>
      </w:r>
      <w:r>
        <w:rPr>
          <w:rFonts w:hint="eastAsia" w:eastAsia="仿宋" w:cs="仿宋"/>
          <w:sz w:val="30"/>
          <w:szCs w:val="30"/>
          <w:lang w:val="en-US" w:eastAsia="zh-CN"/>
        </w:rPr>
        <w:t>.</w:t>
      </w:r>
      <w:r>
        <w:rPr>
          <w:rFonts w:hint="eastAsia" w:eastAsia="仿宋" w:cs="仿宋"/>
          <w:sz w:val="30"/>
          <w:szCs w:val="30"/>
        </w:rPr>
        <w:t>5</w:t>
      </w:r>
      <w:r>
        <w:rPr>
          <w:rFonts w:hint="eastAsia" w:eastAsia="仿宋" w:cs="仿宋"/>
          <w:sz w:val="30"/>
          <w:szCs w:val="30"/>
          <w:lang w:val="en-US" w:eastAsia="zh-CN"/>
        </w:rPr>
        <w:t>6</w:t>
      </w:r>
      <w:r>
        <w:rPr>
          <w:rFonts w:hint="eastAsia" w:eastAsia="仿宋" w:cs="仿宋"/>
          <w:sz w:val="30"/>
          <w:szCs w:val="30"/>
        </w:rPr>
        <w:t>万元；对个人和家庭的补助74</w:t>
      </w:r>
      <w:r>
        <w:rPr>
          <w:rFonts w:hint="eastAsia" w:eastAsia="仿宋" w:cs="仿宋"/>
          <w:sz w:val="30"/>
          <w:szCs w:val="30"/>
          <w:lang w:val="en-US" w:eastAsia="zh-CN"/>
        </w:rPr>
        <w:t>.</w:t>
      </w:r>
      <w:r>
        <w:rPr>
          <w:rFonts w:hint="eastAsia" w:eastAsia="仿宋" w:cs="仿宋"/>
          <w:sz w:val="30"/>
          <w:szCs w:val="30"/>
        </w:rPr>
        <w:t>43万元；资本性支出238</w:t>
      </w:r>
      <w:r>
        <w:rPr>
          <w:rFonts w:hint="eastAsia" w:eastAsia="仿宋" w:cs="仿宋"/>
          <w:sz w:val="30"/>
          <w:szCs w:val="30"/>
          <w:lang w:val="en-US" w:eastAsia="zh-CN"/>
        </w:rPr>
        <w:t>.</w:t>
      </w:r>
      <w:r>
        <w:rPr>
          <w:rFonts w:hint="eastAsia" w:eastAsia="仿宋" w:cs="仿宋"/>
          <w:sz w:val="30"/>
          <w:szCs w:val="30"/>
        </w:rPr>
        <w:t>9</w:t>
      </w:r>
      <w:r>
        <w:rPr>
          <w:rFonts w:hint="eastAsia" w:eastAsia="仿宋" w:cs="仿宋"/>
          <w:sz w:val="30"/>
          <w:szCs w:val="30"/>
          <w:lang w:val="en-US" w:eastAsia="zh-CN"/>
        </w:rPr>
        <w:t>1</w:t>
      </w:r>
      <w:r>
        <w:rPr>
          <w:rFonts w:hint="eastAsia" w:eastAsia="仿宋" w:cs="仿宋"/>
          <w:sz w:val="30"/>
          <w:szCs w:val="30"/>
        </w:rPr>
        <w:t>万元。</w:t>
      </w:r>
    </w:p>
    <w:p>
      <w:pPr>
        <w:adjustRightInd w:val="0"/>
        <w:snapToGrid w:val="0"/>
        <w:spacing w:line="360" w:lineRule="auto"/>
        <w:ind w:firstLine="602" w:firstLineChars="200"/>
        <w:rPr>
          <w:rFonts w:eastAsia="仿宋" w:cs="仿宋"/>
          <w:b/>
          <w:bCs/>
          <w:sz w:val="30"/>
          <w:szCs w:val="30"/>
        </w:rPr>
      </w:pPr>
      <w:r>
        <w:rPr>
          <w:rFonts w:hint="eastAsia" w:eastAsia="仿宋" w:cs="仿宋"/>
          <w:b/>
          <w:bCs/>
          <w:sz w:val="30"/>
          <w:szCs w:val="30"/>
        </w:rPr>
        <w:t>（二）项目支出情况</w:t>
      </w:r>
    </w:p>
    <w:p>
      <w:pPr>
        <w:adjustRightInd w:val="0"/>
        <w:snapToGrid w:val="0"/>
        <w:spacing w:line="360" w:lineRule="auto"/>
        <w:ind w:firstLine="600" w:firstLineChars="200"/>
        <w:rPr>
          <w:rFonts w:hint="default" w:eastAsia="仿宋" w:cs="仿宋"/>
          <w:sz w:val="30"/>
          <w:szCs w:val="30"/>
          <w:lang w:val="en-US" w:eastAsia="zh-CN"/>
        </w:rPr>
      </w:pPr>
      <w:r>
        <w:rPr>
          <w:rFonts w:hint="eastAsia" w:eastAsia="仿宋" w:cs="仿宋"/>
          <w:sz w:val="30"/>
          <w:szCs w:val="30"/>
          <w:lang w:eastAsia="zh-CN"/>
        </w:rPr>
        <w:t>2024年</w:t>
      </w:r>
      <w:r>
        <w:rPr>
          <w:rFonts w:hint="eastAsia" w:eastAsia="仿宋" w:cs="仿宋"/>
          <w:sz w:val="30"/>
          <w:szCs w:val="30"/>
        </w:rPr>
        <w:t>项目支出为392</w:t>
      </w:r>
      <w:r>
        <w:rPr>
          <w:rFonts w:hint="eastAsia" w:eastAsia="仿宋" w:cs="仿宋"/>
          <w:sz w:val="30"/>
          <w:szCs w:val="30"/>
          <w:lang w:val="en-US" w:eastAsia="zh-CN"/>
        </w:rPr>
        <w:t>.</w:t>
      </w:r>
      <w:r>
        <w:rPr>
          <w:rFonts w:hint="eastAsia" w:eastAsia="仿宋" w:cs="仿宋"/>
          <w:sz w:val="30"/>
          <w:szCs w:val="30"/>
        </w:rPr>
        <w:t>11万元，是指单位为完成特定行政工作任务或事业发展目标而发生的支出，包括有关业务工作经费等。其中</w:t>
      </w:r>
      <w:r>
        <w:rPr>
          <w:rFonts w:hint="eastAsia" w:eastAsia="仿宋" w:cs="仿宋"/>
          <w:sz w:val="30"/>
          <w:szCs w:val="30"/>
          <w:lang w:val="en-US" w:eastAsia="zh-CN"/>
        </w:rPr>
        <w:t>:</w:t>
      </w:r>
      <w:r>
        <w:rPr>
          <w:rFonts w:hint="eastAsia" w:eastAsia="仿宋" w:cs="仿宋"/>
          <w:sz w:val="30"/>
          <w:szCs w:val="30"/>
        </w:rPr>
        <w:t>城乡义务教育生均公用经费(初中</w:t>
      </w:r>
      <w:r>
        <w:rPr>
          <w:rFonts w:hint="eastAsia" w:eastAsia="仿宋" w:cs="仿宋"/>
          <w:sz w:val="30"/>
          <w:szCs w:val="30"/>
          <w:lang w:val="en-US" w:eastAsia="zh-CN"/>
        </w:rPr>
        <w:t>)125万元，教育专项106.16万元，其他业务工作经费160.95万元。</w:t>
      </w:r>
    </w:p>
    <w:p>
      <w:pPr>
        <w:adjustRightInd w:val="0"/>
        <w:snapToGrid w:val="0"/>
        <w:spacing w:line="360" w:lineRule="auto"/>
        <w:ind w:firstLine="602" w:firstLineChars="200"/>
        <w:rPr>
          <w:rFonts w:ascii="黑体" w:hAnsi="黑体" w:eastAsia="黑体" w:cs="仿宋"/>
          <w:b/>
          <w:bCs/>
          <w:sz w:val="30"/>
          <w:szCs w:val="30"/>
        </w:rPr>
      </w:pPr>
      <w:r>
        <w:rPr>
          <w:rFonts w:hint="eastAsia" w:ascii="黑体" w:hAnsi="黑体" w:eastAsia="黑体" w:cs="仿宋"/>
          <w:b/>
          <w:bCs/>
          <w:sz w:val="30"/>
          <w:szCs w:val="30"/>
        </w:rPr>
        <w:t>三、政府性基金预算支出情况</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lang w:eastAsia="zh-CN"/>
        </w:rPr>
        <w:t>2024年</w:t>
      </w:r>
      <w:r>
        <w:rPr>
          <w:rFonts w:hint="eastAsia" w:eastAsia="仿宋" w:cs="仿宋"/>
          <w:sz w:val="30"/>
          <w:szCs w:val="30"/>
        </w:rPr>
        <w:t>度本单位无政府性基金支出</w:t>
      </w:r>
    </w:p>
    <w:p>
      <w:pPr>
        <w:adjustRightInd w:val="0"/>
        <w:snapToGrid w:val="0"/>
        <w:spacing w:line="360" w:lineRule="auto"/>
        <w:ind w:firstLine="602" w:firstLineChars="200"/>
        <w:rPr>
          <w:rFonts w:ascii="黑体" w:hAnsi="黑体" w:eastAsia="黑体" w:cs="仿宋"/>
          <w:b/>
          <w:bCs/>
          <w:sz w:val="30"/>
          <w:szCs w:val="30"/>
        </w:rPr>
      </w:pPr>
      <w:r>
        <w:rPr>
          <w:rFonts w:hint="eastAsia" w:ascii="黑体" w:hAnsi="黑体" w:eastAsia="黑体" w:cs="仿宋"/>
          <w:b/>
          <w:bCs/>
          <w:sz w:val="30"/>
          <w:szCs w:val="30"/>
        </w:rPr>
        <w:t>四、国有资本经营预算支出情况</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lang w:eastAsia="zh-CN"/>
        </w:rPr>
        <w:t>2024年</w:t>
      </w:r>
      <w:r>
        <w:rPr>
          <w:rFonts w:hint="eastAsia" w:eastAsia="仿宋" w:cs="仿宋"/>
          <w:sz w:val="30"/>
          <w:szCs w:val="30"/>
        </w:rPr>
        <w:t>度本单位无国有资本经营支出</w:t>
      </w:r>
    </w:p>
    <w:p>
      <w:pPr>
        <w:adjustRightInd w:val="0"/>
        <w:snapToGrid w:val="0"/>
        <w:spacing w:line="360" w:lineRule="auto"/>
        <w:ind w:firstLine="602" w:firstLineChars="200"/>
        <w:rPr>
          <w:rFonts w:ascii="黑体" w:hAnsi="黑体" w:eastAsia="黑体" w:cs="仿宋"/>
          <w:b/>
          <w:bCs/>
          <w:sz w:val="30"/>
          <w:szCs w:val="30"/>
        </w:rPr>
      </w:pPr>
      <w:r>
        <w:rPr>
          <w:rFonts w:hint="eastAsia" w:ascii="黑体" w:hAnsi="黑体" w:eastAsia="黑体" w:cs="仿宋"/>
          <w:b/>
          <w:bCs/>
          <w:sz w:val="30"/>
          <w:szCs w:val="30"/>
        </w:rPr>
        <w:t>五、社会保险基金预算支出情况</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lang w:eastAsia="zh-CN"/>
        </w:rPr>
        <w:t>2024年</w:t>
      </w:r>
      <w:r>
        <w:rPr>
          <w:rFonts w:hint="eastAsia" w:eastAsia="仿宋" w:cs="仿宋"/>
          <w:sz w:val="30"/>
          <w:szCs w:val="30"/>
        </w:rPr>
        <w:t>度本单位无社会保险基金预算支出</w:t>
      </w:r>
    </w:p>
    <w:p>
      <w:pPr>
        <w:adjustRightInd w:val="0"/>
        <w:snapToGrid w:val="0"/>
        <w:spacing w:line="360" w:lineRule="auto"/>
        <w:ind w:firstLine="602" w:firstLineChars="200"/>
        <w:rPr>
          <w:rFonts w:ascii="黑体" w:hAnsi="黑体" w:eastAsia="黑体" w:cs="仿宋"/>
          <w:b/>
          <w:bCs/>
          <w:sz w:val="30"/>
          <w:szCs w:val="30"/>
        </w:rPr>
      </w:pPr>
      <w:r>
        <w:rPr>
          <w:rFonts w:hint="eastAsia" w:ascii="黑体" w:hAnsi="黑体" w:eastAsia="黑体" w:cs="仿宋"/>
          <w:b/>
          <w:bCs/>
          <w:sz w:val="30"/>
          <w:szCs w:val="30"/>
        </w:rPr>
        <w:t>六、部门整体支出绩效情况</w:t>
      </w:r>
    </w:p>
    <w:p>
      <w:pPr>
        <w:widowControl/>
        <w:adjustRightInd w:val="0"/>
        <w:snapToGrid w:val="0"/>
        <w:spacing w:line="360" w:lineRule="auto"/>
        <w:ind w:firstLine="602" w:firstLineChars="200"/>
        <w:rPr>
          <w:rFonts w:eastAsia="仿宋" w:cs="仿宋"/>
          <w:b/>
          <w:bCs/>
          <w:sz w:val="30"/>
          <w:szCs w:val="30"/>
        </w:rPr>
      </w:pPr>
      <w:r>
        <w:rPr>
          <w:rFonts w:hint="eastAsia" w:eastAsia="仿宋" w:cs="仿宋"/>
          <w:b/>
          <w:bCs/>
          <w:sz w:val="30"/>
          <w:szCs w:val="30"/>
        </w:rPr>
        <w:t>（一）绩效评价结果</w:t>
      </w:r>
    </w:p>
    <w:p>
      <w:pPr>
        <w:pStyle w:val="4"/>
        <w:widowControl/>
        <w:shd w:val="clear" w:color="auto" w:fill="FFFFFF"/>
        <w:spacing w:beforeAutospacing="0" w:afterAutospacing="0" w:line="560" w:lineRule="atLeast"/>
        <w:ind w:firstLine="643"/>
        <w:rPr>
          <w:rFonts w:eastAsia="仿宋"/>
          <w:color w:val="333333"/>
          <w:sz w:val="30"/>
          <w:szCs w:val="30"/>
        </w:rPr>
      </w:pPr>
      <w:r>
        <w:rPr>
          <w:rFonts w:hint="eastAsia" w:eastAsia="仿宋" w:cs="仿宋"/>
          <w:sz w:val="30"/>
          <w:szCs w:val="30"/>
          <w:lang w:eastAsia="zh-CN"/>
        </w:rPr>
        <w:t>对照绩效自评相关文件要求，我校从预算执行、预算管理、履职效能、社会效应等方面对2024年部门整体支出绩效开展了评价。绩效自评得分为9</w:t>
      </w:r>
      <w:r>
        <w:rPr>
          <w:rFonts w:hint="eastAsia" w:eastAsia="仿宋" w:cs="仿宋"/>
          <w:sz w:val="30"/>
          <w:szCs w:val="30"/>
          <w:lang w:val="en-US" w:eastAsia="zh-CN"/>
        </w:rPr>
        <w:t>9.98</w:t>
      </w:r>
      <w:r>
        <w:rPr>
          <w:rFonts w:hint="eastAsia" w:eastAsia="仿宋" w:cs="仿宋"/>
          <w:sz w:val="30"/>
          <w:szCs w:val="30"/>
          <w:lang w:eastAsia="zh-CN"/>
        </w:rPr>
        <w:t>分。</w:t>
      </w:r>
    </w:p>
    <w:p>
      <w:pPr>
        <w:widowControl/>
        <w:adjustRightInd w:val="0"/>
        <w:snapToGrid w:val="0"/>
        <w:spacing w:line="360" w:lineRule="auto"/>
        <w:rPr>
          <w:rFonts w:eastAsia="仿宋" w:cs="仿宋"/>
          <w:b/>
          <w:bCs/>
          <w:sz w:val="30"/>
          <w:szCs w:val="30"/>
        </w:rPr>
      </w:pPr>
      <w:r>
        <w:rPr>
          <w:rFonts w:hint="eastAsia" w:eastAsia="仿宋" w:cs="仿宋"/>
          <w:b/>
          <w:bCs/>
          <w:sz w:val="30"/>
          <w:szCs w:val="30"/>
        </w:rPr>
        <w:t>　　（二）年度绩效目标完成情况</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rPr>
        <w:t>通过绩效评价工作组对全部项目的实施情况进行了整体跟踪，从项目安排、实施、资金的拨付进行了综合评价，认为教育资金项目任务目标明确，资金到位比较及时，并制定了科学的实施计划，项目实施过程中严格按照有关项目管理和经费管理规定执行，项目持续稳定进展，具有较好的经济和社会效益。单位项目基础数据信息真实、资料收集齐全，每一个项目都有完整的资料，实施进度也基本达到上级的要求。目前项目已全部实施完成，学生、家长、人民群众都很满意。</w:t>
      </w:r>
    </w:p>
    <w:p>
      <w:pPr>
        <w:adjustRightInd w:val="0"/>
        <w:snapToGrid w:val="0"/>
        <w:spacing w:line="360" w:lineRule="auto"/>
        <w:ind w:firstLine="602" w:firstLineChars="200"/>
        <w:rPr>
          <w:rFonts w:ascii="黑体" w:hAnsi="黑体" w:eastAsia="黑体" w:cs="仿宋"/>
          <w:b/>
          <w:bCs/>
          <w:sz w:val="30"/>
          <w:szCs w:val="30"/>
        </w:rPr>
      </w:pPr>
      <w:r>
        <w:rPr>
          <w:rFonts w:hint="eastAsia" w:ascii="黑体" w:hAnsi="黑体" w:eastAsia="黑体" w:cs="仿宋"/>
          <w:b/>
          <w:bCs/>
          <w:sz w:val="30"/>
          <w:szCs w:val="30"/>
        </w:rPr>
        <w:t>七、存在的问题及原因分析</w:t>
      </w:r>
    </w:p>
    <w:p>
      <w:pPr>
        <w:widowControl/>
        <w:shd w:val="clear" w:color="auto" w:fill="FFFFFF"/>
        <w:spacing w:line="560" w:lineRule="atLeast"/>
        <w:ind w:firstLine="600"/>
        <w:rPr>
          <w:rFonts w:eastAsia="仿宋"/>
          <w:color w:val="333333"/>
          <w:sz w:val="30"/>
          <w:szCs w:val="30"/>
        </w:rPr>
      </w:pPr>
      <w:r>
        <w:rPr>
          <w:rFonts w:hint="eastAsia" w:eastAsia="仿宋" w:cs="宋体"/>
          <w:color w:val="333333"/>
          <w:sz w:val="30"/>
          <w:szCs w:val="30"/>
          <w:shd w:val="clear" w:color="auto" w:fill="FFFFFF"/>
        </w:rPr>
        <w:t>1.</w:t>
      </w:r>
      <w:r>
        <w:rPr>
          <w:rFonts w:hint="eastAsia" w:eastAsia="仿宋" w:cs="宋体"/>
          <w:color w:val="000000"/>
          <w:sz w:val="30"/>
          <w:szCs w:val="30"/>
          <w:shd w:val="clear" w:color="auto" w:fill="FFFFFF"/>
        </w:rPr>
        <w:t xml:space="preserve"> 预算编制工作有待细化。预算编制不够明确和细化，预算编制的合理性需要提高。</w:t>
      </w:r>
      <w:r>
        <w:rPr>
          <w:rFonts w:hint="eastAsia" w:eastAsia="仿宋" w:cs="宋体"/>
          <w:color w:val="333333"/>
          <w:sz w:val="30"/>
          <w:szCs w:val="30"/>
          <w:shd w:val="clear" w:color="auto" w:fill="FFFFFF"/>
        </w:rPr>
        <w:t>人员分工及实施方面有待加强，分工要合理明确及提高执行效率。</w:t>
      </w:r>
    </w:p>
    <w:p>
      <w:pPr>
        <w:widowControl/>
        <w:shd w:val="clear" w:color="auto" w:fill="FFFFFF"/>
        <w:spacing w:line="23" w:lineRule="atLeast"/>
        <w:ind w:firstLine="600"/>
        <w:rPr>
          <w:rFonts w:eastAsia="仿宋"/>
          <w:color w:val="333333"/>
          <w:sz w:val="30"/>
          <w:szCs w:val="30"/>
        </w:rPr>
      </w:pPr>
      <w:r>
        <w:rPr>
          <w:rFonts w:hint="eastAsia" w:eastAsia="仿宋" w:cs="宋体"/>
          <w:color w:val="000000"/>
          <w:sz w:val="30"/>
          <w:szCs w:val="30"/>
          <w:shd w:val="clear" w:color="auto" w:fill="FFFFFF"/>
        </w:rPr>
        <w:t>2、</w:t>
      </w:r>
      <w:r>
        <w:rPr>
          <w:rFonts w:hint="eastAsia" w:eastAsia="仿宋" w:cs="仿宋"/>
          <w:sz w:val="30"/>
          <w:szCs w:val="30"/>
        </w:rPr>
        <w:t>项目支出绩效评价指标体系不完善，给考核评价及评分工作带来一定的困难。</w:t>
      </w:r>
    </w:p>
    <w:p>
      <w:pPr>
        <w:widowControl/>
        <w:shd w:val="clear" w:color="auto" w:fill="FFFFFF"/>
        <w:spacing w:line="23" w:lineRule="atLeast"/>
        <w:ind w:firstLine="600"/>
        <w:rPr>
          <w:rFonts w:eastAsia="仿宋"/>
          <w:color w:val="333333"/>
          <w:sz w:val="30"/>
          <w:szCs w:val="30"/>
        </w:rPr>
      </w:pPr>
      <w:r>
        <w:rPr>
          <w:rFonts w:hint="eastAsia" w:eastAsia="仿宋" w:cs="宋体"/>
          <w:color w:val="000000"/>
          <w:sz w:val="30"/>
          <w:szCs w:val="30"/>
          <w:shd w:val="clear" w:color="auto" w:fill="FFFFFF"/>
        </w:rPr>
        <w:t>2、</w:t>
      </w:r>
      <w:r>
        <w:rPr>
          <w:rFonts w:hint="eastAsia" w:eastAsia="仿宋" w:cs="仿宋"/>
          <w:sz w:val="30"/>
          <w:szCs w:val="30"/>
        </w:rPr>
        <w:t>各相关部门处室对绩效评价工作的重要性认识有待进一步提高。</w:t>
      </w:r>
    </w:p>
    <w:p>
      <w:pPr>
        <w:adjustRightInd w:val="0"/>
        <w:snapToGrid w:val="0"/>
        <w:spacing w:line="360" w:lineRule="auto"/>
        <w:ind w:firstLine="602" w:firstLineChars="200"/>
        <w:rPr>
          <w:rFonts w:ascii="黑体" w:hAnsi="黑体" w:eastAsia="黑体" w:cs="仿宋"/>
          <w:b/>
          <w:bCs/>
          <w:sz w:val="30"/>
          <w:szCs w:val="30"/>
        </w:rPr>
      </w:pPr>
      <w:r>
        <w:rPr>
          <w:rFonts w:hint="eastAsia" w:ascii="黑体" w:hAnsi="黑体" w:eastAsia="黑体" w:cs="仿宋"/>
          <w:b/>
          <w:bCs/>
          <w:sz w:val="30"/>
          <w:szCs w:val="30"/>
        </w:rPr>
        <w:t>八、下一步改进措施</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rPr>
        <w:t>针对上述存在的问题，我校已作出工作要求，加强对项目开展的可行性、必要性做好充分调研，依据实际情况做好经费支出预算，制定合理的项目实施计划；项目实施前期，做好各项准备工作；在实施阶段，做好监督，跟踪管理；实施后及时总结自评。改进措施如下</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rPr>
        <w:t>（一）细化预算编制工作，认真做好预算的编制。进一步加强预算绩效管理意识，严格按照预算编制的相关制度和要求进行预算编制，优先保障固定性的、相对刚性的费用支出项目，进一步提高预算编制的科学性、严谨性和可控性。</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rPr>
        <w:t>（二）加强财务管理，严格财务审核。在费用报账支付时，按照预算编制时的金额和用途进行资金使用审核、列报支付、财务核算，杜绝超支现象的发生。</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rPr>
        <w:t>（三）加强绩效评价结果的应用，促进预算项目规范有序开展。将绩效评价结果及时通报承担工作任务的处室，对于评价结果较好的项目予以支持，激励其更好地开展工作；对评价发现问题、达不到绩效目标或评价结果较差的项目予以纠正，充分发挥财政资金使用效益。</w:t>
      </w:r>
    </w:p>
    <w:p>
      <w:pPr>
        <w:adjustRightInd w:val="0"/>
        <w:snapToGrid w:val="0"/>
        <w:spacing w:line="360" w:lineRule="auto"/>
        <w:ind w:firstLine="602" w:firstLineChars="200"/>
        <w:rPr>
          <w:rFonts w:ascii="黑体" w:hAnsi="黑体" w:eastAsia="黑体" w:cs="仿宋"/>
          <w:b/>
          <w:bCs/>
          <w:sz w:val="30"/>
          <w:szCs w:val="30"/>
        </w:rPr>
      </w:pPr>
      <w:r>
        <w:rPr>
          <w:rFonts w:hint="eastAsia" w:ascii="黑体" w:hAnsi="黑体" w:eastAsia="黑体" w:cs="仿宋"/>
          <w:b/>
          <w:bCs/>
          <w:sz w:val="30"/>
          <w:szCs w:val="30"/>
        </w:rPr>
        <w:t>九、部门整体支出绩效自评结果拟应用和公开情况</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rPr>
        <w:t>一是从绩效自评结果来看，君山区岳西中学部门整体支出绩效较好，建立了绩效评价与部门预算相结合的结果应用机制，采取项目预期绩效目标申报制度，强化评价结果在部门预算编制和执行中的应用，实现绩效评价结果在部门预算编制和执行中的应用，促进财政资金的合理分配与有效使用。二是根据预算绩效评价的有关规定，君山区岳西中学将在区政府门户网站公开绩效自评报告。</w:t>
      </w:r>
    </w:p>
    <w:p>
      <w:pPr>
        <w:adjustRightInd w:val="0"/>
        <w:snapToGrid w:val="0"/>
        <w:spacing w:line="360" w:lineRule="auto"/>
        <w:ind w:firstLine="602" w:firstLineChars="200"/>
        <w:rPr>
          <w:rFonts w:ascii="黑体" w:hAnsi="黑体" w:eastAsia="黑体" w:cs="仿宋"/>
          <w:b/>
          <w:bCs/>
          <w:sz w:val="30"/>
          <w:szCs w:val="30"/>
        </w:rPr>
      </w:pPr>
      <w:r>
        <w:rPr>
          <w:rFonts w:hint="eastAsia" w:ascii="黑体" w:hAnsi="黑体" w:eastAsia="黑体" w:cs="仿宋"/>
          <w:b/>
          <w:bCs/>
          <w:sz w:val="30"/>
          <w:szCs w:val="30"/>
        </w:rPr>
        <w:t>十、其他需要说明的情况</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rPr>
        <w:t>无</w:t>
      </w:r>
    </w:p>
    <w:p>
      <w:pPr>
        <w:adjustRightInd w:val="0"/>
        <w:snapToGrid w:val="0"/>
        <w:spacing w:line="360" w:lineRule="auto"/>
        <w:rPr>
          <w:rFonts w:eastAsia="仿宋" w:cs="仿宋"/>
          <w:sz w:val="30"/>
          <w:szCs w:val="30"/>
        </w:rPr>
      </w:pPr>
    </w:p>
    <w:p>
      <w:pPr>
        <w:adjustRightInd w:val="0"/>
        <w:snapToGrid w:val="0"/>
        <w:spacing w:line="360" w:lineRule="auto"/>
        <w:rPr>
          <w:rFonts w:eastAsia="仿宋" w:cs="仿宋"/>
          <w:sz w:val="30"/>
          <w:szCs w:val="30"/>
        </w:rPr>
      </w:pPr>
    </w:p>
    <w:p>
      <w:pPr>
        <w:adjustRightInd w:val="0"/>
        <w:snapToGrid w:val="0"/>
        <w:spacing w:line="360" w:lineRule="auto"/>
        <w:ind w:firstLine="600" w:firstLineChars="200"/>
        <w:rPr>
          <w:rFonts w:eastAsia="仿宋" w:cs="仿宋"/>
          <w:sz w:val="30"/>
          <w:szCs w:val="30"/>
        </w:rPr>
      </w:pPr>
      <w:r>
        <w:rPr>
          <w:rFonts w:hint="eastAsia" w:eastAsia="仿宋" w:cs="仿宋"/>
          <w:sz w:val="30"/>
          <w:szCs w:val="30"/>
        </w:rPr>
        <w:t>附件：</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rPr>
        <w:t>1.部门整体支出绩效评价基础数据表</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rPr>
        <w:t>2.部门整体支出绩效自评表</w:t>
      </w:r>
    </w:p>
    <w:p>
      <w:pPr>
        <w:adjustRightInd w:val="0"/>
        <w:snapToGrid w:val="0"/>
        <w:spacing w:line="360" w:lineRule="auto"/>
        <w:ind w:firstLine="600" w:firstLineChars="200"/>
        <w:rPr>
          <w:rFonts w:eastAsia="仿宋" w:cs="仿宋"/>
          <w:sz w:val="30"/>
          <w:szCs w:val="30"/>
        </w:rPr>
      </w:pPr>
      <w:r>
        <w:rPr>
          <w:rFonts w:hint="eastAsia" w:eastAsia="仿宋" w:cs="仿宋"/>
          <w:sz w:val="30"/>
          <w:szCs w:val="30"/>
        </w:rPr>
        <w:t>3.项目支出绩效自评表（一个一级项目支出一张表）</w:t>
      </w:r>
    </w:p>
    <w:p>
      <w:pPr>
        <w:widowControl/>
        <w:spacing w:line="640" w:lineRule="exact"/>
      </w:pPr>
      <w:bookmarkStart w:id="0" w:name="_GoBack"/>
      <w:bookmarkEnd w:id="0"/>
    </w:p>
    <w:sectPr>
      <w:pgSz w:w="11906" w:h="16838"/>
      <w:pgMar w:top="1497" w:right="1576" w:bottom="1213"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12" w:usb3="00000000" w:csb0="00040001" w:csb1="00000000"/>
  </w:font>
  <w:font w:name="楷体_GB2312">
    <w:altName w:val="楷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1542D"/>
    <w:multiLevelType w:val="singleLevel"/>
    <w:tmpl w:val="ADF154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MDFhZjVmZGMwZmZiYmFkZmZjMjM4YjhmMGM4YTYifQ=="/>
  </w:docVars>
  <w:rsids>
    <w:rsidRoot w:val="61B30999"/>
    <w:rsid w:val="00047CCB"/>
    <w:rsid w:val="00155CEA"/>
    <w:rsid w:val="00181ADD"/>
    <w:rsid w:val="001D1D6E"/>
    <w:rsid w:val="00255F49"/>
    <w:rsid w:val="002B37CA"/>
    <w:rsid w:val="002E5A66"/>
    <w:rsid w:val="003427DD"/>
    <w:rsid w:val="003E4A2D"/>
    <w:rsid w:val="004B2B21"/>
    <w:rsid w:val="00505063"/>
    <w:rsid w:val="00525A3B"/>
    <w:rsid w:val="005565BF"/>
    <w:rsid w:val="005F6B7A"/>
    <w:rsid w:val="00727F4E"/>
    <w:rsid w:val="00760C77"/>
    <w:rsid w:val="00767392"/>
    <w:rsid w:val="007F496B"/>
    <w:rsid w:val="00844153"/>
    <w:rsid w:val="00854BD2"/>
    <w:rsid w:val="008F1769"/>
    <w:rsid w:val="00921EFE"/>
    <w:rsid w:val="00947381"/>
    <w:rsid w:val="00947DA4"/>
    <w:rsid w:val="00983313"/>
    <w:rsid w:val="009A4698"/>
    <w:rsid w:val="009D5507"/>
    <w:rsid w:val="009F709B"/>
    <w:rsid w:val="00A0460B"/>
    <w:rsid w:val="00A52044"/>
    <w:rsid w:val="00B57F98"/>
    <w:rsid w:val="00B75BB5"/>
    <w:rsid w:val="00C0156D"/>
    <w:rsid w:val="00C227FA"/>
    <w:rsid w:val="00C407C3"/>
    <w:rsid w:val="00CE747E"/>
    <w:rsid w:val="00CF05EF"/>
    <w:rsid w:val="00D20021"/>
    <w:rsid w:val="00D3095F"/>
    <w:rsid w:val="00DB5E6A"/>
    <w:rsid w:val="00DE35E8"/>
    <w:rsid w:val="00ED700C"/>
    <w:rsid w:val="00FD7452"/>
    <w:rsid w:val="00FE5E82"/>
    <w:rsid w:val="02FD0822"/>
    <w:rsid w:val="06532730"/>
    <w:rsid w:val="099914F5"/>
    <w:rsid w:val="0EE25329"/>
    <w:rsid w:val="172736E1"/>
    <w:rsid w:val="1B8901B8"/>
    <w:rsid w:val="1C6C7F21"/>
    <w:rsid w:val="1D413B98"/>
    <w:rsid w:val="24214FFE"/>
    <w:rsid w:val="2A151926"/>
    <w:rsid w:val="2B0476F0"/>
    <w:rsid w:val="2F762E67"/>
    <w:rsid w:val="34027E18"/>
    <w:rsid w:val="350C2438"/>
    <w:rsid w:val="3A611E60"/>
    <w:rsid w:val="3CD3535A"/>
    <w:rsid w:val="41807B75"/>
    <w:rsid w:val="53292C98"/>
    <w:rsid w:val="5BFE7BBD"/>
    <w:rsid w:val="5C294C3A"/>
    <w:rsid w:val="5CD21165"/>
    <w:rsid w:val="61B30999"/>
    <w:rsid w:val="65447698"/>
    <w:rsid w:val="6EFE1F56"/>
    <w:rsid w:val="6FF65632"/>
    <w:rsid w:val="74744A68"/>
    <w:rsid w:val="779615A1"/>
    <w:rsid w:val="79917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note text"/>
    <w:basedOn w:val="1"/>
    <w:qFormat/>
    <w:uiPriority w:val="0"/>
    <w:pPr>
      <w:snapToGrid w:val="0"/>
      <w:jc w:val="left"/>
    </w:pPr>
    <w:rPr>
      <w:rFonts w:hint="eastAsia"/>
      <w:sz w:val="18"/>
    </w:rPr>
  </w:style>
  <w:style w:type="paragraph" w:styleId="4">
    <w:name w:val="Normal (Web)"/>
    <w:basedOn w:val="1"/>
    <w:qFormat/>
    <w:uiPriority w:val="0"/>
    <w:pPr>
      <w:spacing w:beforeAutospacing="1" w:afterAutospacing="1"/>
      <w:jc w:val="left"/>
    </w:pPr>
    <w:rPr>
      <w:sz w:val="24"/>
    </w:r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9</Pages>
  <Words>3745</Words>
  <Characters>3965</Characters>
  <Lines>29</Lines>
  <Paragraphs>8</Paragraphs>
  <TotalTime>1</TotalTime>
  <ScaleCrop>false</ScaleCrop>
  <LinksUpToDate>false</LinksUpToDate>
  <CharactersWithSpaces>3976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2024-06-21T00:55:00Z</dcterms:created>
  <dc:creator>蔡智明</dc:creator>
  <cp:lastModifiedBy>谢丽娟</cp:lastModifiedBy>
  <dcterms:modified xsi:type="dcterms:W3CDTF">2025-05-08T04:57:29Z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22A0638B0B9245D6B57CFD00DD454020_11</vt:lpwstr>
  </property>
</Properties>
</file>