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DD4E9">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4A712788">
      <w:pPr>
        <w:jc w:val="center"/>
        <w:rPr>
          <w:rFonts w:hint="default" w:ascii="Times New Roman" w:hAnsi="Times New Roman" w:eastAsia="方正小标宋_GBK" w:cs="Times New Roman"/>
          <w:sz w:val="52"/>
          <w:szCs w:val="52"/>
          <w:highlight w:val="none"/>
        </w:rPr>
      </w:pPr>
    </w:p>
    <w:p w14:paraId="42D0A2C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岳阳市君山区乡镇财政服务中心</w:t>
      </w:r>
      <w:r>
        <w:rPr>
          <w:rFonts w:hint="eastAsia" w:ascii="方正小标宋简体" w:hAnsi="方正小标宋简体" w:eastAsia="方正小标宋简体" w:cs="方正小标宋简体"/>
          <w:sz w:val="44"/>
          <w:szCs w:val="44"/>
          <w:highlight w:val="none"/>
        </w:rPr>
        <w:t>整体支出绩效自评报告</w:t>
      </w:r>
    </w:p>
    <w:p w14:paraId="421139E2">
      <w:pPr>
        <w:jc w:val="center"/>
        <w:rPr>
          <w:rFonts w:hint="default" w:ascii="Times New Roman" w:hAnsi="Times New Roman" w:eastAsia="方正小标宋_GBK" w:cs="Times New Roman"/>
          <w:b/>
          <w:sz w:val="52"/>
          <w:szCs w:val="52"/>
          <w:highlight w:val="none"/>
        </w:rPr>
      </w:pPr>
    </w:p>
    <w:p w14:paraId="4310AF6E">
      <w:pPr>
        <w:jc w:val="center"/>
        <w:rPr>
          <w:rFonts w:hint="default" w:ascii="Times New Roman" w:hAnsi="Times New Roman" w:eastAsia="楷体_GB2312" w:cs="Times New Roman"/>
          <w:b/>
          <w:sz w:val="32"/>
          <w:szCs w:val="32"/>
          <w:highlight w:val="none"/>
        </w:rPr>
      </w:pPr>
    </w:p>
    <w:p w14:paraId="3AB28BC7">
      <w:pPr>
        <w:jc w:val="center"/>
        <w:rPr>
          <w:rFonts w:hint="default" w:ascii="Times New Roman" w:hAnsi="Times New Roman" w:eastAsia="楷体_GB2312" w:cs="Times New Roman"/>
          <w:b/>
          <w:sz w:val="32"/>
          <w:szCs w:val="32"/>
          <w:highlight w:val="none"/>
        </w:rPr>
      </w:pPr>
    </w:p>
    <w:p w14:paraId="5C6C6D4E">
      <w:pPr>
        <w:jc w:val="center"/>
        <w:rPr>
          <w:rFonts w:hint="default" w:ascii="Times New Roman" w:hAnsi="Times New Roman" w:eastAsia="楷体_GB2312" w:cs="Times New Roman"/>
          <w:b/>
          <w:sz w:val="32"/>
          <w:szCs w:val="32"/>
          <w:highlight w:val="none"/>
        </w:rPr>
      </w:pPr>
    </w:p>
    <w:p w14:paraId="2C59BFC8">
      <w:pPr>
        <w:jc w:val="center"/>
        <w:rPr>
          <w:rFonts w:hint="default" w:ascii="Times New Roman" w:hAnsi="Times New Roman" w:eastAsia="楷体_GB2312" w:cs="Times New Roman"/>
          <w:b/>
          <w:sz w:val="32"/>
          <w:szCs w:val="32"/>
          <w:highlight w:val="none"/>
        </w:rPr>
      </w:pPr>
    </w:p>
    <w:p w14:paraId="431D3865">
      <w:pPr>
        <w:jc w:val="center"/>
        <w:rPr>
          <w:rFonts w:hint="default" w:ascii="Times New Roman" w:hAnsi="Times New Roman" w:eastAsia="楷体_GB2312" w:cs="Times New Roman"/>
          <w:b/>
          <w:sz w:val="32"/>
          <w:szCs w:val="32"/>
          <w:highlight w:val="none"/>
        </w:rPr>
      </w:pPr>
    </w:p>
    <w:p w14:paraId="111D144B">
      <w:pPr>
        <w:jc w:val="center"/>
        <w:rPr>
          <w:rFonts w:hint="default" w:ascii="Times New Roman" w:hAnsi="Times New Roman" w:eastAsia="楷体_GB2312" w:cs="Times New Roman"/>
          <w:b/>
          <w:sz w:val="32"/>
          <w:szCs w:val="32"/>
          <w:highlight w:val="none"/>
        </w:rPr>
      </w:pPr>
    </w:p>
    <w:p w14:paraId="5FB858FB">
      <w:pPr>
        <w:jc w:val="center"/>
        <w:rPr>
          <w:rFonts w:hint="default" w:ascii="Times New Roman" w:hAnsi="Times New Roman" w:eastAsia="黑体" w:cs="Times New Roman"/>
          <w:sz w:val="32"/>
          <w:szCs w:val="32"/>
          <w:highlight w:val="none"/>
        </w:rPr>
      </w:pPr>
    </w:p>
    <w:p w14:paraId="4CEABE1F">
      <w:pPr>
        <w:jc w:val="center"/>
        <w:rPr>
          <w:rFonts w:hint="default" w:ascii="Times New Roman" w:hAnsi="Times New Roman" w:eastAsia="黑体" w:cs="Times New Roman"/>
          <w:sz w:val="32"/>
          <w:szCs w:val="32"/>
          <w:highlight w:val="none"/>
        </w:rPr>
      </w:pPr>
    </w:p>
    <w:p w14:paraId="507AD7FA">
      <w:pPr>
        <w:jc w:val="center"/>
        <w:rPr>
          <w:rFonts w:hint="default" w:ascii="Times New Roman" w:hAnsi="Times New Roman" w:eastAsia="黑体" w:cs="Times New Roman"/>
          <w:sz w:val="32"/>
          <w:szCs w:val="32"/>
          <w:highlight w:val="none"/>
        </w:rPr>
      </w:pPr>
    </w:p>
    <w:p w14:paraId="52189884">
      <w:pPr>
        <w:jc w:val="both"/>
        <w:rPr>
          <w:rFonts w:hint="default" w:ascii="Times New Roman" w:hAnsi="Times New Roman" w:eastAsia="黑体" w:cs="Times New Roman"/>
          <w:sz w:val="32"/>
          <w:szCs w:val="32"/>
          <w:highlight w:val="none"/>
        </w:rPr>
      </w:pPr>
    </w:p>
    <w:p w14:paraId="06E6B5F6">
      <w:pPr>
        <w:jc w:val="center"/>
        <w:rPr>
          <w:rFonts w:hint="default" w:ascii="Times New Roman" w:hAnsi="Times New Roman" w:eastAsia="黑体" w:cs="Times New Roman"/>
          <w:sz w:val="32"/>
          <w:szCs w:val="32"/>
          <w:highlight w:val="none"/>
        </w:rPr>
      </w:pPr>
    </w:p>
    <w:p w14:paraId="014DBCAC">
      <w:pPr>
        <w:jc w:val="center"/>
        <w:rPr>
          <w:rFonts w:hint="default" w:ascii="Times New Roman" w:hAnsi="Times New Roman" w:eastAsia="黑体" w:cs="Times New Roman"/>
          <w:sz w:val="32"/>
          <w:szCs w:val="32"/>
          <w:highlight w:val="none"/>
        </w:rPr>
      </w:pPr>
    </w:p>
    <w:p w14:paraId="380D56A9">
      <w:pPr>
        <w:jc w:val="center"/>
        <w:rPr>
          <w:rFonts w:hint="default" w:ascii="Times New Roman" w:hAnsi="Times New Roman" w:eastAsia="黑体" w:cs="Times New Roman"/>
          <w:sz w:val="32"/>
          <w:szCs w:val="32"/>
          <w:highlight w:val="none"/>
        </w:rPr>
      </w:pPr>
    </w:p>
    <w:p w14:paraId="630ADA4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lang w:eastAsia="zh-CN"/>
        </w:rPr>
        <w:t>岳阳市君山区乡镇财政服务中心</w:t>
      </w:r>
    </w:p>
    <w:p w14:paraId="6CE5777F">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 xml:space="preserve"> 日</w:t>
      </w:r>
    </w:p>
    <w:p w14:paraId="28F2B84A">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eastAsia="zh-CN"/>
        </w:rPr>
        <w:t>度岳阳市君山区乡镇财政服务中心</w:t>
      </w:r>
      <w:r>
        <w:rPr>
          <w:rFonts w:hint="eastAsia" w:ascii="方正小标宋简体" w:hAnsi="方正小标宋简体" w:eastAsia="方正小标宋简体" w:cs="方正小标宋简体"/>
          <w:sz w:val="44"/>
          <w:szCs w:val="44"/>
          <w:highlight w:val="none"/>
        </w:rPr>
        <w:t>整体支出绩效自评报告</w:t>
      </w:r>
    </w:p>
    <w:p w14:paraId="6A697317">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8D9733C">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君山区乡镇财政服务中心</w:t>
      </w:r>
      <w:r>
        <w:rPr>
          <w:rFonts w:hint="default" w:ascii="Times New Roman" w:hAnsi="Times New Roman" w:eastAsia="黑体" w:cs="Times New Roman"/>
          <w:sz w:val="32"/>
          <w:szCs w:val="32"/>
          <w:highlight w:val="none"/>
        </w:rPr>
        <w:t>基本情况</w:t>
      </w:r>
    </w:p>
    <w:p w14:paraId="516EE9C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（一）职能职责</w:t>
      </w:r>
    </w:p>
    <w:p w14:paraId="0C0F91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1、负责乡镇财政预决算编制、预算执行、预算调整和预算内外收支管理。</w:t>
      </w:r>
    </w:p>
    <w:p w14:paraId="4A6E6BA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2、负责乡镇政府预算单位的财务管理和核算。</w:t>
      </w:r>
    </w:p>
    <w:p w14:paraId="146C6A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3、负责乡镇涉农及社会保障等专户资金的管理和核算。</w:t>
      </w:r>
    </w:p>
    <w:p w14:paraId="41CA735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4、负责村级资金专户存储、核拨和监督管理。</w:t>
      </w:r>
    </w:p>
    <w:p w14:paraId="5EF7F94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5、负责各项农民补贴的核定和兑付工作。</w:t>
      </w:r>
    </w:p>
    <w:p w14:paraId="484ADEB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（二）机构设置</w:t>
      </w:r>
    </w:p>
    <w:p w14:paraId="6159154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乡镇财政服务中心内设机构一个：综合办公室</w:t>
      </w:r>
    </w:p>
    <w:p w14:paraId="5CAD532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449C427">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7B9B0E9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419.25</w:t>
      </w:r>
      <w:r>
        <w:rPr>
          <w:rFonts w:hint="eastAsia" w:ascii="Times New Roman" w:hAnsi="Times New Roman" w:eastAsia="仿宋_GB2312"/>
          <w:sz w:val="32"/>
          <w:szCs w:val="32"/>
        </w:rPr>
        <w:t>万元，其中：</w:t>
      </w:r>
    </w:p>
    <w:p w14:paraId="7B623EC7">
      <w:pPr>
        <w:pStyle w:val="11"/>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368.53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87.90</w:t>
      </w:r>
      <w:r>
        <w:rPr>
          <w:rFonts w:hint="eastAsia" w:ascii="Times New Roman" w:hAnsi="Times New Roman" w:eastAsia="仿宋_GB2312"/>
          <w:sz w:val="32"/>
          <w:szCs w:val="32"/>
        </w:rPr>
        <w:t>%,主要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3060ED2B">
      <w:pPr>
        <w:pStyle w:val="11"/>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50.72</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12.10</w:t>
      </w:r>
      <w:r>
        <w:rPr>
          <w:rFonts w:hint="eastAsia" w:ascii="Times New Roman" w:hAnsi="Times New Roman" w:eastAsia="仿宋_GB2312"/>
          <w:b w:val="0"/>
          <w:bCs w:val="0"/>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b w:val="0"/>
          <w:bCs w:val="0"/>
          <w:sz w:val="32"/>
          <w:szCs w:val="32"/>
          <w:highlight w:val="none"/>
        </w:rPr>
        <w:t>。</w:t>
      </w:r>
    </w:p>
    <w:p w14:paraId="7BD52195">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6CED1B9B">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ascii="Times New Roman" w:hAnsi="Times New Roman" w:eastAsia="仿宋_GB2312" w:cs="黑体"/>
          <w:b w:val="0"/>
          <w:bCs w:val="0"/>
          <w:color w:val="000000"/>
          <w:kern w:val="0"/>
          <w:sz w:val="32"/>
          <w:szCs w:val="32"/>
          <w:lang w:val="en-US" w:eastAsia="zh-CN" w:bidi="ar-SA"/>
        </w:rPr>
        <w:t xml:space="preserve"> 2024年本部门项目预算总计312万元，其中业务工作经费（乡镇财政建设）72万元，乡镇财政专项240万元，均严格按照年初预算进行部门整体支出。</w:t>
      </w:r>
    </w:p>
    <w:p w14:paraId="24D0B8A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三、政府性基金预算支出情况</w:t>
      </w:r>
    </w:p>
    <w:p w14:paraId="60F2B935">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2024年度本部门无</w:t>
      </w:r>
      <w:r>
        <w:rPr>
          <w:rFonts w:hint="default" w:ascii="Times New Roman" w:hAnsi="Times New Roman" w:eastAsia="仿宋_GB2312" w:cs="黑体"/>
          <w:b w:val="0"/>
          <w:bCs w:val="0"/>
          <w:color w:val="000000"/>
          <w:kern w:val="0"/>
          <w:sz w:val="32"/>
          <w:szCs w:val="32"/>
          <w:lang w:val="en-US" w:eastAsia="zh-CN" w:bidi="ar-SA"/>
        </w:rPr>
        <w:t>政府性基金预算</w:t>
      </w:r>
      <w:r>
        <w:rPr>
          <w:rFonts w:hint="eastAsia" w:ascii="Times New Roman" w:hAnsi="Times New Roman" w:eastAsia="仿宋_GB2312" w:cs="黑体"/>
          <w:b w:val="0"/>
          <w:bCs w:val="0"/>
          <w:color w:val="000000"/>
          <w:kern w:val="0"/>
          <w:sz w:val="32"/>
          <w:szCs w:val="32"/>
          <w:lang w:val="en-US" w:eastAsia="zh-CN" w:bidi="ar-SA"/>
        </w:rPr>
        <w:t>支出。</w:t>
      </w:r>
    </w:p>
    <w:p w14:paraId="46C2A5D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7360C27A">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2024年度本部门无</w:t>
      </w:r>
      <w:r>
        <w:rPr>
          <w:rFonts w:hint="default" w:ascii="Times New Roman" w:hAnsi="Times New Roman" w:eastAsia="仿宋_GB2312" w:cs="黑体"/>
          <w:b w:val="0"/>
          <w:bCs w:val="0"/>
          <w:color w:val="000000"/>
          <w:kern w:val="0"/>
          <w:sz w:val="32"/>
          <w:szCs w:val="32"/>
          <w:lang w:val="en-US" w:eastAsia="zh-CN" w:bidi="ar-SA"/>
        </w:rPr>
        <w:t>国有资本经营预算支出</w:t>
      </w:r>
      <w:r>
        <w:rPr>
          <w:rFonts w:hint="eastAsia" w:ascii="Times New Roman" w:hAnsi="Times New Roman" w:eastAsia="仿宋_GB2312" w:cs="黑体"/>
          <w:b w:val="0"/>
          <w:bCs w:val="0"/>
          <w:color w:val="000000"/>
          <w:kern w:val="0"/>
          <w:sz w:val="32"/>
          <w:szCs w:val="32"/>
          <w:lang w:val="en-US" w:eastAsia="zh-CN" w:bidi="ar-SA"/>
        </w:rPr>
        <w:t>。</w:t>
      </w:r>
    </w:p>
    <w:p w14:paraId="3590A3F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33A1113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2024年度本部门无社会保险基金预算支出。</w:t>
      </w:r>
    </w:p>
    <w:p w14:paraId="7DE339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602562C9">
      <w:pPr>
        <w:pStyle w:val="5"/>
        <w:shd w:val="clear" w:color="auto" w:fill="FFFFFF"/>
        <w:spacing w:before="0" w:beforeAutospacing="0" w:after="0" w:afterAutospacing="0" w:line="408" w:lineRule="atLeas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在过去的</w:t>
      </w:r>
      <w:r>
        <w:rPr>
          <w:rFonts w:hint="eastAsia" w:ascii="Times New Roman" w:hAnsi="Times New Roman" w:eastAsia="仿宋_GB2312" w:cs="Times New Roman"/>
          <w:color w:val="000000"/>
          <w:sz w:val="32"/>
          <w:szCs w:val="32"/>
          <w:highlight w:val="none"/>
          <w:lang w:eastAsia="zh-CN"/>
        </w:rPr>
        <w:t>一年</w:t>
      </w:r>
      <w:r>
        <w:rPr>
          <w:rFonts w:hint="default" w:ascii="Times New Roman" w:hAnsi="Times New Roman" w:eastAsia="仿宋_GB2312" w:cs="Times New Roman"/>
          <w:color w:val="000000"/>
          <w:sz w:val="32"/>
          <w:szCs w:val="32"/>
          <w:highlight w:val="none"/>
        </w:rPr>
        <w:t>里，</w:t>
      </w:r>
      <w:r>
        <w:rPr>
          <w:rFonts w:hint="eastAsia" w:ascii="Times New Roman" w:hAnsi="Times New Roman" w:eastAsia="仿宋_GB2312" w:cs="Times New Roman"/>
          <w:color w:val="000000"/>
          <w:sz w:val="32"/>
          <w:szCs w:val="32"/>
          <w:highlight w:val="none"/>
          <w:lang w:eastAsia="zh-CN"/>
        </w:rPr>
        <w:t>君山区乡镇财政服务中心</w:t>
      </w:r>
      <w:r>
        <w:rPr>
          <w:rFonts w:hint="default" w:ascii="Times New Roman" w:hAnsi="Times New Roman" w:eastAsia="仿宋_GB2312" w:cs="Times New Roman"/>
          <w:color w:val="000000"/>
          <w:sz w:val="32"/>
          <w:szCs w:val="32"/>
          <w:highlight w:val="none"/>
        </w:rPr>
        <w:t>紧紧围绕组织目标和工作重点，积极履行职责，在各个方面取得了较为显著的绩效成果。</w:t>
      </w:r>
    </w:p>
    <w:p w14:paraId="7C230CC1">
      <w:pPr>
        <w:pStyle w:val="5"/>
        <w:numPr>
          <w:ilvl w:val="0"/>
          <w:numId w:val="0"/>
        </w:numPr>
        <w:shd w:val="clear" w:color="auto" w:fill="FFFFFF"/>
        <w:spacing w:before="0" w:beforeAutospacing="0" w:after="0" w:afterAutospacing="0" w:line="408" w:lineRule="atLeast"/>
        <w:ind w:firstLine="640" w:firstLineChars="200"/>
        <w:jc w:val="both"/>
        <w:rPr>
          <w:rFonts w:hint="default" w:ascii="仿宋_GB2312" w:hAnsi="微软雅黑" w:eastAsia="仿宋_GB2312" w:cs="仿宋_GB2312"/>
          <w:color w:val="auto"/>
          <w:kern w:val="0"/>
          <w:sz w:val="32"/>
          <w:szCs w:val="32"/>
        </w:rPr>
      </w:pPr>
      <w:r>
        <w:rPr>
          <w:rFonts w:hint="default" w:ascii="Times New Roman" w:hAnsi="Times New Roman" w:eastAsia="仿宋_GB2312" w:cs="Times New Roman"/>
          <w:color w:val="000000"/>
          <w:sz w:val="32"/>
          <w:szCs w:val="32"/>
          <w:highlight w:val="none"/>
        </w:rPr>
        <w:t>在业务工作方面，我们高质量地完成了一系列重要任务。</w:t>
      </w:r>
      <w:r>
        <w:rPr>
          <w:rFonts w:hint="eastAsia" w:ascii="楷体_GB2312" w:hAnsi="微软雅黑" w:eastAsia="楷体_GB2312" w:cs="楷体_GB2312"/>
          <w:b/>
          <w:bCs/>
          <w:color w:val="auto"/>
          <w:kern w:val="2"/>
          <w:sz w:val="32"/>
          <w:szCs w:val="32"/>
          <w:lang w:val="en-US" w:eastAsia="zh-CN" w:bidi="ar"/>
        </w:rPr>
        <w:t>1.财政所创建有新突破。</w:t>
      </w:r>
      <w:r>
        <w:rPr>
          <w:rFonts w:hint="eastAsia" w:ascii="仿宋_GB2312" w:hAnsi="微软雅黑" w:eastAsia="仿宋_GB2312" w:cs="仿宋_GB2312"/>
          <w:color w:val="auto"/>
          <w:kern w:val="0"/>
          <w:sz w:val="32"/>
          <w:szCs w:val="32"/>
        </w:rPr>
        <w:t>通过积极对接，</w:t>
      </w:r>
      <w:r>
        <w:rPr>
          <w:rFonts w:hint="eastAsia" w:ascii="仿宋_GB2312" w:hAnsi="微软雅黑" w:eastAsia="仿宋_GB2312" w:cs="仿宋_GB2312"/>
          <w:color w:val="auto"/>
          <w:kern w:val="0"/>
          <w:sz w:val="32"/>
          <w:szCs w:val="32"/>
          <w:lang w:eastAsia="zh-CN"/>
        </w:rPr>
        <w:t>今年</w:t>
      </w:r>
      <w:r>
        <w:rPr>
          <w:rFonts w:hint="eastAsia" w:ascii="仿宋_GB2312" w:hAnsi="微软雅黑" w:eastAsia="仿宋_GB2312" w:cs="仿宋_GB2312"/>
          <w:color w:val="auto"/>
          <w:kern w:val="0"/>
          <w:sz w:val="32"/>
          <w:szCs w:val="32"/>
        </w:rPr>
        <w:t>我</w:t>
      </w:r>
      <w:r>
        <w:rPr>
          <w:rFonts w:hint="eastAsia" w:ascii="仿宋_GB2312" w:hAnsi="微软雅黑" w:eastAsia="仿宋_GB2312" w:cs="仿宋_GB2312"/>
          <w:color w:val="auto"/>
          <w:kern w:val="0"/>
          <w:sz w:val="32"/>
          <w:szCs w:val="32"/>
          <w:lang w:eastAsia="zh-CN"/>
        </w:rPr>
        <w:t>区</w:t>
      </w:r>
      <w:r>
        <w:rPr>
          <w:rFonts w:hint="eastAsia" w:ascii="仿宋_GB2312" w:hAnsi="微软雅黑" w:eastAsia="仿宋_GB2312" w:cs="仿宋_GB2312"/>
          <w:color w:val="auto"/>
          <w:kern w:val="0"/>
          <w:sz w:val="32"/>
          <w:szCs w:val="32"/>
        </w:rPr>
        <w:t>有</w:t>
      </w:r>
      <w:r>
        <w:rPr>
          <w:rFonts w:hint="eastAsia" w:ascii="仿宋_GB2312" w:hAnsi="微软雅黑" w:eastAsia="仿宋_GB2312" w:cs="仿宋_GB2312"/>
          <w:color w:val="auto"/>
          <w:kern w:val="0"/>
          <w:sz w:val="32"/>
          <w:szCs w:val="32"/>
          <w:lang w:val="en-US" w:eastAsia="zh-CN"/>
        </w:rPr>
        <w:t>1个财政所被评为省级“标兵财政所”、1</w:t>
      </w:r>
      <w:r>
        <w:rPr>
          <w:rFonts w:hint="eastAsia" w:ascii="仿宋_GB2312" w:hAnsi="微软雅黑" w:eastAsia="仿宋_GB2312" w:cs="仿宋_GB2312"/>
          <w:color w:val="auto"/>
          <w:kern w:val="0"/>
          <w:sz w:val="32"/>
          <w:szCs w:val="32"/>
        </w:rPr>
        <w:t>个财政所被评为省级“</w:t>
      </w:r>
      <w:r>
        <w:rPr>
          <w:rFonts w:hint="eastAsia" w:ascii="仿宋_GB2312" w:hAnsi="微软雅黑" w:eastAsia="仿宋_GB2312" w:cs="仿宋_GB2312"/>
          <w:color w:val="auto"/>
          <w:kern w:val="0"/>
          <w:sz w:val="32"/>
          <w:szCs w:val="32"/>
          <w:lang w:eastAsia="zh-CN"/>
        </w:rPr>
        <w:t>先进</w:t>
      </w:r>
      <w:r>
        <w:rPr>
          <w:rFonts w:hint="eastAsia" w:ascii="仿宋_GB2312" w:hAnsi="微软雅黑" w:eastAsia="仿宋_GB2312" w:cs="仿宋_GB2312"/>
          <w:color w:val="auto"/>
          <w:kern w:val="0"/>
          <w:sz w:val="32"/>
          <w:szCs w:val="32"/>
        </w:rPr>
        <w:t>财政所”、</w:t>
      </w:r>
      <w:r>
        <w:rPr>
          <w:rFonts w:hint="eastAsia" w:ascii="仿宋_GB2312" w:hAnsi="微软雅黑" w:eastAsia="仿宋_GB2312" w:cs="仿宋_GB2312"/>
          <w:color w:val="auto"/>
          <w:kern w:val="0"/>
          <w:sz w:val="32"/>
          <w:szCs w:val="32"/>
          <w:lang w:val="en-US" w:eastAsia="zh-CN"/>
        </w:rPr>
        <w:t>1</w:t>
      </w:r>
      <w:r>
        <w:rPr>
          <w:rFonts w:hint="eastAsia" w:ascii="仿宋_GB2312" w:hAnsi="微软雅黑" w:eastAsia="仿宋_GB2312" w:cs="仿宋_GB2312"/>
          <w:color w:val="auto"/>
          <w:kern w:val="0"/>
          <w:sz w:val="32"/>
          <w:szCs w:val="32"/>
        </w:rPr>
        <w:t>个财政所被评为</w:t>
      </w:r>
      <w:r>
        <w:rPr>
          <w:rFonts w:hint="eastAsia" w:ascii="仿宋_GB2312" w:hAnsi="微软雅黑" w:eastAsia="仿宋_GB2312" w:cs="仿宋_GB2312"/>
          <w:color w:val="auto"/>
          <w:kern w:val="0"/>
          <w:sz w:val="32"/>
          <w:szCs w:val="32"/>
          <w:lang w:eastAsia="zh-CN"/>
        </w:rPr>
        <w:t>市</w:t>
      </w:r>
      <w:r>
        <w:rPr>
          <w:rFonts w:hint="eastAsia" w:ascii="仿宋_GB2312" w:hAnsi="微软雅黑" w:eastAsia="仿宋_GB2312" w:cs="仿宋_GB2312"/>
          <w:color w:val="auto"/>
          <w:kern w:val="0"/>
          <w:sz w:val="32"/>
          <w:szCs w:val="32"/>
        </w:rPr>
        <w:t>级“</w:t>
      </w:r>
      <w:r>
        <w:rPr>
          <w:rFonts w:hint="eastAsia" w:ascii="仿宋_GB2312" w:hAnsi="微软雅黑" w:eastAsia="仿宋_GB2312" w:cs="仿宋_GB2312"/>
          <w:color w:val="auto"/>
          <w:kern w:val="0"/>
          <w:sz w:val="32"/>
          <w:szCs w:val="32"/>
          <w:lang w:eastAsia="zh-CN"/>
        </w:rPr>
        <w:t>示范型</w:t>
      </w:r>
      <w:r>
        <w:rPr>
          <w:rFonts w:hint="eastAsia" w:ascii="仿宋_GB2312" w:hAnsi="微软雅黑" w:eastAsia="仿宋_GB2312" w:cs="仿宋_GB2312"/>
          <w:color w:val="auto"/>
          <w:kern w:val="0"/>
          <w:sz w:val="32"/>
          <w:szCs w:val="32"/>
        </w:rPr>
        <w:t>财政所”</w:t>
      </w:r>
      <w:r>
        <w:rPr>
          <w:rFonts w:hint="eastAsia" w:ascii="仿宋_GB2312" w:hAnsi="微软雅黑" w:eastAsia="仿宋_GB2312" w:cs="仿宋_GB2312"/>
          <w:color w:val="auto"/>
          <w:kern w:val="0"/>
          <w:sz w:val="32"/>
          <w:szCs w:val="32"/>
          <w:lang w:eastAsia="zh-CN"/>
        </w:rPr>
        <w:t>。省级标兵财政所及先进财政所</w:t>
      </w:r>
      <w:r>
        <w:rPr>
          <w:rFonts w:hint="eastAsia" w:ascii="仿宋_GB2312" w:hAnsi="微软雅黑" w:eastAsia="仿宋_GB2312" w:cs="仿宋_GB2312"/>
          <w:color w:val="auto"/>
          <w:kern w:val="0"/>
          <w:sz w:val="32"/>
          <w:szCs w:val="32"/>
        </w:rPr>
        <w:t>创建</w:t>
      </w:r>
      <w:r>
        <w:rPr>
          <w:rFonts w:hint="eastAsia" w:ascii="仿宋_GB2312" w:hAnsi="微软雅黑" w:eastAsia="仿宋_GB2312" w:cs="仿宋_GB2312"/>
          <w:color w:val="auto"/>
          <w:kern w:val="0"/>
          <w:sz w:val="32"/>
          <w:szCs w:val="32"/>
          <w:lang w:eastAsia="zh-CN"/>
        </w:rPr>
        <w:t>的突破，有效提振了我区乡镇财政所的创建积极性、主动性</w:t>
      </w:r>
      <w:r>
        <w:rPr>
          <w:rFonts w:hint="eastAsia" w:ascii="楷体_GB2312" w:hAnsi="微软雅黑" w:eastAsia="楷体_GB2312" w:cs="楷体_GB2312"/>
          <w:b/>
          <w:bCs/>
          <w:color w:val="auto"/>
          <w:kern w:val="2"/>
          <w:sz w:val="32"/>
          <w:szCs w:val="32"/>
          <w:lang w:val="en-US" w:eastAsia="zh-CN" w:bidi="ar"/>
        </w:rPr>
        <w:t>。2.绩效考评有促提升。</w:t>
      </w:r>
      <w:r>
        <w:rPr>
          <w:rFonts w:hint="eastAsia" w:ascii="仿宋_GB2312" w:hAnsi="微软雅黑" w:eastAsia="仿宋_GB2312" w:cs="仿宋_GB2312"/>
          <w:color w:val="auto"/>
          <w:kern w:val="0"/>
          <w:sz w:val="32"/>
          <w:szCs w:val="32"/>
          <w:lang w:eastAsia="zh-CN"/>
        </w:rPr>
        <w:t>进一步修改和完善完善了</w:t>
      </w:r>
      <w:r>
        <w:rPr>
          <w:rFonts w:hint="eastAsia" w:ascii="仿宋_GB2312" w:hAnsi="微软雅黑" w:eastAsia="仿宋_GB2312" w:cs="仿宋_GB2312"/>
          <w:color w:val="auto"/>
          <w:kern w:val="0"/>
          <w:sz w:val="32"/>
          <w:szCs w:val="32"/>
        </w:rPr>
        <w:t>《君山区财政局202</w:t>
      </w:r>
      <w:r>
        <w:rPr>
          <w:rFonts w:hint="eastAsia" w:ascii="仿宋_GB2312" w:hAnsi="微软雅黑" w:eastAsia="仿宋_GB2312" w:cs="仿宋_GB2312"/>
          <w:color w:val="auto"/>
          <w:kern w:val="0"/>
          <w:sz w:val="32"/>
          <w:szCs w:val="32"/>
          <w:lang w:val="en-US" w:eastAsia="zh-CN"/>
        </w:rPr>
        <w:t>4</w:t>
      </w:r>
      <w:r>
        <w:rPr>
          <w:rFonts w:hint="eastAsia" w:ascii="仿宋_GB2312" w:hAnsi="微软雅黑" w:eastAsia="仿宋_GB2312" w:cs="仿宋_GB2312"/>
          <w:color w:val="auto"/>
          <w:kern w:val="0"/>
          <w:sz w:val="32"/>
          <w:szCs w:val="32"/>
        </w:rPr>
        <w:t>年度乡镇（街道）财政所工作绩效考评办法》、《君山区财政局202</w:t>
      </w:r>
      <w:r>
        <w:rPr>
          <w:rFonts w:hint="eastAsia" w:ascii="仿宋_GB2312" w:hAnsi="微软雅黑" w:eastAsia="仿宋_GB2312" w:cs="仿宋_GB2312"/>
          <w:color w:val="auto"/>
          <w:kern w:val="0"/>
          <w:sz w:val="32"/>
          <w:szCs w:val="32"/>
          <w:lang w:val="en-US" w:eastAsia="zh-CN"/>
        </w:rPr>
        <w:t>4</w:t>
      </w:r>
      <w:r>
        <w:rPr>
          <w:rFonts w:hint="eastAsia" w:ascii="仿宋_GB2312" w:hAnsi="微软雅黑" w:eastAsia="仿宋_GB2312" w:cs="仿宋_GB2312"/>
          <w:color w:val="auto"/>
          <w:kern w:val="0"/>
          <w:sz w:val="32"/>
          <w:szCs w:val="32"/>
        </w:rPr>
        <w:t>年度乡镇（街道）财政所工作绩效考评细则》，由</w:t>
      </w:r>
      <w:r>
        <w:rPr>
          <w:rFonts w:hint="eastAsia" w:ascii="仿宋_GB2312" w:hAnsi="微软雅黑" w:eastAsia="仿宋_GB2312" w:cs="仿宋_GB2312"/>
          <w:color w:val="auto"/>
          <w:kern w:val="0"/>
          <w:sz w:val="32"/>
          <w:szCs w:val="32"/>
          <w:lang w:eastAsia="zh-CN"/>
        </w:rPr>
        <w:t>乡财</w:t>
      </w:r>
      <w:r>
        <w:rPr>
          <w:rFonts w:hint="eastAsia" w:ascii="仿宋_GB2312" w:hAnsi="微软雅黑" w:eastAsia="仿宋_GB2312" w:cs="仿宋_GB2312"/>
          <w:color w:val="auto"/>
          <w:kern w:val="0"/>
          <w:sz w:val="32"/>
          <w:szCs w:val="32"/>
        </w:rPr>
        <w:t>中心牵头实施，每半年一次对乡镇财政所实施考评，</w:t>
      </w:r>
      <w:r>
        <w:rPr>
          <w:rFonts w:hint="eastAsia" w:ascii="仿宋_GB2312" w:hAnsi="微软雅黑" w:eastAsia="仿宋_GB2312" w:cs="仿宋_GB2312"/>
          <w:color w:val="auto"/>
          <w:kern w:val="0"/>
          <w:sz w:val="32"/>
          <w:szCs w:val="32"/>
          <w:lang w:eastAsia="zh-CN"/>
        </w:rPr>
        <w:t>并</w:t>
      </w:r>
      <w:r>
        <w:rPr>
          <w:rFonts w:hint="eastAsia" w:ascii="仿宋_GB2312" w:hAnsi="微软雅黑" w:eastAsia="仿宋_GB2312" w:cs="仿宋_GB2312"/>
          <w:color w:val="auto"/>
          <w:kern w:val="0"/>
          <w:sz w:val="32"/>
          <w:szCs w:val="32"/>
        </w:rPr>
        <w:t>按综合考评结果对财政所进行排名，考核结果直接和财政所工作经费挂钩，</w:t>
      </w:r>
      <w:r>
        <w:rPr>
          <w:rFonts w:hint="eastAsia" w:ascii="仿宋_GB2312" w:hAnsi="微软雅黑" w:eastAsia="仿宋_GB2312" w:cs="仿宋_GB2312"/>
          <w:color w:val="auto"/>
          <w:kern w:val="0"/>
          <w:sz w:val="32"/>
          <w:szCs w:val="32"/>
          <w:lang w:eastAsia="zh-CN"/>
        </w:rPr>
        <w:t>与评先评优</w:t>
      </w:r>
      <w:r>
        <w:rPr>
          <w:rFonts w:hint="eastAsia" w:ascii="仿宋_GB2312" w:hAnsi="微软雅黑" w:eastAsia="仿宋_GB2312" w:cs="仿宋_GB2312"/>
          <w:color w:val="auto"/>
          <w:kern w:val="0"/>
          <w:sz w:val="32"/>
          <w:szCs w:val="32"/>
        </w:rPr>
        <w:t>挂钩</w:t>
      </w:r>
      <w:r>
        <w:rPr>
          <w:rFonts w:hint="eastAsia" w:ascii="仿宋_GB2312" w:hAnsi="微软雅黑" w:eastAsia="仿宋_GB2312" w:cs="仿宋_GB2312"/>
          <w:color w:val="auto"/>
          <w:kern w:val="0"/>
          <w:sz w:val="32"/>
          <w:szCs w:val="32"/>
          <w:lang w:eastAsia="zh-CN"/>
        </w:rPr>
        <w:t>，与绩效奖金</w:t>
      </w:r>
      <w:r>
        <w:rPr>
          <w:rFonts w:hint="eastAsia" w:ascii="仿宋_GB2312" w:hAnsi="微软雅黑" w:eastAsia="仿宋_GB2312" w:cs="仿宋_GB2312"/>
          <w:color w:val="auto"/>
          <w:kern w:val="0"/>
          <w:sz w:val="32"/>
          <w:szCs w:val="32"/>
        </w:rPr>
        <w:t>挂钩</w:t>
      </w:r>
      <w:r>
        <w:rPr>
          <w:rFonts w:hint="eastAsia" w:ascii="仿宋_GB2312" w:hAnsi="微软雅黑" w:eastAsia="仿宋_GB2312" w:cs="仿宋_GB2312"/>
          <w:color w:val="auto"/>
          <w:kern w:val="0"/>
          <w:sz w:val="32"/>
          <w:szCs w:val="32"/>
          <w:lang w:eastAsia="zh-CN"/>
        </w:rPr>
        <w:t>，与干部任用</w:t>
      </w:r>
      <w:r>
        <w:rPr>
          <w:rFonts w:hint="eastAsia" w:ascii="仿宋_GB2312" w:hAnsi="微软雅黑" w:eastAsia="仿宋_GB2312" w:cs="仿宋_GB2312"/>
          <w:color w:val="auto"/>
          <w:kern w:val="0"/>
          <w:sz w:val="32"/>
          <w:szCs w:val="32"/>
        </w:rPr>
        <w:t>挂钩</w:t>
      </w:r>
      <w:r>
        <w:rPr>
          <w:rFonts w:hint="eastAsia" w:ascii="仿宋_GB2312" w:hAnsi="微软雅黑" w:eastAsia="仿宋_GB2312" w:cs="仿宋_GB2312"/>
          <w:color w:val="auto"/>
          <w:kern w:val="0"/>
          <w:sz w:val="32"/>
          <w:szCs w:val="32"/>
          <w:lang w:eastAsia="zh-CN"/>
        </w:rPr>
        <w:t>，进一步</w:t>
      </w:r>
      <w:r>
        <w:rPr>
          <w:rFonts w:hint="eastAsia" w:ascii="仿宋_GB2312" w:hAnsi="微软雅黑" w:eastAsia="仿宋_GB2312" w:cs="仿宋_GB2312"/>
          <w:color w:val="auto"/>
          <w:kern w:val="0"/>
          <w:sz w:val="32"/>
          <w:szCs w:val="32"/>
        </w:rPr>
        <w:t>调动了乡镇财政干部干事创业的积极性，提升了乡财财政管理水平。</w:t>
      </w:r>
      <w:r>
        <w:rPr>
          <w:rFonts w:hint="eastAsia" w:ascii="仿宋_GB2312" w:hAnsi="微软雅黑" w:eastAsia="仿宋_GB2312" w:cs="仿宋_GB2312"/>
          <w:b/>
          <w:bCs/>
          <w:color w:val="auto"/>
          <w:kern w:val="0"/>
          <w:sz w:val="32"/>
          <w:szCs w:val="32"/>
          <w:lang w:val="en-US" w:eastAsia="zh-CN"/>
        </w:rPr>
        <w:t>3、交叉互审有新成效。</w:t>
      </w:r>
      <w:r>
        <w:rPr>
          <w:rFonts w:hint="eastAsia" w:ascii="仿宋_GB2312" w:hAnsi="微软雅黑" w:eastAsia="仿宋_GB2312" w:cs="仿宋_GB2312"/>
          <w:b w:val="0"/>
          <w:bCs w:val="0"/>
          <w:color w:val="auto"/>
          <w:kern w:val="0"/>
          <w:sz w:val="32"/>
          <w:szCs w:val="32"/>
          <w:lang w:val="en-US" w:eastAsia="zh-CN"/>
        </w:rPr>
        <w:t>为加强村级财务管理，提高财务工作的规范性、透明度和资金使用效益，</w:t>
      </w:r>
      <w:r>
        <w:rPr>
          <w:rFonts w:hint="eastAsia" w:ascii="仿宋_GB2312" w:hAnsi="微软雅黑" w:eastAsia="仿宋_GB2312" w:cs="仿宋_GB2312"/>
          <w:color w:val="auto"/>
          <w:kern w:val="0"/>
          <w:sz w:val="32"/>
          <w:szCs w:val="32"/>
        </w:rPr>
        <w:t>区乡镇财政服务中心</w:t>
      </w:r>
      <w:r>
        <w:rPr>
          <w:rFonts w:hint="eastAsia" w:ascii="仿宋_GB2312" w:hAnsi="微软雅黑" w:eastAsia="仿宋_GB2312" w:cs="仿宋_GB2312"/>
          <w:color w:val="auto"/>
          <w:kern w:val="0"/>
          <w:sz w:val="32"/>
          <w:szCs w:val="32"/>
          <w:lang w:eastAsia="zh-CN"/>
        </w:rPr>
        <w:t>十月底</w:t>
      </w:r>
      <w:r>
        <w:rPr>
          <w:rFonts w:hint="eastAsia" w:ascii="仿宋_GB2312" w:hAnsi="微软雅黑" w:eastAsia="仿宋_GB2312" w:cs="仿宋_GB2312"/>
          <w:color w:val="auto"/>
          <w:kern w:val="0"/>
          <w:sz w:val="32"/>
          <w:szCs w:val="32"/>
        </w:rPr>
        <w:t>在全区乡镇财政系统开展</w:t>
      </w:r>
      <w:r>
        <w:rPr>
          <w:rFonts w:hint="eastAsia" w:ascii="仿宋_GB2312" w:hAnsi="微软雅黑" w:eastAsia="仿宋_GB2312" w:cs="仿宋_GB2312"/>
          <w:color w:val="auto"/>
          <w:kern w:val="0"/>
          <w:sz w:val="32"/>
          <w:szCs w:val="32"/>
          <w:lang w:eastAsia="zh-CN"/>
        </w:rPr>
        <w:t>村级财务集中互审</w:t>
      </w:r>
      <w:r>
        <w:rPr>
          <w:rFonts w:hint="eastAsia" w:ascii="仿宋_GB2312" w:hAnsi="微软雅黑" w:eastAsia="仿宋_GB2312" w:cs="仿宋_GB2312"/>
          <w:color w:val="auto"/>
          <w:kern w:val="0"/>
          <w:sz w:val="32"/>
          <w:szCs w:val="32"/>
        </w:rPr>
        <w:t>活动，通过</w:t>
      </w:r>
      <w:r>
        <w:rPr>
          <w:rFonts w:hint="eastAsia" w:ascii="仿宋_GB2312" w:hAnsi="微软雅黑" w:eastAsia="仿宋_GB2312" w:cs="仿宋_GB2312"/>
          <w:color w:val="auto"/>
          <w:kern w:val="0"/>
          <w:sz w:val="32"/>
          <w:szCs w:val="32"/>
          <w:lang w:eastAsia="zh-CN"/>
        </w:rPr>
        <w:t>此项活动</w:t>
      </w:r>
      <w:r>
        <w:rPr>
          <w:rFonts w:hint="eastAsia" w:ascii="仿宋_GB2312" w:hAnsi="微软雅黑" w:eastAsia="仿宋_GB2312" w:cs="仿宋_GB2312"/>
          <w:color w:val="auto"/>
          <w:kern w:val="0"/>
          <w:sz w:val="32"/>
          <w:szCs w:val="32"/>
        </w:rPr>
        <w:t>，力促</w:t>
      </w:r>
      <w:r>
        <w:rPr>
          <w:rFonts w:hint="eastAsia" w:ascii="仿宋_GB2312" w:hAnsi="微软雅黑" w:eastAsia="仿宋_GB2312" w:cs="仿宋_GB2312"/>
          <w:color w:val="auto"/>
          <w:kern w:val="0"/>
          <w:sz w:val="32"/>
          <w:szCs w:val="32"/>
          <w:lang w:eastAsia="zh-CN"/>
        </w:rPr>
        <w:t>村级财务人员</w:t>
      </w:r>
      <w:r>
        <w:rPr>
          <w:rFonts w:hint="eastAsia" w:ascii="仿宋_GB2312" w:hAnsi="微软雅黑" w:eastAsia="仿宋_GB2312" w:cs="仿宋_GB2312"/>
          <w:color w:val="auto"/>
          <w:kern w:val="0"/>
          <w:sz w:val="32"/>
          <w:szCs w:val="32"/>
        </w:rPr>
        <w:t>相互学习、取长补短、共同提高，</w:t>
      </w:r>
      <w:r>
        <w:rPr>
          <w:rFonts w:hint="eastAsia" w:ascii="仿宋_GB2312" w:hAnsi="微软雅黑" w:eastAsia="仿宋_GB2312" w:cs="仿宋_GB2312"/>
          <w:color w:val="auto"/>
          <w:kern w:val="0"/>
          <w:sz w:val="32"/>
          <w:szCs w:val="32"/>
          <w:lang w:eastAsia="zh-CN"/>
        </w:rPr>
        <w:t>营造“</w:t>
      </w:r>
      <w:r>
        <w:rPr>
          <w:rFonts w:hint="eastAsia" w:ascii="仿宋_GB2312" w:hAnsi="微软雅黑" w:eastAsia="仿宋_GB2312" w:cs="仿宋_GB2312"/>
          <w:color w:val="auto"/>
          <w:kern w:val="0"/>
          <w:sz w:val="32"/>
          <w:szCs w:val="32"/>
        </w:rPr>
        <w:t>比、学</w:t>
      </w:r>
      <w:r>
        <w:rPr>
          <w:rFonts w:hint="eastAsia" w:ascii="仿宋_GB2312" w:hAnsi="微软雅黑" w:eastAsia="仿宋_GB2312" w:cs="仿宋_GB2312"/>
          <w:color w:val="auto"/>
          <w:kern w:val="0"/>
          <w:sz w:val="32"/>
          <w:szCs w:val="32"/>
          <w:lang w:eastAsia="zh-CN"/>
        </w:rPr>
        <w:t>、赶、超”</w:t>
      </w:r>
      <w:r>
        <w:rPr>
          <w:rFonts w:hint="eastAsia" w:ascii="仿宋_GB2312" w:hAnsi="微软雅黑" w:eastAsia="仿宋_GB2312" w:cs="仿宋_GB2312"/>
          <w:color w:val="auto"/>
          <w:kern w:val="0"/>
          <w:sz w:val="32"/>
          <w:szCs w:val="32"/>
        </w:rPr>
        <w:t>的</w:t>
      </w:r>
      <w:r>
        <w:rPr>
          <w:rFonts w:hint="eastAsia" w:ascii="仿宋_GB2312" w:hAnsi="微软雅黑" w:eastAsia="仿宋_GB2312" w:cs="仿宋_GB2312"/>
          <w:color w:val="auto"/>
          <w:kern w:val="0"/>
          <w:sz w:val="32"/>
          <w:szCs w:val="32"/>
          <w:lang w:val="en-US" w:eastAsia="zh-CN"/>
        </w:rPr>
        <w:t>良好氛围，</w:t>
      </w:r>
      <w:r>
        <w:rPr>
          <w:rFonts w:hint="eastAsia" w:ascii="仿宋_GB2312" w:hAnsi="微软雅黑" w:eastAsia="仿宋_GB2312" w:cs="仿宋_GB2312"/>
          <w:color w:val="auto"/>
          <w:kern w:val="0"/>
          <w:sz w:val="32"/>
          <w:szCs w:val="32"/>
        </w:rPr>
        <w:t>同时找出各自存在的差距和</w:t>
      </w:r>
      <w:r>
        <w:rPr>
          <w:rFonts w:hint="eastAsia" w:ascii="仿宋_GB2312" w:hAnsi="微软雅黑" w:eastAsia="仿宋_GB2312" w:cs="仿宋_GB2312"/>
          <w:color w:val="auto"/>
          <w:kern w:val="0"/>
          <w:sz w:val="32"/>
          <w:szCs w:val="32"/>
          <w:lang w:eastAsia="zh-CN"/>
        </w:rPr>
        <w:t>不足</w:t>
      </w:r>
      <w:r>
        <w:rPr>
          <w:rFonts w:hint="eastAsia" w:ascii="仿宋_GB2312" w:hAnsi="微软雅黑" w:eastAsia="仿宋_GB2312" w:cs="仿宋_GB2312"/>
          <w:color w:val="auto"/>
          <w:kern w:val="0"/>
          <w:sz w:val="32"/>
          <w:szCs w:val="32"/>
        </w:rPr>
        <w:t>，</w:t>
      </w:r>
      <w:r>
        <w:rPr>
          <w:rFonts w:hint="eastAsia" w:ascii="仿宋_GB2312" w:hAnsi="微软雅黑" w:eastAsia="仿宋_GB2312" w:cs="仿宋_GB2312"/>
          <w:color w:val="auto"/>
          <w:kern w:val="0"/>
          <w:sz w:val="32"/>
          <w:szCs w:val="32"/>
          <w:lang w:eastAsia="zh-CN"/>
        </w:rPr>
        <w:t>提升财务人员业务能力和综合素质</w:t>
      </w:r>
      <w:r>
        <w:rPr>
          <w:rFonts w:hint="eastAsia" w:ascii="仿宋_GB2312" w:hAnsi="微软雅黑" w:eastAsia="仿宋_GB2312" w:cs="仿宋_GB2312"/>
          <w:color w:val="auto"/>
          <w:kern w:val="0"/>
          <w:sz w:val="32"/>
          <w:szCs w:val="32"/>
        </w:rPr>
        <w:t>。</w:t>
      </w:r>
      <w:r>
        <w:rPr>
          <w:rFonts w:hint="eastAsia" w:ascii="仿宋_GB2312" w:hAnsi="微软雅黑" w:eastAsia="仿宋_GB2312" w:cs="仿宋_GB2312"/>
          <w:b/>
          <w:bCs/>
          <w:color w:val="auto"/>
          <w:kern w:val="0"/>
          <w:sz w:val="32"/>
          <w:szCs w:val="32"/>
          <w:lang w:val="en-US" w:eastAsia="zh-CN"/>
        </w:rPr>
        <w:t>4、学习培训有新动力</w:t>
      </w:r>
      <w:r>
        <w:rPr>
          <w:rFonts w:hint="eastAsia" w:ascii="仿宋_GB2312" w:hAnsi="微软雅黑" w:eastAsia="仿宋_GB2312" w:cs="仿宋_GB2312"/>
          <w:b/>
          <w:bCs/>
          <w:color w:val="auto"/>
          <w:kern w:val="0"/>
          <w:sz w:val="32"/>
          <w:szCs w:val="32"/>
          <w:lang w:eastAsia="zh-CN"/>
        </w:rPr>
        <w:t>。</w:t>
      </w:r>
      <w:r>
        <w:rPr>
          <w:rFonts w:hint="eastAsia" w:ascii="仿宋_GB2312" w:hAnsi="微软雅黑" w:eastAsia="仿宋_GB2312" w:cs="仿宋_GB2312"/>
          <w:color w:val="auto"/>
          <w:kern w:val="0"/>
          <w:sz w:val="32"/>
          <w:szCs w:val="32"/>
        </w:rPr>
        <w:t>对财政所人员举办两期培训班，对财政所不同岗位的人员，有针对性的分批次进行实务培训，课程广泛而全面，涉及会计基础、会计实务、债务管理、廉政讲座、常用乡财软件应用等等。</w:t>
      </w:r>
      <w:r>
        <w:rPr>
          <w:rFonts w:hint="eastAsia" w:ascii="仿宋_GB2312" w:hAnsi="微软雅黑" w:eastAsia="仿宋_GB2312" w:cs="仿宋_GB2312"/>
          <w:color w:val="auto"/>
          <w:kern w:val="0"/>
          <w:sz w:val="32"/>
          <w:szCs w:val="32"/>
          <w:lang w:val="en-US" w:eastAsia="zh-CN"/>
        </w:rPr>
        <w:t>9</w:t>
      </w:r>
      <w:r>
        <w:rPr>
          <w:rFonts w:hint="eastAsia" w:ascii="仿宋_GB2312" w:hAnsi="微软雅黑" w:eastAsia="仿宋_GB2312" w:cs="仿宋_GB2312"/>
          <w:color w:val="auto"/>
          <w:kern w:val="0"/>
          <w:sz w:val="32"/>
          <w:szCs w:val="32"/>
        </w:rPr>
        <w:t>月份，我们乡财服务中心组织财政所长和会计分别赴常德石门县进行了现场参观学习，开阔大家眼界，增强实践操作能力</w:t>
      </w:r>
      <w:r>
        <w:rPr>
          <w:rFonts w:hint="eastAsia" w:ascii="仿宋_GB2312" w:hAnsi="微软雅黑" w:eastAsia="仿宋_GB2312" w:cs="仿宋_GB2312"/>
          <w:color w:val="auto"/>
          <w:kern w:val="0"/>
          <w:sz w:val="32"/>
          <w:szCs w:val="32"/>
          <w:lang w:eastAsia="zh-CN"/>
        </w:rPr>
        <w:t>。同时积极组织相关人员参加省市财政部门组织的相关培训。</w:t>
      </w:r>
      <w:r>
        <w:rPr>
          <w:rFonts w:hint="default" w:ascii="仿宋_GB2312" w:hAnsi="微软雅黑" w:eastAsia="仿宋_GB2312" w:cs="仿宋_GB2312"/>
          <w:color w:val="auto"/>
          <w:kern w:val="0"/>
          <w:sz w:val="32"/>
          <w:szCs w:val="32"/>
        </w:rPr>
        <w:t xml:space="preserve">这些成果直接推动了组织整体业务的顺利开展。 </w:t>
      </w:r>
    </w:p>
    <w:p w14:paraId="66902A5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预算管理方面，我们严格遵循预算制度，确保资金使用的合理性和规范性</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 xml:space="preserve">有效地保障了各项工作的资金需求，同时也实现了资源的优化配置。  </w:t>
      </w:r>
    </w:p>
    <w:p w14:paraId="13ACF01A">
      <w:pPr>
        <w:pStyle w:val="10"/>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A2608A0">
      <w:pPr>
        <w:widowControl/>
        <w:shd w:val="clear" w:color="auto" w:fill="FFFFFF"/>
        <w:ind w:firstLine="648"/>
        <w:jc w:val="both"/>
        <w:rPr>
          <w:rFonts w:hint="eastAsia" w:ascii="Arial" w:hAnsi="Arial" w:eastAsia="仿宋_GB2312" w:cs="Arial"/>
          <w:kern w:val="0"/>
          <w:sz w:val="32"/>
          <w:szCs w:val="32"/>
        </w:rPr>
      </w:pPr>
      <w:r>
        <w:rPr>
          <w:rFonts w:hint="eastAsia" w:ascii="楷体_GB2312" w:hAnsi="微软雅黑" w:eastAsia="楷体_GB2312" w:cs="楷体_GB2312"/>
          <w:b/>
          <w:bCs/>
          <w:color w:val="auto"/>
          <w:kern w:val="2"/>
          <w:sz w:val="32"/>
          <w:szCs w:val="32"/>
          <w:lang w:val="en-US" w:eastAsia="zh-CN" w:bidi="ar"/>
        </w:rPr>
        <w:t>1.乡镇财政业务人员缺乏。</w:t>
      </w:r>
      <w:r>
        <w:rPr>
          <w:rFonts w:hint="eastAsia" w:ascii="仿宋_GB2312" w:hAnsi="Arial" w:eastAsia="仿宋_GB2312" w:cs="Arial"/>
          <w:kern w:val="0"/>
          <w:sz w:val="32"/>
          <w:szCs w:val="32"/>
        </w:rPr>
        <w:t>财政所业务人员出现断层现象，缺少80后，少数乡镇已经难以满足日常工作需要。会计工作基础非常薄弱，因此造成会计核算不规范。</w:t>
      </w:r>
      <w:r>
        <w:rPr>
          <w:rFonts w:hint="eastAsia" w:ascii="Arial" w:hAnsi="Arial" w:eastAsia="仿宋_GB2312" w:cs="Arial"/>
          <w:kern w:val="0"/>
          <w:sz w:val="32"/>
          <w:szCs w:val="32"/>
        </w:rPr>
        <w:t>  </w:t>
      </w:r>
    </w:p>
    <w:p w14:paraId="687EED2E">
      <w:pPr>
        <w:widowControl/>
        <w:shd w:val="clear" w:color="auto" w:fill="FFFFFF"/>
        <w:ind w:firstLine="643" w:firstLineChars="200"/>
        <w:jc w:val="both"/>
        <w:rPr>
          <w:rFonts w:hint="eastAsia" w:ascii="仿宋_GB2312" w:hAnsi="Arial" w:eastAsia="仿宋_GB2312" w:cs="Arial"/>
          <w:kern w:val="0"/>
          <w:sz w:val="32"/>
          <w:szCs w:val="32"/>
        </w:rPr>
      </w:pPr>
      <w:r>
        <w:rPr>
          <w:rFonts w:hint="eastAsia" w:ascii="楷体_GB2312" w:hAnsi="微软雅黑" w:eastAsia="楷体_GB2312" w:cs="楷体_GB2312"/>
          <w:b/>
          <w:bCs/>
          <w:color w:val="auto"/>
          <w:kern w:val="2"/>
          <w:sz w:val="32"/>
          <w:szCs w:val="32"/>
          <w:lang w:val="en-US" w:eastAsia="zh-CN" w:bidi="ar"/>
        </w:rPr>
        <w:t>2.预算编制有待进一步规范。</w:t>
      </w:r>
      <w:r>
        <w:rPr>
          <w:rFonts w:hint="eastAsia" w:ascii="仿宋_GB2312" w:hAnsi="Arial" w:eastAsia="仿宋_GB2312" w:cs="Arial"/>
          <w:kern w:val="0"/>
          <w:sz w:val="32"/>
          <w:szCs w:val="32"/>
        </w:rPr>
        <w:t>目前，乡镇财政预算基础数据库不够充实，基本支出标准体系不完善，因而财政支出难以严格按照年度部门预算执行，乡镇财政预算不是准确和完整的预算。对《预算法》的贯彻执行力度远远不够。</w:t>
      </w:r>
      <w:r>
        <w:rPr>
          <w:rFonts w:hint="eastAsia" w:ascii="Arial" w:hAnsi="Arial" w:eastAsia="仿宋_GB2312" w:cs="Arial"/>
          <w:kern w:val="0"/>
          <w:sz w:val="32"/>
          <w:szCs w:val="32"/>
        </w:rPr>
        <w:t> </w:t>
      </w:r>
      <w:r>
        <w:rPr>
          <w:rFonts w:hint="eastAsia" w:ascii="仿宋_GB2312" w:hAnsi="Arial" w:eastAsia="仿宋_GB2312" w:cs="Arial"/>
          <w:kern w:val="0"/>
          <w:sz w:val="32"/>
          <w:szCs w:val="32"/>
        </w:rPr>
        <w:t xml:space="preserve"> </w:t>
      </w:r>
      <w:r>
        <w:rPr>
          <w:rFonts w:hint="eastAsia" w:ascii="Arial" w:hAnsi="Arial" w:eastAsia="仿宋_GB2312" w:cs="Arial"/>
          <w:kern w:val="0"/>
          <w:sz w:val="32"/>
          <w:szCs w:val="32"/>
        </w:rPr>
        <w:t>   </w:t>
      </w:r>
    </w:p>
    <w:p w14:paraId="4297257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bookmarkStart w:id="0" w:name="_GoBack"/>
      <w:bookmarkEnd w:id="0"/>
      <w:r>
        <w:rPr>
          <w:rFonts w:hint="default" w:ascii="Times New Roman" w:hAnsi="Times New Roman" w:eastAsia="黑体" w:cs="Times New Roman"/>
          <w:sz w:val="32"/>
          <w:szCs w:val="32"/>
          <w:highlight w:val="none"/>
        </w:rPr>
        <w:t>八、下一步改进措施</w:t>
      </w:r>
    </w:p>
    <w:p w14:paraId="4C7BF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3" w:firstLineChars="200"/>
        <w:jc w:val="both"/>
        <w:rPr>
          <w:rFonts w:hint="eastAsia" w:ascii="仿宋_GB2312" w:hAnsi="Arial" w:eastAsia="仿宋_GB2312" w:cs="Arial"/>
          <w:kern w:val="0"/>
          <w:sz w:val="32"/>
          <w:szCs w:val="32"/>
          <w:lang w:val="en-US" w:eastAsia="zh-CN"/>
        </w:rPr>
      </w:pPr>
      <w:r>
        <w:rPr>
          <w:rFonts w:hint="eastAsia" w:ascii="楷体_GB2312" w:hAnsi="微软雅黑" w:eastAsia="楷体_GB2312" w:cs="楷体_GB2312"/>
          <w:b/>
          <w:bCs/>
          <w:color w:val="auto"/>
          <w:kern w:val="2"/>
          <w:sz w:val="32"/>
          <w:szCs w:val="32"/>
          <w:lang w:val="en-US" w:eastAsia="zh-CN" w:bidi="ar"/>
        </w:rPr>
        <w:t>1.继续搞好先进财政所创建。</w:t>
      </w:r>
      <w:r>
        <w:rPr>
          <w:rFonts w:hint="eastAsia" w:ascii="仿宋_GB2312" w:hAnsi="Arial" w:eastAsia="仿宋_GB2312" w:cs="Arial"/>
          <w:kern w:val="0"/>
          <w:sz w:val="32"/>
          <w:szCs w:val="32"/>
          <w:lang w:val="en-US" w:eastAsia="zh-CN"/>
        </w:rPr>
        <w:t>继续组织开展省级标兵财政所、先进财政所和市级示范型财政所创建工作，持续提升我区乡镇财政理财水平和服务效能。</w:t>
      </w:r>
    </w:p>
    <w:p w14:paraId="3722E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3" w:firstLineChars="200"/>
        <w:jc w:val="both"/>
        <w:rPr>
          <w:rFonts w:hint="eastAsia" w:ascii="仿宋_GB2312" w:hAnsi="Arial" w:eastAsia="仿宋_GB2312" w:cs="Arial"/>
          <w:kern w:val="0"/>
          <w:sz w:val="32"/>
          <w:szCs w:val="32"/>
        </w:rPr>
      </w:pPr>
      <w:r>
        <w:rPr>
          <w:rFonts w:hint="eastAsia" w:ascii="楷体_GB2312" w:hAnsi="微软雅黑" w:eastAsia="楷体_GB2312" w:cs="楷体_GB2312"/>
          <w:b/>
          <w:bCs/>
          <w:color w:val="auto"/>
          <w:kern w:val="2"/>
          <w:sz w:val="32"/>
          <w:szCs w:val="32"/>
          <w:lang w:val="en-US" w:eastAsia="zh-CN" w:bidi="ar"/>
        </w:rPr>
        <w:t>2.督促惠农补贴突出问题整改。</w:t>
      </w:r>
      <w:r>
        <w:rPr>
          <w:rFonts w:hint="eastAsia" w:ascii="仿宋_GB2312" w:hAnsi="Arial" w:eastAsia="仿宋_GB2312" w:cs="Arial"/>
          <w:kern w:val="0"/>
          <w:sz w:val="32"/>
          <w:szCs w:val="32"/>
          <w:lang w:val="en-US" w:eastAsia="zh-CN"/>
        </w:rPr>
        <w:t>扎实推进群腐突出问题整改整治和为民办实事，</w:t>
      </w:r>
      <w:r>
        <w:rPr>
          <w:rStyle w:val="8"/>
          <w:rFonts w:hint="eastAsia" w:ascii="仿宋_GB2312" w:hAnsi="华文仿宋" w:eastAsia="仿宋_GB2312" w:cs="华文仿宋"/>
          <w:b w:val="0"/>
          <w:bCs/>
          <w:sz w:val="32"/>
          <w:szCs w:val="32"/>
          <w:shd w:val="clear" w:color="auto" w:fill="FFFFFF"/>
        </w:rPr>
        <w:t>常态化开展惠农补贴资金“一卡通”发放管理“回头看”工作，对发现的问题及时整改落实，确保补贴资金准确、及时、足额、高效发放到老百姓手中</w:t>
      </w:r>
      <w:r>
        <w:rPr>
          <w:rFonts w:hint="eastAsia" w:ascii="仿宋_GB2312" w:hAnsi="Arial" w:eastAsia="仿宋_GB2312" w:cs="Arial"/>
          <w:kern w:val="0"/>
          <w:sz w:val="32"/>
          <w:szCs w:val="32"/>
          <w:lang w:val="en-US" w:eastAsia="zh-CN"/>
        </w:rPr>
        <w:t>，</w:t>
      </w:r>
      <w:r>
        <w:rPr>
          <w:rFonts w:hint="eastAsia" w:ascii="仿宋_GB2312" w:hAnsi="华文仿宋" w:eastAsia="仿宋_GB2312" w:cs="华文仿宋"/>
          <w:bCs/>
          <w:sz w:val="32"/>
          <w:szCs w:val="32"/>
          <w:shd w:val="clear" w:color="auto" w:fill="FFFFFF"/>
        </w:rPr>
        <w:t>进一步健全完善有关“一卡通”发放管理制度，确保国家惠农补贴政策严格落实到位，使“便民卡”真正成为群众的“幸福卡”</w:t>
      </w:r>
      <w:r>
        <w:rPr>
          <w:rFonts w:hint="eastAsia" w:ascii="仿宋_GB2312" w:hAnsi="Arial" w:eastAsia="仿宋_GB2312" w:cs="Arial"/>
          <w:kern w:val="0"/>
          <w:sz w:val="32"/>
          <w:szCs w:val="32"/>
          <w:lang w:val="en-US" w:eastAsia="zh-CN"/>
        </w:rPr>
        <w:t>。</w:t>
      </w:r>
    </w:p>
    <w:p w14:paraId="635EA32D">
      <w:pPr>
        <w:ind w:firstLine="643" w:firstLineChars="200"/>
        <w:jc w:val="both"/>
        <w:rPr>
          <w:rFonts w:hint="default"/>
        </w:rPr>
      </w:pPr>
      <w:r>
        <w:rPr>
          <w:rFonts w:hint="eastAsia" w:ascii="楷体_GB2312" w:hAnsi="微软雅黑" w:eastAsia="楷体_GB2312" w:cs="楷体_GB2312"/>
          <w:b/>
          <w:bCs/>
          <w:color w:val="auto"/>
          <w:kern w:val="2"/>
          <w:sz w:val="32"/>
          <w:szCs w:val="32"/>
          <w:lang w:val="en-US" w:eastAsia="zh-CN" w:bidi="ar"/>
        </w:rPr>
        <w:t>3.加强乡镇财政队伍建设。</w:t>
      </w:r>
      <w:r>
        <w:rPr>
          <w:rFonts w:hint="eastAsia" w:ascii="仿宋_GB2312" w:hAnsi="Arial" w:eastAsia="仿宋_GB2312" w:cs="Arial"/>
          <w:kern w:val="0"/>
          <w:sz w:val="32"/>
          <w:szCs w:val="32"/>
        </w:rPr>
        <w:t>提高</w:t>
      </w:r>
      <w:r>
        <w:rPr>
          <w:rFonts w:hint="eastAsia" w:ascii="仿宋_GB2312" w:hAnsi="Arial" w:eastAsia="仿宋_GB2312" w:cs="Arial"/>
          <w:kern w:val="0"/>
          <w:sz w:val="32"/>
          <w:szCs w:val="32"/>
          <w:lang w:eastAsia="zh-CN"/>
        </w:rPr>
        <w:t>镇村财务</w:t>
      </w:r>
      <w:r>
        <w:rPr>
          <w:rFonts w:hint="eastAsia" w:ascii="仿宋_GB2312" w:hAnsi="Arial" w:eastAsia="仿宋_GB2312" w:cs="Arial"/>
          <w:kern w:val="0"/>
          <w:sz w:val="32"/>
          <w:szCs w:val="32"/>
        </w:rPr>
        <w:t>水平和实际操作能力，</w:t>
      </w:r>
      <w:r>
        <w:rPr>
          <w:rFonts w:hint="eastAsia" w:ascii="仿宋_GB2312" w:hAnsi="Arial" w:eastAsia="仿宋_GB2312" w:cs="Arial"/>
          <w:kern w:val="0"/>
          <w:sz w:val="32"/>
          <w:szCs w:val="32"/>
          <w:lang w:eastAsia="zh-CN"/>
        </w:rPr>
        <w:t>并</w:t>
      </w:r>
      <w:r>
        <w:rPr>
          <w:rFonts w:hint="eastAsia" w:ascii="仿宋_GB2312" w:hAnsi="Arial" w:eastAsia="仿宋_GB2312" w:cs="Arial"/>
          <w:kern w:val="0"/>
          <w:sz w:val="32"/>
          <w:szCs w:val="32"/>
        </w:rPr>
        <w:t>做好业务培训等工作。</w:t>
      </w:r>
    </w:p>
    <w:p w14:paraId="59D93E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42284170">
      <w:pPr>
        <w:pStyle w:val="2"/>
        <w:ind w:firstLine="620" w:firstLineChars="200"/>
        <w:rPr>
          <w:rFonts w:hint="default"/>
        </w:rPr>
      </w:pPr>
      <w:r>
        <w:rPr>
          <w:rFonts w:hint="default"/>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3449CE9F">
      <w:pPr>
        <w:pStyle w:val="2"/>
        <w:ind w:firstLine="620" w:firstLineChars="200"/>
        <w:rPr>
          <w:rFonts w:hint="default"/>
        </w:rPr>
      </w:pPr>
      <w:r>
        <w:rPr>
          <w:rFonts w:hint="default"/>
        </w:rPr>
        <w:t>对部门整体支出绩效自评在规定时间内公开至本单位门户网站，确保公开数据真实、完整、准确。</w:t>
      </w:r>
    </w:p>
    <w:p w14:paraId="6942B78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59995508">
      <w:pPr>
        <w:pStyle w:val="2"/>
        <w:rPr>
          <w:rFonts w:hint="default" w:eastAsia="黑体"/>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Arial" w:eastAsia="仿宋_GB2312" w:cs="Arial"/>
          <w:kern w:val="0"/>
          <w:sz w:val="32"/>
          <w:szCs w:val="32"/>
          <w:lang w:val="en-US" w:eastAsia="zh-CN" w:bidi="ar-SA"/>
        </w:rPr>
        <w:t>无</w:t>
      </w:r>
    </w:p>
    <w:p w14:paraId="19CC676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BA746E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331770A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A6BB94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BF4217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33F6511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3A8D77B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1E1B3CF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4C07582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84CE7"/>
    <w:multiLevelType w:val="singleLevel"/>
    <w:tmpl w:val="AD984CE7"/>
    <w:lvl w:ilvl="0" w:tentative="0">
      <w:start w:val="1"/>
      <w:numFmt w:val="chineseCounting"/>
      <w:suff w:val="nothing"/>
      <w:lvlText w:val="%1、"/>
      <w:lvlJc w:val="left"/>
      <w:rPr>
        <w:rFonts w:hint="eastAsia"/>
      </w:rPr>
    </w:lvl>
  </w:abstractNum>
  <w:abstractNum w:abstractNumId="1">
    <w:nsid w:val="5950AAA7"/>
    <w:multiLevelType w:val="singleLevel"/>
    <w:tmpl w:val="5950AAA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M2M0MThiNjg5MDljNzY5MjFhYWZiYzM1NGE3YmMifQ=="/>
  </w:docVars>
  <w:rsids>
    <w:rsidRoot w:val="59886344"/>
    <w:rsid w:val="0D5079C9"/>
    <w:rsid w:val="0EE01778"/>
    <w:rsid w:val="12C54702"/>
    <w:rsid w:val="232C5968"/>
    <w:rsid w:val="29883BEF"/>
    <w:rsid w:val="2EAA5D2F"/>
    <w:rsid w:val="42D9753D"/>
    <w:rsid w:val="58362FC8"/>
    <w:rsid w:val="59886344"/>
    <w:rsid w:val="61EC68BE"/>
    <w:rsid w:val="66B84541"/>
    <w:rsid w:val="7AC12A12"/>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widowControl w:val="0"/>
      <w:ind w:left="1680" w:leftChars="800"/>
      <w:jc w:val="both"/>
    </w:pPr>
    <w:rPr>
      <w:rFonts w:ascii="Calibri" w:hAnsi="Calibri" w:eastAsia="宋体" w:cs="黑体"/>
      <w:kern w:val="2"/>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2">
    <w:name w:val="bjh-p"/>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2677</Words>
  <Characters>2757</Characters>
  <Lines>0</Lines>
  <Paragraphs>0</Paragraphs>
  <TotalTime>11</TotalTime>
  <ScaleCrop>false</ScaleCrop>
  <LinksUpToDate>false</LinksUpToDate>
  <CharactersWithSpaces>2780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2024-06-26T01:02:00Z</cp:lastPrinted>
  <dcterms:modified xsi:type="dcterms:W3CDTF">2025-04-15T08:25:13Z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6182D3A10D564617983F46DEE354AEAF</vt:lpwstr>
  </property>
  <property fmtid="{D5CDD505-2E9C-101B-9397-08002B2CF9AE}" pid="4" name="KSOTemplateDocerSaveRecord">
    <vt:lpwstr>eyJoZGlkIjoiM2I5M2M0MThiNjg5MDljNzY5MjFhYWZiYzM1NGE3YmMifQ==</vt:lpwstr>
  </property>
</Properties>
</file>