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86" w:rsidRDefault="0031598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EE2886" w:rsidRDefault="00EE2886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:rsidR="0031598D" w:rsidRDefault="0031598D" w:rsidP="0031598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</w:rPr>
        <w:drawing>
          <wp:inline distT="0" distB="0" distL="0" distR="0">
            <wp:extent cx="5267325" cy="7448550"/>
            <wp:effectExtent l="19050" t="0" r="9525" b="0"/>
            <wp:docPr id="1" name="图片 1" descr="\\VMS-FS-02.sumstrong.com\UserData\jsczpx02\桌面\2024年绩效评价封面\野生荷花世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S-FS-02.sumstrong.com\UserData\jsczpx02\桌面\2024年绩效评价封面\野生荷花世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98D" w:rsidRDefault="0031598D" w:rsidP="0031598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E2886" w:rsidRDefault="0031598D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2024年度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野生荷花世界管理委员会整体支出绩效自评报告</w:t>
      </w:r>
    </w:p>
    <w:p w:rsidR="00EE2886" w:rsidRDefault="0031598D">
      <w:pPr>
        <w:pStyle w:val="a6"/>
        <w:widowControl/>
        <w:spacing w:line="640" w:lineRule="exact"/>
        <w:ind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</w:t>
      </w:r>
    </w:p>
    <w:p w:rsidR="00EE2886" w:rsidRDefault="0031598D">
      <w:pPr>
        <w:pStyle w:val="a6"/>
        <w:widowControl/>
        <w:spacing w:line="640" w:lineRule="exact"/>
        <w:ind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一、部门（单位）</w:t>
      </w:r>
      <w:r>
        <w:rPr>
          <w:rFonts w:ascii="Times New Roman" w:eastAsia="黑体" w:hAnsi="Times New Roman"/>
          <w:sz w:val="32"/>
          <w:szCs w:val="32"/>
        </w:rPr>
        <w:t>基本情况</w:t>
      </w:r>
    </w:p>
    <w:p w:rsidR="00EE2886" w:rsidRDefault="0031598D">
      <w:pPr>
        <w:spacing w:line="640" w:lineRule="exac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</w:t>
      </w:r>
      <w:r>
        <w:rPr>
          <w:rFonts w:ascii="Times New Roman" w:eastAsia="楷体_GB2312" w:hAnsi="Times New Roman" w:hint="eastAsia"/>
          <w:b/>
          <w:sz w:val="32"/>
          <w:szCs w:val="32"/>
        </w:rPr>
        <w:t>（一）单位基本情况</w:t>
      </w:r>
    </w:p>
    <w:p w:rsidR="00EE2886" w:rsidRDefault="0031598D">
      <w:pPr>
        <w:widowControl/>
        <w:spacing w:line="64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岳阳市君山区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野生荷花世界管理委员会（以下简称管委会）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其职能职责为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EE2886" w:rsidRDefault="0031598D">
      <w:pPr>
        <w:pStyle w:val="a6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为君山野生荷花世界建设与管理服务，对野生莲及荷花品种的保护，对其旅游、餐饮、住宿、农产品开发及管理。</w:t>
      </w:r>
    </w:p>
    <w:p w:rsidR="00EE2886" w:rsidRDefault="0031598D">
      <w:pPr>
        <w:pStyle w:val="a6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根据区委、区政府旅游兴区的发展目标，通过加大对旅游的投入，进一步做大做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强旅游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产业，合理利用旅游资源，打造精品旅游品牌。</w:t>
      </w:r>
    </w:p>
    <w:p w:rsidR="00EE2886" w:rsidRDefault="0031598D">
      <w:pPr>
        <w:pStyle w:val="a6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通过对节会的举办，加大景区的知名度和美誉度，</w:t>
      </w:r>
    </w:p>
    <w:p w:rsidR="00EE2886" w:rsidRDefault="0031598D">
      <w:pPr>
        <w:pStyle w:val="a6"/>
        <w:widowControl/>
        <w:spacing w:line="640" w:lineRule="exact"/>
        <w:ind w:firstLineChars="0" w:firstLine="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进一步加强旅游的硬件、软件的建设，提高旅游服务质量。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　</w:t>
      </w:r>
    </w:p>
    <w:p w:rsidR="00EE2886" w:rsidRDefault="0031598D">
      <w:pPr>
        <w:pStyle w:val="a6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扩大旅游接待规模，增加旅游人次，提高游客的满意度，搞好生态旅游，合理利用旅游资源，增加旅游收入，打造名品旅游品牌。</w:t>
      </w:r>
    </w:p>
    <w:p w:rsidR="00EE2886" w:rsidRDefault="0031598D">
      <w:pPr>
        <w:pStyle w:val="a6"/>
        <w:widowControl/>
        <w:spacing w:line="640" w:lineRule="exact"/>
        <w:ind w:firstLineChars="0" w:firstLine="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 xml:space="preserve">　（二）机构设置与人员情况</w:t>
      </w:r>
    </w:p>
    <w:p w:rsidR="00EE2886" w:rsidRDefault="0031598D">
      <w:pPr>
        <w:pStyle w:val="a6"/>
        <w:widowControl/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管委会</w:t>
      </w:r>
      <w:r>
        <w:rPr>
          <w:rFonts w:ascii="Times New Roman" w:eastAsia="仿宋_GB2312" w:hAnsi="Times New Roman"/>
          <w:color w:val="000000"/>
          <w:sz w:val="32"/>
          <w:szCs w:val="32"/>
        </w:rPr>
        <w:t>设办公室、信访科、人事科、财务科、园林绿化科、环卫科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个职能科室。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年末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共有在职人员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人，其中，行政人员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人，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非参公事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业人员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人。</w:t>
      </w:r>
    </w:p>
    <w:p w:rsidR="00EE2886" w:rsidRDefault="0031598D">
      <w:pPr>
        <w:pStyle w:val="a6"/>
        <w:widowControl/>
        <w:numPr>
          <w:ilvl w:val="0"/>
          <w:numId w:val="2"/>
        </w:numPr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单位绩效目标</w:t>
      </w:r>
    </w:p>
    <w:p w:rsidR="00EE2886" w:rsidRDefault="0031598D">
      <w:pPr>
        <w:pStyle w:val="a6"/>
        <w:widowControl/>
        <w:spacing w:line="64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整体支出绩效目标：积极推行预算绩效管理，强化对资金使用情况的预算约束和监管。</w:t>
      </w:r>
      <w:r>
        <w:rPr>
          <w:rFonts w:ascii="仿宋" w:eastAsia="仿宋" w:hAnsi="仿宋" w:cs="仿宋" w:hint="eastAsia"/>
          <w:sz w:val="32"/>
          <w:szCs w:val="32"/>
        </w:rPr>
        <w:t>突出抓好团湖水面转型升级工作，平稳过渡完成区三资改革要求；成功举办2024中国（岳阳）野生荷花旅游文化节；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完成团湖水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环境综合治理项目，引进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研学基地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合作；被评为湖南省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中医药康养线路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体验基地；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廉洁文化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园完成升级改造，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打造团湖观廉八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景，成为全市廉政教育的重要一环。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提高财政资金使用绩效，促进管理效能提升。</w:t>
      </w:r>
    </w:p>
    <w:p w:rsidR="00EE2886" w:rsidRDefault="0031598D">
      <w:pPr>
        <w:pStyle w:val="a6"/>
        <w:widowControl/>
        <w:spacing w:line="64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 xml:space="preserve">　项目支出绩效目标：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改善团湖水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质，增加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我区文旅融合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发展收入。</w:t>
      </w:r>
    </w:p>
    <w:p w:rsidR="00EE2886" w:rsidRDefault="0031598D">
      <w:pPr>
        <w:pStyle w:val="a6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EE2886" w:rsidRDefault="0031598D">
      <w:pPr>
        <w:pStyle w:val="a6"/>
        <w:widowControl/>
        <w:spacing w:line="640" w:lineRule="exact"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管委会2024年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全年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预算资金439.91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其中：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基本支出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439.91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。全年实际支出426.6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其中：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基本支出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426.6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。预算执行率96.97%。</w:t>
      </w:r>
    </w:p>
    <w:p w:rsidR="00EE2886" w:rsidRDefault="0031598D">
      <w:pPr>
        <w:pStyle w:val="a6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EE2886" w:rsidRDefault="0031598D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管委会2024年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全年基本支出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426.6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万元，其中人员经费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192.99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万元，公用经费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233.61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万元。</w:t>
      </w:r>
    </w:p>
    <w:p w:rsidR="00EE2886" w:rsidRDefault="0031598D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:rsidR="00EE2886" w:rsidRDefault="0031598D">
      <w:pPr>
        <w:pStyle w:val="a6"/>
        <w:widowControl/>
        <w:numPr>
          <w:ilvl w:val="0"/>
          <w:numId w:val="3"/>
        </w:numPr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项目支出情况</w:t>
      </w:r>
    </w:p>
    <w:p w:rsidR="00EE2886" w:rsidRDefault="0031598D">
      <w:pPr>
        <w:pStyle w:val="a6"/>
        <w:widowControl/>
        <w:spacing w:line="64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2024年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管委会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全年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，主要用于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完成团湖水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面转型升级工作。</w:t>
      </w:r>
    </w:p>
    <w:p w:rsidR="00EE2886" w:rsidRDefault="0031598D">
      <w:pPr>
        <w:pStyle w:val="a6"/>
        <w:widowControl/>
        <w:numPr>
          <w:ilvl w:val="0"/>
          <w:numId w:val="4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EE2886" w:rsidRDefault="0031598D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管委会无此项支出。</w:t>
      </w:r>
    </w:p>
    <w:p w:rsidR="00EE2886" w:rsidRDefault="0031598D">
      <w:pPr>
        <w:pStyle w:val="a6"/>
        <w:widowControl/>
        <w:numPr>
          <w:ilvl w:val="0"/>
          <w:numId w:val="4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EE2886" w:rsidRDefault="0031598D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管委会无此项支出。</w:t>
      </w:r>
    </w:p>
    <w:p w:rsidR="00EE2886" w:rsidRDefault="0031598D">
      <w:pPr>
        <w:pStyle w:val="a6"/>
        <w:widowControl/>
        <w:numPr>
          <w:ilvl w:val="0"/>
          <w:numId w:val="4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EE2886" w:rsidRDefault="0031598D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管委会无此项支出。</w:t>
      </w:r>
    </w:p>
    <w:p w:rsidR="00EE2886" w:rsidRDefault="0031598D">
      <w:pPr>
        <w:widowControl/>
        <w:numPr>
          <w:ilvl w:val="0"/>
          <w:numId w:val="4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部门整体支出绩效情况</w:t>
      </w:r>
    </w:p>
    <w:p w:rsidR="00EE2886" w:rsidRDefault="0031598D">
      <w:pPr>
        <w:pStyle w:val="a6"/>
        <w:widowControl/>
        <w:spacing w:line="640" w:lineRule="exact"/>
        <w:ind w:firstLineChars="0" w:firstLine="640"/>
      </w:pP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管委会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严格执行预算，</w:t>
      </w:r>
      <w:r>
        <w:rPr>
          <w:rFonts w:ascii="Times New Roman" w:eastAsia="仿宋_GB2312" w:hAnsi="Times New Roman"/>
          <w:color w:val="000000"/>
          <w:sz w:val="32"/>
          <w:szCs w:val="32"/>
        </w:rPr>
        <w:t>财务管理规范，各项工作任务全面完成，单位行政运行稳定有序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部门整体支出绩效自评得分</w:t>
      </w:r>
      <w:r w:rsidR="00C906DE">
        <w:rPr>
          <w:rFonts w:ascii="仿宋_GB2312" w:eastAsia="仿宋_GB2312" w:hAnsi="仿宋_GB2312" w:cs="仿宋_GB2312" w:hint="eastAsia"/>
          <w:kern w:val="2"/>
          <w:sz w:val="32"/>
          <w:szCs w:val="32"/>
        </w:rPr>
        <w:t>97.7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分。</w:t>
      </w:r>
    </w:p>
    <w:p w:rsidR="00EE2886" w:rsidRDefault="0031598D">
      <w:pPr>
        <w:widowControl/>
        <w:numPr>
          <w:ilvl w:val="0"/>
          <w:numId w:val="5"/>
        </w:num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EE2886" w:rsidRDefault="0031598D">
      <w:pPr>
        <w:pStyle w:val="a6"/>
        <w:widowControl/>
        <w:spacing w:line="640" w:lineRule="exact"/>
        <w:ind w:firstLineChars="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管委会</w:t>
      </w:r>
      <w:r>
        <w:rPr>
          <w:rFonts w:ascii="Times New Roman" w:eastAsia="仿宋_GB2312" w:hAnsi="Times New Roman"/>
          <w:color w:val="000000"/>
          <w:sz w:val="32"/>
          <w:szCs w:val="32"/>
        </w:rPr>
        <w:t>严格遵守各项规章制度，严格执行经费审批制度、报销程序，加强了经费支出的监督管理；坚持经费预算科学化、精细化，执行控制规范化、责任化，监督检查常态化、同步化；资金使用没有截留、挪用、虚列支出、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 w:rsidR="00EE2886" w:rsidRDefault="0031598D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44"/>
          <w:sz w:val="32"/>
          <w:szCs w:val="32"/>
          <w:lang/>
        </w:rPr>
        <w:t>（二）履职产出效益方面</w:t>
      </w:r>
    </w:p>
    <w:p w:rsidR="00EE2886" w:rsidRDefault="0031598D">
      <w:pPr>
        <w:pStyle w:val="a6"/>
        <w:widowControl/>
        <w:spacing w:line="640" w:lineRule="exact"/>
        <w:ind w:firstLineChars="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管委会</w:t>
      </w:r>
      <w:r>
        <w:rPr>
          <w:rFonts w:ascii="Times New Roman" w:eastAsia="仿宋_GB2312" w:hAnsi="Times New Roman"/>
          <w:color w:val="000000"/>
          <w:sz w:val="32"/>
          <w:szCs w:val="32"/>
        </w:rPr>
        <w:t>认真履行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部门职责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履职情况如下：</w:t>
      </w:r>
    </w:p>
    <w:p w:rsidR="0031598D" w:rsidRDefault="0031598D" w:rsidP="0031598D">
      <w:pPr>
        <w:ind w:firstLine="642"/>
        <w:rPr>
          <w:rFonts w:eastAsia="仿宋" w:cs="仿宋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（一）积极开展生产自救。</w:t>
      </w:r>
      <w:r>
        <w:rPr>
          <w:rFonts w:eastAsia="仿宋" w:cs="仿宋" w:hint="eastAsia"/>
          <w:sz w:val="32"/>
          <w:szCs w:val="32"/>
        </w:rPr>
        <w:t>自</w:t>
      </w:r>
      <w:r>
        <w:rPr>
          <w:rFonts w:eastAsia="仿宋" w:hint="eastAsia"/>
          <w:sz w:val="32"/>
          <w:szCs w:val="32"/>
        </w:rPr>
        <w:t>2024年6月21日以来，景区</w:t>
      </w:r>
      <w:proofErr w:type="gramStart"/>
      <w:r>
        <w:rPr>
          <w:rFonts w:eastAsia="仿宋" w:hint="eastAsia"/>
          <w:sz w:val="32"/>
          <w:szCs w:val="32"/>
        </w:rPr>
        <w:t>野生莲因管理体制</w:t>
      </w:r>
      <w:proofErr w:type="gramEnd"/>
      <w:r>
        <w:rPr>
          <w:rFonts w:eastAsia="仿宋" w:hint="eastAsia"/>
          <w:sz w:val="32"/>
          <w:szCs w:val="32"/>
        </w:rPr>
        <w:t>、自然灾害、有害生物等主客观原因影响，致使荷花在区域分布、群体密度、品质等方面急剧下降，野生荷花生长面积不足原本6000亩的10%，</w:t>
      </w:r>
      <w:r>
        <w:rPr>
          <w:rFonts w:eastAsia="仿宋" w:cs="仿宋" w:hint="eastAsia"/>
          <w:sz w:val="32"/>
          <w:szCs w:val="32"/>
        </w:rPr>
        <w:t>面对此次经营困境，景区管委会积极开展生产自救：</w:t>
      </w:r>
      <w:r>
        <w:rPr>
          <w:rFonts w:eastAsia="仿宋" w:cs="仿宋" w:hint="eastAsia"/>
          <w:b/>
          <w:bCs/>
          <w:sz w:val="32"/>
          <w:szCs w:val="32"/>
        </w:rPr>
        <w:t>一是成立生产自救小组，</w:t>
      </w:r>
      <w:r>
        <w:rPr>
          <w:rFonts w:eastAsia="仿宋" w:cs="仿宋" w:hint="eastAsia"/>
          <w:sz w:val="32"/>
          <w:szCs w:val="32"/>
        </w:rPr>
        <w:t>积极对接相关部门，开展大湖排水、清杂等恢复生产工作，</w:t>
      </w:r>
      <w:proofErr w:type="gramStart"/>
      <w:r>
        <w:rPr>
          <w:rFonts w:eastAsia="仿宋" w:cs="仿宋" w:hint="eastAsia"/>
          <w:sz w:val="32"/>
          <w:szCs w:val="32"/>
        </w:rPr>
        <w:t>确保团湖水</w:t>
      </w:r>
      <w:proofErr w:type="gramEnd"/>
      <w:r>
        <w:rPr>
          <w:rFonts w:eastAsia="仿宋" w:cs="仿宋" w:hint="eastAsia"/>
          <w:sz w:val="32"/>
          <w:szCs w:val="32"/>
        </w:rPr>
        <w:t>位保持在28.4米左右，满足野生荷花再次萌发适宜水位。</w:t>
      </w:r>
      <w:r>
        <w:rPr>
          <w:rFonts w:eastAsia="仿宋" w:cs="仿宋" w:hint="eastAsia"/>
          <w:b/>
          <w:bCs/>
          <w:sz w:val="32"/>
          <w:szCs w:val="32"/>
        </w:rPr>
        <w:t>二是紧盯大湖生物种群。</w:t>
      </w:r>
      <w:r>
        <w:rPr>
          <w:rFonts w:eastAsia="仿宋" w:cs="仿宋" w:hint="eastAsia"/>
          <w:sz w:val="32"/>
          <w:szCs w:val="32"/>
        </w:rPr>
        <w:t>通过下放“地笼”，计算观测区域龙虾密度，采取有效措施控制龙虾数量,防止野生荷花发生次生生物危害。</w:t>
      </w:r>
      <w:r>
        <w:rPr>
          <w:rFonts w:eastAsia="仿宋" w:cs="仿宋" w:hint="eastAsia"/>
          <w:b/>
          <w:bCs/>
          <w:sz w:val="32"/>
          <w:szCs w:val="32"/>
        </w:rPr>
        <w:t>三是开展游湖接待。</w:t>
      </w:r>
      <w:proofErr w:type="gramStart"/>
      <w:r>
        <w:rPr>
          <w:rFonts w:eastAsia="仿宋" w:cs="仿宋" w:hint="eastAsia"/>
          <w:sz w:val="32"/>
          <w:szCs w:val="32"/>
        </w:rPr>
        <w:t>依托团湖自身</w:t>
      </w:r>
      <w:proofErr w:type="gramEnd"/>
      <w:r>
        <w:rPr>
          <w:rFonts w:eastAsia="仿宋" w:cs="仿宋" w:hint="eastAsia"/>
          <w:sz w:val="32"/>
          <w:szCs w:val="32"/>
        </w:rPr>
        <w:t>湿地季节候鸟资源和部分未淹野生荷花，采用免门票只收取船票等方式，开园迎客，共计接待游客4500余人次。</w:t>
      </w:r>
    </w:p>
    <w:p w:rsidR="0031598D" w:rsidRDefault="0031598D" w:rsidP="0031598D">
      <w:pPr>
        <w:ind w:firstLine="642"/>
        <w:rPr>
          <w:rFonts w:eastAsia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（二）招商引资有所突破。</w:t>
      </w:r>
      <w:r>
        <w:rPr>
          <w:rFonts w:eastAsia="仿宋" w:cs="仿宋" w:hint="eastAsia"/>
          <w:sz w:val="32"/>
          <w:szCs w:val="32"/>
        </w:rPr>
        <w:t>2024年9月，管委会与光阴文</w:t>
      </w:r>
      <w:proofErr w:type="gramStart"/>
      <w:r>
        <w:rPr>
          <w:rFonts w:eastAsia="仿宋" w:cs="仿宋" w:hint="eastAsia"/>
          <w:sz w:val="32"/>
          <w:szCs w:val="32"/>
        </w:rPr>
        <w:t>旅产业</w:t>
      </w:r>
      <w:proofErr w:type="gramEnd"/>
      <w:r>
        <w:rPr>
          <w:rFonts w:eastAsia="仿宋" w:cs="仿宋" w:hint="eastAsia"/>
          <w:sz w:val="32"/>
          <w:szCs w:val="32"/>
        </w:rPr>
        <w:t>发展（广东）有限公司</w:t>
      </w:r>
      <w:proofErr w:type="gramStart"/>
      <w:r>
        <w:rPr>
          <w:rFonts w:eastAsia="仿宋" w:cs="仿宋" w:hint="eastAsia"/>
          <w:sz w:val="32"/>
          <w:szCs w:val="32"/>
        </w:rPr>
        <w:t>签定</w:t>
      </w:r>
      <w:proofErr w:type="gramEnd"/>
      <w:r>
        <w:rPr>
          <w:rFonts w:eastAsia="仿宋" w:cs="仿宋" w:hint="eastAsia"/>
          <w:sz w:val="32"/>
          <w:szCs w:val="32"/>
        </w:rPr>
        <w:t>了《君山区团湖滨水文旅项目合作协议》，拟投资1871.4万元</w:t>
      </w:r>
      <w:proofErr w:type="gramStart"/>
      <w:r>
        <w:rPr>
          <w:rFonts w:eastAsia="仿宋" w:cs="仿宋" w:hint="eastAsia"/>
          <w:sz w:val="32"/>
          <w:szCs w:val="32"/>
        </w:rPr>
        <w:t>开发团湖水上运动</w:t>
      </w:r>
      <w:proofErr w:type="gramEnd"/>
      <w:r>
        <w:rPr>
          <w:rFonts w:eastAsia="仿宋" w:cs="仿宋" w:hint="eastAsia"/>
          <w:sz w:val="32"/>
          <w:szCs w:val="32"/>
        </w:rPr>
        <w:t>和滨水旅游项目。</w:t>
      </w:r>
    </w:p>
    <w:p w:rsidR="0031598D" w:rsidRDefault="0031598D" w:rsidP="0031598D">
      <w:pPr>
        <w:spacing w:line="580" w:lineRule="exact"/>
        <w:ind w:firstLineChars="200" w:firstLine="643"/>
        <w:rPr>
          <w:rFonts w:eastAsia="仿宋" w:cs="仿宋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（三）廉政教育亮品牌。</w:t>
      </w:r>
      <w:r>
        <w:rPr>
          <w:rFonts w:eastAsia="仿宋" w:cs="仿宋" w:hint="eastAsia"/>
          <w:sz w:val="32"/>
          <w:szCs w:val="32"/>
        </w:rPr>
        <w:t>2024年，管委会按照区委、区纪委提出的要求，充分发挥景区</w:t>
      </w:r>
      <w:proofErr w:type="gramStart"/>
      <w:r>
        <w:rPr>
          <w:rFonts w:eastAsia="仿宋" w:cs="仿宋" w:hint="eastAsia"/>
          <w:sz w:val="32"/>
          <w:szCs w:val="32"/>
        </w:rPr>
        <w:t>廉洁文化园教育</w:t>
      </w:r>
      <w:proofErr w:type="gramEnd"/>
      <w:r>
        <w:rPr>
          <w:rFonts w:eastAsia="仿宋" w:cs="仿宋" w:hint="eastAsia"/>
          <w:sz w:val="32"/>
          <w:szCs w:val="32"/>
        </w:rPr>
        <w:t>阵地作用，把廉洁文化教育作为推进全面从严治党的重要抓手，将</w:t>
      </w:r>
      <w:proofErr w:type="gramStart"/>
      <w:r>
        <w:rPr>
          <w:rFonts w:eastAsia="仿宋" w:cs="仿宋" w:hint="eastAsia"/>
          <w:sz w:val="32"/>
          <w:szCs w:val="32"/>
        </w:rPr>
        <w:t>廉洁文化</w:t>
      </w:r>
      <w:proofErr w:type="gramEnd"/>
      <w:r>
        <w:rPr>
          <w:rFonts w:eastAsia="仿宋" w:cs="仿宋" w:hint="eastAsia"/>
          <w:sz w:val="32"/>
          <w:szCs w:val="32"/>
        </w:rPr>
        <w:t>建设融入贯彻习近平新时代中国特色社会主义思想主题教育学习中，认真做好</w:t>
      </w:r>
      <w:r>
        <w:rPr>
          <w:rFonts w:eastAsia="仿宋" w:hint="eastAsia"/>
          <w:sz w:val="32"/>
          <w:szCs w:val="32"/>
        </w:rPr>
        <w:t>各级党政机关、企事业单位</w:t>
      </w:r>
      <w:r>
        <w:rPr>
          <w:rFonts w:eastAsia="仿宋" w:cs="仿宋" w:hint="eastAsia"/>
          <w:sz w:val="32"/>
          <w:szCs w:val="32"/>
        </w:rPr>
        <w:t>党员干部党性教育、廉政教育等参观学习活动的接待工作，共计接待学习活动90余场次，2000多人次，擦亮了君山</w:t>
      </w:r>
      <w:proofErr w:type="gramStart"/>
      <w:r>
        <w:rPr>
          <w:rFonts w:eastAsia="仿宋" w:cs="仿宋" w:hint="eastAsia"/>
          <w:sz w:val="32"/>
          <w:szCs w:val="32"/>
        </w:rPr>
        <w:t>廉洁文化</w:t>
      </w:r>
      <w:proofErr w:type="gramEnd"/>
      <w:r>
        <w:rPr>
          <w:rFonts w:eastAsia="仿宋" w:cs="仿宋" w:hint="eastAsia"/>
          <w:sz w:val="32"/>
          <w:szCs w:val="32"/>
        </w:rPr>
        <w:t>园品牌。</w:t>
      </w:r>
    </w:p>
    <w:p w:rsidR="0031598D" w:rsidRDefault="0031598D" w:rsidP="0031598D">
      <w:pPr>
        <w:ind w:firstLine="660"/>
        <w:rPr>
          <w:rFonts w:eastAsia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（四）强化基础守底线。</w:t>
      </w:r>
      <w:r>
        <w:rPr>
          <w:rFonts w:eastAsia="仿宋" w:cs="仿宋" w:hint="eastAsia"/>
          <w:sz w:val="32"/>
          <w:szCs w:val="32"/>
        </w:rPr>
        <w:t>2024年，管委会将Ａ级景区迎检复核工作列入党组中心工作，</w:t>
      </w:r>
      <w:r>
        <w:rPr>
          <w:rFonts w:eastAsia="仿宋" w:hint="eastAsia"/>
          <w:sz w:val="32"/>
          <w:szCs w:val="32"/>
        </w:rPr>
        <w:t>成立君山野生荷花世界景区整改复核工作领导小组，</w:t>
      </w:r>
      <w:r>
        <w:rPr>
          <w:rFonts w:eastAsia="仿宋" w:cs="仿宋" w:hint="eastAsia"/>
          <w:sz w:val="32"/>
          <w:szCs w:val="32"/>
        </w:rPr>
        <w:t>认真</w:t>
      </w:r>
      <w:r>
        <w:rPr>
          <w:rFonts w:eastAsia="仿宋" w:hint="eastAsia"/>
          <w:sz w:val="32"/>
          <w:szCs w:val="32"/>
        </w:rPr>
        <w:t>对照《旅游景区质量等级的划分与评定》国家标准及其细则</w:t>
      </w:r>
      <w:r>
        <w:rPr>
          <w:rFonts w:eastAsia="仿宋" w:cs="仿宋" w:hint="eastAsia"/>
          <w:sz w:val="32"/>
          <w:szCs w:val="32"/>
        </w:rPr>
        <w:t>，开展自查自纠，扎实做好</w:t>
      </w:r>
      <w:r>
        <w:rPr>
          <w:rFonts w:eastAsia="仿宋"/>
          <w:sz w:val="32"/>
          <w:szCs w:val="32"/>
        </w:rPr>
        <w:t>国家级</w:t>
      </w:r>
      <w:r>
        <w:rPr>
          <w:rFonts w:eastAsia="仿宋" w:hint="eastAsia"/>
          <w:sz w:val="32"/>
          <w:szCs w:val="32"/>
        </w:rPr>
        <w:t>、省级及市级A景区复核检查工作，牢牢守住国家4Ａ旅游景区这一底牌。</w:t>
      </w:r>
    </w:p>
    <w:p w:rsidR="0031598D" w:rsidRDefault="0031598D" w:rsidP="0031598D">
      <w:pPr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（五）党建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引领强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>队伍。</w:t>
      </w:r>
      <w:r>
        <w:rPr>
          <w:rFonts w:eastAsia="仿宋" w:cs="仿宋" w:hint="eastAsia"/>
          <w:sz w:val="32"/>
          <w:szCs w:val="32"/>
        </w:rPr>
        <w:t>2024年，管委会坚持和加强党的全面领导，</w:t>
      </w:r>
      <w:r>
        <w:rPr>
          <w:rFonts w:eastAsia="仿宋" w:cs="仿宋" w:hint="eastAsia"/>
          <w:b/>
          <w:bCs/>
          <w:sz w:val="32"/>
          <w:szCs w:val="32"/>
        </w:rPr>
        <w:t>一是</w:t>
      </w:r>
      <w:r>
        <w:rPr>
          <w:rFonts w:eastAsia="仿宋" w:cs="仿宋" w:hint="eastAsia"/>
          <w:sz w:val="32"/>
          <w:szCs w:val="32"/>
        </w:rPr>
        <w:t>将党建工作作为第一政治任务，强化担当作为，不断推进党的基层组织体系建设，巩固基层战斗堡垒，组织召开党建专题会议3次，全园党员大会4次；</w:t>
      </w:r>
      <w:r>
        <w:rPr>
          <w:rFonts w:eastAsia="仿宋" w:cs="仿宋" w:hint="eastAsia"/>
          <w:b/>
          <w:bCs/>
          <w:sz w:val="32"/>
          <w:szCs w:val="32"/>
        </w:rPr>
        <w:t>二是</w:t>
      </w:r>
      <w:r>
        <w:rPr>
          <w:rFonts w:eastAsia="仿宋" w:cs="仿宋" w:hint="eastAsia"/>
          <w:sz w:val="32"/>
          <w:szCs w:val="32"/>
        </w:rPr>
        <w:t>把政治建设、对党忠诚摆在首要位置，持续加强领导班子建设、</w:t>
      </w:r>
      <w:r>
        <w:rPr>
          <w:rFonts w:eastAsia="仿宋" w:cs="仿宋" w:hint="eastAsia"/>
          <w:sz w:val="32"/>
          <w:szCs w:val="32"/>
        </w:rPr>
        <w:lastRenderedPageBreak/>
        <w:t>履职能力建设、党风廉政建设，坚持从</w:t>
      </w:r>
      <w:proofErr w:type="gramStart"/>
      <w:r>
        <w:rPr>
          <w:rFonts w:eastAsia="仿宋" w:cs="仿宋" w:hint="eastAsia"/>
          <w:sz w:val="32"/>
          <w:szCs w:val="32"/>
        </w:rPr>
        <w:t>严管党治景不</w:t>
      </w:r>
      <w:proofErr w:type="gramEnd"/>
      <w:r>
        <w:rPr>
          <w:rFonts w:eastAsia="仿宋" w:cs="仿宋" w:hint="eastAsia"/>
          <w:sz w:val="32"/>
          <w:szCs w:val="32"/>
        </w:rPr>
        <w:t>松懈，严格落实中央、省市区各项政策规定，确保队伍忠诚干净担当；</w:t>
      </w:r>
      <w:r>
        <w:rPr>
          <w:rFonts w:eastAsia="仿宋" w:cs="仿宋" w:hint="eastAsia"/>
          <w:b/>
          <w:bCs/>
          <w:sz w:val="32"/>
          <w:szCs w:val="32"/>
        </w:rPr>
        <w:t>三是</w:t>
      </w:r>
      <w:r>
        <w:rPr>
          <w:rFonts w:eastAsia="仿宋" w:hint="eastAsia"/>
          <w:sz w:val="32"/>
          <w:szCs w:val="32"/>
        </w:rPr>
        <w:t>将意识形态工作纳入管委会党建工作的重要内容，党组班子定期召开研究意识形态工作专题会议，及时处理思想苗头性问题，强化安全意识，化解安全隐患，并做好保密工作。</w:t>
      </w:r>
    </w:p>
    <w:p w:rsidR="0031598D" w:rsidRDefault="0031598D" w:rsidP="0031598D">
      <w:pPr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eastAsia="仿宋" w:cs="仿宋" w:hint="eastAsia"/>
          <w:b/>
          <w:sz w:val="32"/>
          <w:szCs w:val="32"/>
        </w:rPr>
        <w:t xml:space="preserve">　　</w:t>
      </w:r>
      <w:r>
        <w:rPr>
          <w:rFonts w:ascii="楷体" w:eastAsia="楷体" w:hAnsi="楷体" w:cs="楷体" w:hint="eastAsia"/>
          <w:b/>
          <w:sz w:val="32"/>
          <w:szCs w:val="32"/>
        </w:rPr>
        <w:t>（六）统筹兼顾联点帮扶。</w:t>
      </w:r>
      <w:r>
        <w:rPr>
          <w:rFonts w:eastAsia="仿宋" w:hint="eastAsia"/>
          <w:sz w:val="32"/>
          <w:szCs w:val="32"/>
        </w:rPr>
        <w:t>管委会将联点工作纳入重要议事日程，认真按照上级部门的要求，在主要负责人亲自抓的前提下，明确一名班子成员具体负责，机关干部都有负责帮扶走访对象，切实加强了</w:t>
      </w:r>
      <w:proofErr w:type="gramStart"/>
      <w:r>
        <w:rPr>
          <w:rFonts w:eastAsia="仿宋" w:hint="eastAsia"/>
          <w:sz w:val="32"/>
          <w:szCs w:val="32"/>
        </w:rPr>
        <w:t>广兴洲镇</w:t>
      </w:r>
      <w:proofErr w:type="gramEnd"/>
      <w:r>
        <w:rPr>
          <w:rFonts w:eastAsia="仿宋" w:hint="eastAsia"/>
          <w:sz w:val="32"/>
          <w:szCs w:val="32"/>
        </w:rPr>
        <w:t>六支渠村23户脱贫户的返贫走访工作，实现了帮扶对象全覆盖。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E2886" w:rsidRDefault="0031598D" w:rsidP="007D1F10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EE2886" w:rsidRDefault="0031598D">
      <w:pPr>
        <w:pStyle w:val="a6"/>
        <w:spacing w:line="560" w:lineRule="exact"/>
        <w:ind w:firstLineChars="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人员专业性不够。预算绩效管理涉及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各方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，由于专业性强，绩效目标细化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量化不足以反映项目实绩，须加强人员的培训。</w:t>
      </w:r>
    </w:p>
    <w:p w:rsidR="00EE2886" w:rsidRDefault="0031598D">
      <w:pPr>
        <w:widowControl/>
        <w:numPr>
          <w:ilvl w:val="0"/>
          <w:numId w:val="7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下一步改进措施</w:t>
      </w:r>
    </w:p>
    <w:p w:rsidR="00EE2886" w:rsidRDefault="0031598D">
      <w:pPr>
        <w:pStyle w:val="BodyText"/>
        <w:ind w:firstLine="640"/>
      </w:pPr>
      <w:r>
        <w:rPr>
          <w:rFonts w:hint="eastAsia"/>
          <w:lang w:val="en-US"/>
        </w:rPr>
        <w:t>1、</w:t>
      </w:r>
      <w:r>
        <w:t>细化预算编制工作，认真做好预算的编制。进一步加强单位内部的预算管理意识，严格按照预算编制的相关制度和要求进行预算编制；提高人员的业务素质与参与度。</w:t>
      </w:r>
    </w:p>
    <w:p w:rsidR="00EE2886" w:rsidRDefault="0031598D">
      <w:pPr>
        <w:pStyle w:val="BodyText"/>
        <w:ind w:firstLine="640"/>
        <w:rPr>
          <w:rFonts w:ascii="Times New Roman" w:hAnsi="Times New Roman"/>
          <w:lang w:val="en-US" w:bidi="ar-SA"/>
        </w:rPr>
      </w:pPr>
      <w:r>
        <w:rPr>
          <w:rFonts w:hint="eastAsia"/>
          <w:lang w:val="en-US"/>
        </w:rPr>
        <w:t>2、</w:t>
      </w:r>
      <w:r>
        <w:t>完善内部控制体系建设。针对评价过程中发现的问题和相关财经法律法规的变化，对相关制度、措施和程序进行调整、改进内部控制管理办法。对相关人员加强培训，规</w:t>
      </w:r>
      <w:r>
        <w:lastRenderedPageBreak/>
        <w:t>范部门预算收支核算，切实提高部门预算收支管理水平。</w:t>
      </w:r>
    </w:p>
    <w:p w:rsidR="00EE2886" w:rsidRDefault="0031598D">
      <w:pPr>
        <w:widowControl/>
        <w:numPr>
          <w:ilvl w:val="0"/>
          <w:numId w:val="7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部门整体支出绩效自评结果拟应用和公开情况</w:t>
      </w:r>
    </w:p>
    <w:p w:rsidR="00EE2886" w:rsidRDefault="0031598D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EE2886" w:rsidRDefault="0031598D">
      <w:pPr>
        <w:widowControl/>
        <w:shd w:val="clear" w:color="auto" w:fill="FFFFFF"/>
        <w:spacing w:line="560" w:lineRule="exact"/>
        <w:ind w:firstLineChars="200" w:firstLine="640"/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EE2886" w:rsidRDefault="0031598D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</w:t>
      </w: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EE2886" w:rsidRDefault="0031598D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 w:hint="eastAsia"/>
          <w:sz w:val="32"/>
          <w:szCs w:val="32"/>
        </w:rPr>
        <w:br w:type="page"/>
      </w:r>
    </w:p>
    <w:p w:rsidR="00EE2886" w:rsidRDefault="0031598D" w:rsidP="007D1F10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EE2886" w:rsidRDefault="0031598D" w:rsidP="007D1F10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EE2886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EE2886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9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100%　</w:t>
            </w:r>
          </w:p>
        </w:tc>
      </w:tr>
      <w:tr w:rsidR="00EE2886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E2886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2024年决算数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省级水环境断面迎检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30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246.92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233.61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7.77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1.99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1.99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5.94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1.22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1.22</w:t>
            </w:r>
          </w:p>
        </w:tc>
      </w:tr>
      <w:tr w:rsidR="0031598D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167.15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73.15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73.15</w:t>
            </w:r>
          </w:p>
        </w:tc>
      </w:tr>
      <w:tr w:rsidR="0031598D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 w:rsidP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605.12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439.91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439.91</w:t>
            </w:r>
          </w:p>
        </w:tc>
      </w:tr>
      <w:tr w:rsidR="0031598D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（2024年完工项目）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31598D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159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598D" w:rsidRDefault="0031598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神，严格控制“三公”经费开支，严禁超范围、超标准开支，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精细化管理理念，加强绩效化管理，推进绩效评价结果与预算挂钩，严防资金低效使用，确保财力有效转化为保障力。　　</w:t>
            </w:r>
          </w:p>
        </w:tc>
      </w:tr>
    </w:tbl>
    <w:p w:rsidR="00EE2886" w:rsidRDefault="0031598D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EE2886" w:rsidRDefault="00EE2886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EE2886" w:rsidRDefault="0031598D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EE2886" w:rsidRDefault="0031598D" w:rsidP="007D1F10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2024年度部门整体支出绩效自评表</w:t>
      </w:r>
    </w:p>
    <w:tbl>
      <w:tblPr>
        <w:tblW w:w="10079" w:type="dxa"/>
        <w:jc w:val="center"/>
        <w:tblLayout w:type="fixed"/>
        <w:tblLook w:val="04A0"/>
      </w:tblPr>
      <w:tblGrid>
        <w:gridCol w:w="1080"/>
        <w:gridCol w:w="1080"/>
        <w:gridCol w:w="1034"/>
        <w:gridCol w:w="1449"/>
        <w:gridCol w:w="1395"/>
        <w:gridCol w:w="1335"/>
        <w:gridCol w:w="675"/>
        <w:gridCol w:w="720"/>
        <w:gridCol w:w="1311"/>
      </w:tblGrid>
      <w:tr w:rsidR="00EE2886">
        <w:trPr>
          <w:trHeight w:val="5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野生荷花世界管理委员会</w:t>
            </w:r>
          </w:p>
        </w:tc>
      </w:tr>
      <w:tr w:rsidR="00EE288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EE288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0307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101.84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0307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439.91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0307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426.6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8D7D5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96.97</w:t>
            </w:r>
            <w:r w:rsidR="0031598D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8D7D5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9.7</w:t>
            </w:r>
          </w:p>
        </w:tc>
      </w:tr>
      <w:tr w:rsidR="00EE288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EE288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 w:rsidP="000307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</w:t>
            </w:r>
            <w:r w:rsidR="0003072D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426.4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 w:rsidP="000307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 w:rsidR="0003072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426.6</w:t>
            </w:r>
          </w:p>
        </w:tc>
      </w:tr>
      <w:tr w:rsidR="00EE2886">
        <w:trPr>
          <w:trHeight w:val="23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</w:p>
        </w:tc>
      </w:tr>
      <w:tr w:rsidR="00EE288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E288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  <w:r w:rsidR="0003072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E288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EE288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E2886" w:rsidRDefault="00EE2886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03072D" w:rsidRPr="0003072D" w:rsidRDefault="0003072D" w:rsidP="0003072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03072D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1、团湖水环境治理。</w:t>
            </w:r>
          </w:p>
          <w:p w:rsidR="0003072D" w:rsidRPr="0003072D" w:rsidRDefault="0003072D" w:rsidP="0003072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03072D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2、办好一个节会。</w:t>
            </w:r>
          </w:p>
          <w:p w:rsidR="0003072D" w:rsidRPr="0003072D" w:rsidRDefault="0003072D" w:rsidP="0003072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03072D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3、设施维修维护建设。</w:t>
            </w:r>
          </w:p>
          <w:p w:rsidR="00EE2886" w:rsidRDefault="0003072D" w:rsidP="0003072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03072D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4、提</w:t>
            </w:r>
            <w:proofErr w:type="gramStart"/>
            <w:r w:rsidRPr="0003072D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质改造廉洁文化</w:t>
            </w:r>
            <w:proofErr w:type="gramEnd"/>
            <w:r w:rsidRPr="0003072D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园。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72D" w:rsidRPr="0003072D" w:rsidRDefault="0003072D" w:rsidP="0003072D">
            <w:pPr>
              <w:spacing w:line="580" w:lineRule="exact"/>
              <w:ind w:firstLineChars="200" w:firstLine="400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 w:rsidRPr="0003072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2024年，管委会党组积极面对自然灾害，破解景区发展难题，开展洪涝灾害等生产自救，挽回了部分损失；招商引资有突破，完成《君山区团湖滨水文旅项目合作协议》的</w:t>
            </w:r>
            <w:proofErr w:type="gramStart"/>
            <w:r w:rsidRPr="0003072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签定</w:t>
            </w:r>
            <w:proofErr w:type="gramEnd"/>
            <w:r w:rsidRPr="0003072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；莲·廉文化影响不断加大，擦亮了君山</w:t>
            </w:r>
            <w:proofErr w:type="gramStart"/>
            <w:r w:rsidRPr="0003072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廉洁文化</w:t>
            </w:r>
            <w:proofErr w:type="gramEnd"/>
            <w:r w:rsidRPr="0003072D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园品牌；不断强化基础守底线，牢牢守住国家4Ａ旅游景区这一底牌。</w:t>
            </w:r>
          </w:p>
          <w:p w:rsidR="00EE2886" w:rsidRPr="0003072D" w:rsidRDefault="00EE2886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E288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EE2886" w:rsidRDefault="00EE2886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团湖治理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≥5000亩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5100亩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举办中国（岳阳）野生荷花旅游文化节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景区基础设施提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质改造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≥4处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5处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申报省级示范基地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1个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1个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擦亮廉洁文化教育基地品牌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5000人次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5500人次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团湖治理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合格率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8D7D5D" w:rsidTr="00337008">
        <w:trPr>
          <w:trHeight w:val="29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景区设施、设备维护率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项目申报成功率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廉洁基地利用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lastRenderedPageBreak/>
              <w:t>=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按计划时间完成任务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2024、12、31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2024、12、31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完成任务支出不超过预算批复金额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 w:rsidP="000307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/>
                <w:sz w:val="20"/>
                <w:szCs w:val="20"/>
              </w:rPr>
              <w:t>≤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439.91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426.6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 w:rsidP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园区开园，基地开放，项目落地，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助推君山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经济发展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提升经济措施未到位，下年将加强措施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园区开园，基地开放，项目落地，助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推君山社会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和谐稳定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8D7D5D" w:rsidTr="0033700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园区开园，基地开放，项目落地，维护了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园区原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生态，引导游客保护生态意识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8D7D5D" w:rsidTr="00337008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持续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助推君山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经济发展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8D7D5D" w:rsidTr="00337008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社会公众或服务对象满意度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D5D" w:rsidRDefault="008D7D5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5D" w:rsidRDefault="008D7D5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EE2886">
        <w:trPr>
          <w:trHeight w:val="270"/>
          <w:jc w:val="center"/>
        </w:trPr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 w:rsidP="00C906D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C906D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97.7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886" w:rsidRDefault="0031598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EE2886" w:rsidRDefault="0031598D">
      <w:pPr>
        <w:spacing w:line="360" w:lineRule="auto"/>
        <w:rPr>
          <w:rFonts w:ascii="Times New Roman" w:eastAsia="仿宋_GB2312" w:hAnsi="Times New Roman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:rsidR="00EE2886" w:rsidRDefault="00EE2886">
      <w:pPr>
        <w:spacing w:line="360" w:lineRule="auto"/>
        <w:rPr>
          <w:rFonts w:ascii="Times New Roman" w:eastAsia="仿宋_GB2312" w:hAnsi="Times New Roman"/>
          <w:sz w:val="22"/>
          <w:szCs w:val="22"/>
        </w:rPr>
      </w:pPr>
    </w:p>
    <w:sectPr w:rsidR="00EE2886" w:rsidSect="00EE2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98D" w:rsidRDefault="0031598D" w:rsidP="007D1F10">
      <w:r>
        <w:separator/>
      </w:r>
    </w:p>
  </w:endnote>
  <w:endnote w:type="continuationSeparator" w:id="1">
    <w:p w:rsidR="0031598D" w:rsidRDefault="0031598D" w:rsidP="007D1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方正楷体_GBK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98D" w:rsidRDefault="0031598D" w:rsidP="007D1F10">
      <w:r>
        <w:separator/>
      </w:r>
    </w:p>
  </w:footnote>
  <w:footnote w:type="continuationSeparator" w:id="1">
    <w:p w:rsidR="0031598D" w:rsidRDefault="0031598D" w:rsidP="007D1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E55167"/>
    <w:multiLevelType w:val="singleLevel"/>
    <w:tmpl w:val="A5E55167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38A0CE"/>
    <w:multiLevelType w:val="singleLevel"/>
    <w:tmpl w:val="BF38A0CE"/>
    <w:lvl w:ilvl="0">
      <w:start w:val="1"/>
      <w:numFmt w:val="decimal"/>
      <w:suff w:val="nothing"/>
      <w:lvlText w:val="%1、"/>
      <w:lvlJc w:val="left"/>
    </w:lvl>
  </w:abstractNum>
  <w:abstractNum w:abstractNumId="2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25036FE"/>
    <w:multiLevelType w:val="singleLevel"/>
    <w:tmpl w:val="425036F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2F12838"/>
    <w:multiLevelType w:val="singleLevel"/>
    <w:tmpl w:val="52F12838"/>
    <w:lvl w:ilvl="0">
      <w:start w:val="1"/>
      <w:numFmt w:val="decimal"/>
      <w:suff w:val="nothing"/>
      <w:lvlText w:val="%1、"/>
      <w:lvlJc w:val="left"/>
    </w:lvl>
  </w:abstractNum>
  <w:abstractNum w:abstractNumId="5">
    <w:nsid w:val="7F0490DB"/>
    <w:multiLevelType w:val="singleLevel"/>
    <w:tmpl w:val="7F0490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66692C"/>
    <w:multiLevelType w:val="singleLevel"/>
    <w:tmpl w:val="7F66692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4OWI1YTBjMDVmMmNiM2E1MjU2ZTkzMDY0OTdlNjQifQ=="/>
  </w:docVars>
  <w:rsids>
    <w:rsidRoot w:val="59886344"/>
    <w:rsid w:val="DFEF884A"/>
    <w:rsid w:val="0003072D"/>
    <w:rsid w:val="0031598D"/>
    <w:rsid w:val="0061443A"/>
    <w:rsid w:val="007D1F10"/>
    <w:rsid w:val="008D7D5D"/>
    <w:rsid w:val="00B850A8"/>
    <w:rsid w:val="00C906DE"/>
    <w:rsid w:val="00EE2886"/>
    <w:rsid w:val="00F57038"/>
    <w:rsid w:val="03585F5D"/>
    <w:rsid w:val="0368705F"/>
    <w:rsid w:val="03802AE2"/>
    <w:rsid w:val="03E40645"/>
    <w:rsid w:val="04CE0236"/>
    <w:rsid w:val="05F16DA0"/>
    <w:rsid w:val="067D155B"/>
    <w:rsid w:val="090F1B9E"/>
    <w:rsid w:val="0A2207B4"/>
    <w:rsid w:val="0B00275A"/>
    <w:rsid w:val="0B521208"/>
    <w:rsid w:val="0BD0037E"/>
    <w:rsid w:val="0BD07CC1"/>
    <w:rsid w:val="0D5C4B51"/>
    <w:rsid w:val="0EDA5FD7"/>
    <w:rsid w:val="0F8C6CB2"/>
    <w:rsid w:val="0FC41FA8"/>
    <w:rsid w:val="104073FF"/>
    <w:rsid w:val="109B2A18"/>
    <w:rsid w:val="121E4683"/>
    <w:rsid w:val="13A7116F"/>
    <w:rsid w:val="13DA2702"/>
    <w:rsid w:val="1405311A"/>
    <w:rsid w:val="15023C9F"/>
    <w:rsid w:val="16405DDD"/>
    <w:rsid w:val="172B2124"/>
    <w:rsid w:val="17602EFE"/>
    <w:rsid w:val="18096877"/>
    <w:rsid w:val="185244D9"/>
    <w:rsid w:val="19514982"/>
    <w:rsid w:val="198A7D37"/>
    <w:rsid w:val="1A0A7151"/>
    <w:rsid w:val="1BFE6842"/>
    <w:rsid w:val="1C5D1C7C"/>
    <w:rsid w:val="1CA92FCC"/>
    <w:rsid w:val="1D322C47"/>
    <w:rsid w:val="1DD737EE"/>
    <w:rsid w:val="1E284F2F"/>
    <w:rsid w:val="1ECA401E"/>
    <w:rsid w:val="1FE411A4"/>
    <w:rsid w:val="20717F2A"/>
    <w:rsid w:val="216B6728"/>
    <w:rsid w:val="21B05964"/>
    <w:rsid w:val="24BE2C1C"/>
    <w:rsid w:val="266E2C43"/>
    <w:rsid w:val="27CB7F20"/>
    <w:rsid w:val="280B045C"/>
    <w:rsid w:val="28890124"/>
    <w:rsid w:val="292C7FA1"/>
    <w:rsid w:val="2A450AA9"/>
    <w:rsid w:val="2AD22CCB"/>
    <w:rsid w:val="2B0F3E96"/>
    <w:rsid w:val="2BAA0E41"/>
    <w:rsid w:val="2D410C84"/>
    <w:rsid w:val="2D955755"/>
    <w:rsid w:val="2F2045CC"/>
    <w:rsid w:val="2FE26615"/>
    <w:rsid w:val="311A21F3"/>
    <w:rsid w:val="320B53DF"/>
    <w:rsid w:val="321D3FE2"/>
    <w:rsid w:val="325012EC"/>
    <w:rsid w:val="32673C7A"/>
    <w:rsid w:val="32C548F8"/>
    <w:rsid w:val="34922583"/>
    <w:rsid w:val="38C118F0"/>
    <w:rsid w:val="398C14F0"/>
    <w:rsid w:val="3B23785C"/>
    <w:rsid w:val="3C156456"/>
    <w:rsid w:val="3CF73497"/>
    <w:rsid w:val="3D070645"/>
    <w:rsid w:val="3D8366DF"/>
    <w:rsid w:val="417E2710"/>
    <w:rsid w:val="41FF3B0E"/>
    <w:rsid w:val="42182D4E"/>
    <w:rsid w:val="43B151C2"/>
    <w:rsid w:val="4441183E"/>
    <w:rsid w:val="445265DF"/>
    <w:rsid w:val="458D5615"/>
    <w:rsid w:val="47F62B74"/>
    <w:rsid w:val="4829354E"/>
    <w:rsid w:val="497F0684"/>
    <w:rsid w:val="49A50F0B"/>
    <w:rsid w:val="49B20472"/>
    <w:rsid w:val="49C65963"/>
    <w:rsid w:val="49FF2520"/>
    <w:rsid w:val="4A747320"/>
    <w:rsid w:val="4B9C166F"/>
    <w:rsid w:val="4BC4555C"/>
    <w:rsid w:val="4C115F9A"/>
    <w:rsid w:val="4C404189"/>
    <w:rsid w:val="4D50664E"/>
    <w:rsid w:val="4F7433EE"/>
    <w:rsid w:val="50977DE0"/>
    <w:rsid w:val="532F4F57"/>
    <w:rsid w:val="540612DD"/>
    <w:rsid w:val="562B7AC3"/>
    <w:rsid w:val="56EE3E47"/>
    <w:rsid w:val="59886344"/>
    <w:rsid w:val="59BB0154"/>
    <w:rsid w:val="5A252C10"/>
    <w:rsid w:val="5B6360E6"/>
    <w:rsid w:val="5B950730"/>
    <w:rsid w:val="5C1263A3"/>
    <w:rsid w:val="5C92471D"/>
    <w:rsid w:val="5EE144F9"/>
    <w:rsid w:val="5F031124"/>
    <w:rsid w:val="5F176057"/>
    <w:rsid w:val="5F714517"/>
    <w:rsid w:val="5FB57B8B"/>
    <w:rsid w:val="62D378CB"/>
    <w:rsid w:val="63202106"/>
    <w:rsid w:val="64CF6C8F"/>
    <w:rsid w:val="65E9368C"/>
    <w:rsid w:val="674F6FAE"/>
    <w:rsid w:val="68DD5D2B"/>
    <w:rsid w:val="6B4F2A52"/>
    <w:rsid w:val="6B99345E"/>
    <w:rsid w:val="6C303DC2"/>
    <w:rsid w:val="6CA97D11"/>
    <w:rsid w:val="6E705326"/>
    <w:rsid w:val="6EBC4974"/>
    <w:rsid w:val="70F133F4"/>
    <w:rsid w:val="73102258"/>
    <w:rsid w:val="758D6016"/>
    <w:rsid w:val="767D7DFF"/>
    <w:rsid w:val="7728263E"/>
    <w:rsid w:val="77D42F23"/>
    <w:rsid w:val="79607369"/>
    <w:rsid w:val="7A3D1979"/>
    <w:rsid w:val="7A5614FA"/>
    <w:rsid w:val="7BB06FFF"/>
    <w:rsid w:val="7BDF310F"/>
    <w:rsid w:val="7C693ABC"/>
    <w:rsid w:val="7C9150AE"/>
    <w:rsid w:val="7E4E7DE0"/>
    <w:rsid w:val="7F1475F2"/>
    <w:rsid w:val="7F2A13E6"/>
    <w:rsid w:val="7F343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886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EE2886"/>
    <w:pPr>
      <w:ind w:firstLineChars="200" w:firstLine="420"/>
    </w:pPr>
  </w:style>
  <w:style w:type="paragraph" w:styleId="a4">
    <w:name w:val="Body Text"/>
    <w:basedOn w:val="a"/>
    <w:semiHidden/>
    <w:qFormat/>
    <w:rsid w:val="00EE2886"/>
    <w:rPr>
      <w:rFonts w:eastAsia="仿宋" w:cs="仿宋"/>
      <w:sz w:val="31"/>
      <w:szCs w:val="31"/>
      <w:lang w:eastAsia="en-US"/>
    </w:rPr>
  </w:style>
  <w:style w:type="paragraph" w:styleId="a5">
    <w:name w:val="Normal (Web)"/>
    <w:basedOn w:val="a"/>
    <w:qFormat/>
    <w:rsid w:val="00EE2886"/>
    <w:pPr>
      <w:spacing w:before="100" w:beforeAutospacing="1" w:after="100" w:afterAutospacing="1"/>
      <w:jc w:val="left"/>
    </w:pPr>
    <w:rPr>
      <w:sz w:val="24"/>
    </w:rPr>
  </w:style>
  <w:style w:type="paragraph" w:customStyle="1" w:styleId="BodyText">
    <w:name w:val="BodyText"/>
    <w:basedOn w:val="a"/>
    <w:next w:val="BodyText1I"/>
    <w:qFormat/>
    <w:rsid w:val="00EE2886"/>
    <w:pPr>
      <w:textAlignment w:val="baseline"/>
    </w:pPr>
    <w:rPr>
      <w:rFonts w:ascii="仿宋_GB2312" w:eastAsia="仿宋_GB2312" w:hAnsi="仿宋_GB2312"/>
      <w:sz w:val="32"/>
      <w:szCs w:val="32"/>
      <w:lang w:val="zh-CN" w:bidi="zh-CN"/>
    </w:rPr>
  </w:style>
  <w:style w:type="paragraph" w:customStyle="1" w:styleId="BodyText1I">
    <w:name w:val="BodyText1I"/>
    <w:basedOn w:val="BodyText"/>
    <w:qFormat/>
    <w:rsid w:val="00EE2886"/>
    <w:pPr>
      <w:ind w:firstLineChars="100" w:firstLine="420"/>
    </w:pPr>
    <w:rPr>
      <w:rFonts w:cs="宋体"/>
    </w:rPr>
  </w:style>
  <w:style w:type="paragraph" w:customStyle="1" w:styleId="1">
    <w:name w:val="列出段落1"/>
    <w:basedOn w:val="a"/>
    <w:uiPriority w:val="34"/>
    <w:qFormat/>
    <w:rsid w:val="00EE2886"/>
    <w:pPr>
      <w:ind w:firstLineChars="200" w:firstLine="420"/>
    </w:pPr>
  </w:style>
  <w:style w:type="paragraph" w:styleId="a6">
    <w:name w:val="List Paragraph"/>
    <w:basedOn w:val="a"/>
    <w:uiPriority w:val="99"/>
    <w:qFormat/>
    <w:rsid w:val="00EE2886"/>
    <w:pPr>
      <w:ind w:firstLineChars="200" w:firstLine="420"/>
    </w:pPr>
    <w:rPr>
      <w:rFonts w:ascii="Calibri" w:hAnsi="Calibri"/>
      <w:szCs w:val="22"/>
    </w:rPr>
  </w:style>
  <w:style w:type="paragraph" w:styleId="a7">
    <w:name w:val="header"/>
    <w:basedOn w:val="a"/>
    <w:link w:val="Char"/>
    <w:rsid w:val="007D1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D1F10"/>
    <w:rPr>
      <w:rFonts w:ascii="仿宋" w:eastAsia="宋体" w:hAnsi="仿宋" w:cs="Times New Roman"/>
      <w:sz w:val="18"/>
      <w:szCs w:val="18"/>
    </w:rPr>
  </w:style>
  <w:style w:type="paragraph" w:styleId="a8">
    <w:name w:val="footer"/>
    <w:basedOn w:val="a"/>
    <w:link w:val="Char0"/>
    <w:rsid w:val="007D1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D1F10"/>
    <w:rPr>
      <w:rFonts w:ascii="仿宋" w:eastAsia="宋体" w:hAnsi="仿宋" w:cs="Times New Roman"/>
      <w:sz w:val="18"/>
      <w:szCs w:val="18"/>
    </w:rPr>
  </w:style>
  <w:style w:type="paragraph" w:styleId="a9">
    <w:name w:val="Balloon Text"/>
    <w:basedOn w:val="a"/>
    <w:link w:val="Char1"/>
    <w:rsid w:val="0031598D"/>
    <w:rPr>
      <w:sz w:val="18"/>
      <w:szCs w:val="18"/>
    </w:rPr>
  </w:style>
  <w:style w:type="character" w:customStyle="1" w:styleId="Char1">
    <w:name w:val="批注框文本 Char"/>
    <w:basedOn w:val="a0"/>
    <w:link w:val="a9"/>
    <w:rsid w:val="0031598D"/>
    <w:rPr>
      <w:rFonts w:ascii="仿宋" w:eastAsia="宋体" w:hAnsi="仿宋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jsczpx02</cp:lastModifiedBy>
  <cp:revision>5</cp:revision>
  <dcterms:created xsi:type="dcterms:W3CDTF">2024-03-18T08:36:00Z</dcterms:created>
  <dcterms:modified xsi:type="dcterms:W3CDTF">2025-05-13T08:12:00Z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12C804FB5DC74582993175EDEB038DA2_13</vt:lpwstr>
  </property>
</Properties>
</file>