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eastAsia" w:eastAsia="仿宋_GB2312"/>
          <w:sz w:val="32"/>
          <w:szCs w:val="32"/>
        </w:rPr>
      </w:pPr>
      <w:r>
        <w:rPr>
          <w:rFonts w:hint="eastAsia" w:eastAsia="仿宋_GB2312"/>
          <w:sz w:val="32"/>
          <w:szCs w:val="32"/>
        </w:rPr>
        <w:t>部门(单位)名称：</w:t>
      </w:r>
      <w:r>
        <w:rPr>
          <w:rFonts w:hint="eastAsia" w:eastAsia="仿宋_GB2312"/>
          <w:sz w:val="32"/>
          <w:szCs w:val="32"/>
          <w:lang w:val="en-US" w:eastAsia="zh-CN"/>
        </w:rPr>
        <w:t>共青团君山区委员会</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预 算 编 码：</w:t>
      </w:r>
      <w:r>
        <w:rPr>
          <w:rFonts w:hint="eastAsia" w:eastAsia="仿宋_GB2312"/>
          <w:sz w:val="32"/>
          <w:szCs w:val="32"/>
          <w:lang w:val="en-US" w:eastAsia="zh-CN"/>
        </w:rPr>
        <w:t>123</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27</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熊永昇</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18684784287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认真研究和把握新形势下青年工作的规律，积极探索组织、引导、服务、联系青年的新途径，充分发挥了共青团作为党的助手和后备军、党联系青年群众的桥梁纽带作用。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29"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：“青年大学习”工作</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任务2：强化组织力、执行力</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任务3：开展常规活动</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任务4：加强网络宣传工作建设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任务5：组织各类志愿服务活动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25"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24"/>
                <w:lang w:val="en-US" w:eastAsia="zh-CN"/>
              </w:rPr>
              <w:t>2022年，团区委积极发挥“组织、引导、联系、服务”青年的职能作用，着眼于新形势下青少年工作的特点，坚持思想政治引领，坚持围绕中心、服务大局，坚持以青年为中心，坚持从严治团，创新工作形式，不断深化团的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50.94</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50.94</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50.94</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50.94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29.67</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50.94</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50.94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21.27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29.67</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0.8</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0.8</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0.8</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6"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rPr>
            </w:pPr>
            <w:r>
              <w:rPr>
                <w:rFonts w:hint="eastAsia"/>
              </w:rPr>
              <w:t>目标1</w:t>
            </w:r>
            <w:r>
              <w:rPr>
                <w:rFonts w:hint="eastAsia"/>
                <w:lang w:val="en-US" w:eastAsia="zh-CN"/>
              </w:rPr>
              <w:t>:</w:t>
            </w:r>
            <w:r>
              <w:rPr>
                <w:rFonts w:hint="eastAsia"/>
              </w:rPr>
              <w:t>深化“青年大学习”行动</w:t>
            </w:r>
          </w:p>
          <w:p>
            <w:pPr>
              <w:pStyle w:val="4"/>
              <w:ind w:left="0" w:leftChars="0" w:firstLine="0" w:firstLineChars="0"/>
              <w:rPr>
                <w:rFonts w:hint="eastAsia" w:ascii="Times New Roman" w:hAnsi="Times New Roman" w:eastAsia="宋体" w:cs="Times New Roman"/>
                <w:kern w:val="2"/>
                <w:sz w:val="21"/>
                <w:szCs w:val="24"/>
                <w:lang w:val="en-US" w:eastAsia="zh-CN"/>
              </w:rPr>
            </w:pPr>
            <w:r>
              <w:rPr>
                <w:rFonts w:hint="eastAsia" w:ascii="Times New Roman" w:hAnsi="Times New Roman" w:eastAsia="宋体" w:cs="Times New Roman"/>
                <w:kern w:val="2"/>
                <w:sz w:val="21"/>
                <w:szCs w:val="24"/>
                <w:lang w:val="en-US" w:eastAsia="zh-CN"/>
              </w:rPr>
              <w:t>目标2:开展各类理想信念教育活动</w:t>
            </w:r>
          </w:p>
          <w:p>
            <w:pPr>
              <w:pStyle w:val="4"/>
              <w:ind w:left="0" w:leftChars="0" w:firstLine="0" w:firstLineChars="0"/>
              <w:rPr>
                <w:rFonts w:hint="eastAsia" w:ascii="Times New Roman" w:hAnsi="Times New Roman" w:eastAsia="宋体" w:cs="Times New Roman"/>
                <w:kern w:val="2"/>
                <w:sz w:val="21"/>
                <w:szCs w:val="24"/>
                <w:lang w:val="en-US" w:eastAsia="zh-CN"/>
              </w:rPr>
            </w:pPr>
            <w:r>
              <w:rPr>
                <w:rFonts w:hint="eastAsia" w:ascii="Times New Roman" w:hAnsi="Times New Roman" w:eastAsia="宋体" w:cs="Times New Roman"/>
                <w:kern w:val="2"/>
                <w:sz w:val="21"/>
                <w:szCs w:val="24"/>
                <w:lang w:val="en-US" w:eastAsia="zh-CN"/>
              </w:rPr>
              <w:t>目标3:推动网络新媒体工作建设。</w:t>
            </w:r>
          </w:p>
          <w:p>
            <w:pPr>
              <w:pStyle w:val="4"/>
              <w:ind w:left="0" w:leftChars="0" w:firstLine="0" w:firstLineChars="0"/>
              <w:rPr>
                <w:rFonts w:hint="default" w:ascii="Times New Roman" w:hAnsi="Times New Roman" w:eastAsia="宋体" w:cs="Times New Roman"/>
                <w:kern w:val="2"/>
                <w:sz w:val="21"/>
                <w:szCs w:val="24"/>
                <w:lang w:val="en-US" w:eastAsia="zh-CN"/>
              </w:rPr>
            </w:pPr>
            <w:r>
              <w:rPr>
                <w:rFonts w:hint="eastAsia" w:ascii="Times New Roman" w:hAnsi="Times New Roman" w:eastAsia="宋体" w:cs="Times New Roman"/>
                <w:kern w:val="2"/>
                <w:sz w:val="21"/>
                <w:szCs w:val="24"/>
                <w:lang w:val="en-US" w:eastAsia="zh-CN"/>
              </w:rPr>
              <w:t>目标4:助力疫情防控</w:t>
            </w:r>
          </w:p>
        </w:tc>
        <w:tc>
          <w:tcPr>
            <w:tcW w:w="4585" w:type="dxa"/>
            <w:gridSpan w:val="9"/>
            <w:noWrap w:val="0"/>
            <w:vAlign w:val="center"/>
          </w:tcPr>
          <w:p>
            <w:pPr>
              <w:numPr>
                <w:ilvl w:val="0"/>
                <w:numId w:val="1"/>
              </w:numPr>
              <w:autoSpaceDN w:val="0"/>
              <w:spacing w:line="320" w:lineRule="exact"/>
              <w:jc w:val="left"/>
              <w:textAlignment w:val="center"/>
              <w:rPr>
                <w:rFonts w:hint="eastAsia"/>
                <w:lang w:val="en-US" w:eastAsia="zh-CN"/>
              </w:rPr>
            </w:pPr>
            <w:r>
              <w:rPr>
                <w:rFonts w:hint="eastAsia"/>
              </w:rPr>
              <w:t>以学习习近平新时代中国特色社会主义思想和党的</w:t>
            </w:r>
            <w:r>
              <w:rPr>
                <w:rFonts w:hint="eastAsia"/>
                <w:lang w:val="en-US" w:eastAsia="zh-CN"/>
              </w:rPr>
              <w:t>二十大</w:t>
            </w:r>
            <w:r>
              <w:rPr>
                <w:rFonts w:hint="eastAsia"/>
              </w:rPr>
              <w:t>精神为主要内容，促推</w:t>
            </w:r>
            <w:r>
              <w:rPr>
                <w:rFonts w:hint="eastAsia"/>
                <w:lang w:val="en-US" w:eastAsia="zh-CN"/>
              </w:rPr>
              <w:t>学习体系同日常工作融合、在基层落地落实。</w:t>
            </w:r>
          </w:p>
          <w:p>
            <w:pPr>
              <w:pStyle w:val="4"/>
              <w:numPr>
                <w:ilvl w:val="0"/>
                <w:numId w:val="1"/>
              </w:numPr>
              <w:ind w:left="0" w:leftChars="0" w:firstLine="0" w:firstLineChars="0"/>
              <w:rPr>
                <w:rFonts w:hint="eastAsia" w:ascii="Times New Roman" w:hAnsi="Times New Roman" w:eastAsia="宋体" w:cs="Times New Roman"/>
                <w:kern w:val="2"/>
                <w:sz w:val="21"/>
                <w:szCs w:val="24"/>
                <w:lang w:val="en-US" w:eastAsia="zh-CN"/>
              </w:rPr>
            </w:pPr>
            <w:r>
              <w:rPr>
                <w:rFonts w:hint="eastAsia" w:ascii="Times New Roman" w:hAnsi="Times New Roman" w:eastAsia="宋体" w:cs="Times New Roman"/>
                <w:kern w:val="2"/>
                <w:sz w:val="21"/>
                <w:szCs w:val="24"/>
                <w:lang w:val="en-US" w:eastAsia="zh-CN"/>
              </w:rPr>
              <w:t>五四期间，组织岳阳市十六中学、君山中学、岳西中学等10所高中、中职、初中团委组织开展“青春心向党 建功新时代”庆祝中国共青团成立100周年暨集中入团仪式年。</w:t>
            </w:r>
          </w:p>
          <w:p>
            <w:pPr>
              <w:pStyle w:val="4"/>
              <w:numPr>
                <w:ilvl w:val="0"/>
                <w:numId w:val="1"/>
              </w:numPr>
              <w:ind w:left="0" w:leftChars="0" w:firstLine="0" w:firstLineChars="0"/>
              <w:rPr>
                <w:rFonts w:hint="default" w:ascii="Times New Roman" w:hAnsi="Times New Roman" w:eastAsia="宋体" w:cs="Times New Roman"/>
                <w:kern w:val="2"/>
                <w:sz w:val="21"/>
                <w:szCs w:val="24"/>
                <w:lang w:val="en-US" w:eastAsia="zh-CN"/>
              </w:rPr>
            </w:pPr>
            <w:r>
              <w:rPr>
                <w:rFonts w:hint="eastAsia" w:ascii="Times New Roman" w:hAnsi="Times New Roman" w:eastAsia="宋体" w:cs="Times New Roman"/>
                <w:kern w:val="2"/>
                <w:sz w:val="21"/>
                <w:szCs w:val="24"/>
                <w:lang w:val="en-US" w:eastAsia="zh-CN"/>
              </w:rPr>
              <w:t>加强“君山共青团”微信公众号、视频号建设。</w:t>
            </w:r>
          </w:p>
          <w:p>
            <w:pPr>
              <w:pStyle w:val="4"/>
              <w:numPr>
                <w:ilvl w:val="0"/>
                <w:numId w:val="1"/>
              </w:numPr>
              <w:ind w:left="0" w:leftChars="0" w:firstLine="0" w:firstLineChars="0"/>
              <w:rPr>
                <w:rFonts w:hint="default" w:ascii="Times New Roman" w:hAnsi="Times New Roman" w:eastAsia="宋体" w:cs="Times New Roman"/>
                <w:kern w:val="2"/>
                <w:sz w:val="21"/>
                <w:szCs w:val="24"/>
                <w:lang w:val="en-US" w:eastAsia="zh-CN"/>
              </w:rPr>
            </w:pPr>
            <w:r>
              <w:rPr>
                <w:rFonts w:hint="eastAsia" w:ascii="Times New Roman" w:hAnsi="Times New Roman" w:eastAsia="宋体" w:cs="Times New Roman"/>
                <w:kern w:val="2"/>
                <w:sz w:val="21"/>
                <w:szCs w:val="24"/>
                <w:lang w:val="en-US" w:eastAsia="zh-CN"/>
              </w:rPr>
              <w:t>号召全区各级基层党组织、工会、共青团、妇联组织凝聚合力，同心抗疫，守护君山，，做好隔离人员心理安抚及疏导工作。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w:t>
            </w:r>
            <w:r>
              <w:rPr>
                <w:rFonts w:hint="eastAsia" w:ascii="仿宋_GB2312" w:hAnsi="仿宋_GB2312" w:eastAsia="仿宋_GB2312" w:cs="仿宋_GB2312"/>
                <w:color w:val="000000"/>
                <w:sz w:val="24"/>
                <w:highlight w:val="none"/>
                <w:lang w:val="en-US" w:eastAsia="zh-CN"/>
              </w:rPr>
              <w:t>推广“青年大学习”主题团课线上学习</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指标2：加强网络新媒体工作建设</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开展学习宣讲</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20余次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指标：开展主题宣讲</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指标：按时间节点完成各项工作计划。</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指标：压缩一般性支出</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指标：开展普法宣传活动</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卓有成效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宋体" w:cs="Times New Roman"/>
                <w:kern w:val="2"/>
                <w:sz w:val="21"/>
                <w:szCs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w:t>
            </w:r>
            <w:r>
              <w:rPr>
                <w:rFonts w:hint="default" w:ascii="仿宋_GB2312" w:hAnsi="仿宋_GB2312" w:eastAsia="仿宋_GB2312" w:cs="仿宋_GB2312"/>
                <w:color w:val="000000"/>
                <w:sz w:val="24"/>
                <w:lang w:val="en-US" w:eastAsia="zh-CN"/>
              </w:rPr>
              <w:t>推进农业特色产业发展</w:t>
            </w:r>
          </w:p>
        </w:tc>
        <w:tc>
          <w:tcPr>
            <w:tcW w:w="2684" w:type="dxa"/>
            <w:gridSpan w:val="6"/>
            <w:noWrap w:val="0"/>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rPr>
            </w:pPr>
            <w:r>
              <w:rPr>
                <w:rFonts w:hint="eastAsia" w:ascii="仿宋_GB2312" w:hAnsi="仿宋_GB2312" w:eastAsia="仿宋_GB2312" w:cs="仿宋_GB2312"/>
                <w:color w:val="000000"/>
                <w:sz w:val="24"/>
                <w:lang w:val="en-US" w:eastAsia="zh-CN"/>
              </w:rPr>
              <w:t>达到目标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仿宋_GB2312" w:cs="Times New Roman"/>
                <w:kern w:val="2"/>
                <w:sz w:val="21"/>
                <w:szCs w:val="24"/>
                <w:highlight w:val="none"/>
                <w:lang w:val="en-US" w:eastAsia="zh-CN"/>
              </w:rPr>
            </w:pPr>
            <w:r>
              <w:rPr>
                <w:rFonts w:hint="eastAsia" w:ascii="仿宋_GB2312" w:hAnsi="仿宋_GB2312" w:eastAsia="仿宋_GB2312" w:cs="仿宋_GB2312"/>
                <w:color w:val="000000"/>
                <w:sz w:val="24"/>
                <w:highlight w:val="none"/>
              </w:rPr>
              <w:t>指标：</w:t>
            </w:r>
            <w:r>
              <w:rPr>
                <w:rFonts w:hint="eastAsia" w:ascii="仿宋_GB2312" w:hAnsi="仿宋_GB2312" w:eastAsia="仿宋_GB2312" w:cs="仿宋_GB2312"/>
                <w:color w:val="000000"/>
                <w:sz w:val="24"/>
                <w:highlight w:val="none"/>
                <w:lang w:eastAsia="zh-CN"/>
              </w:rPr>
              <w:t>加强生态环境宣传</w:t>
            </w:r>
          </w:p>
        </w:tc>
        <w:tc>
          <w:tcPr>
            <w:tcW w:w="2684" w:type="dxa"/>
            <w:gridSpan w:val="6"/>
            <w:noWrap w:val="0"/>
            <w:vAlign w:val="center"/>
          </w:tcPr>
          <w:p>
            <w:pPr>
              <w:autoSpaceDN w:val="0"/>
              <w:spacing w:line="320" w:lineRule="exact"/>
              <w:jc w:val="left"/>
              <w:textAlignment w:val="center"/>
              <w:rPr>
                <w:rFonts w:hint="default" w:ascii="Times New Roman" w:hAnsi="Times New Roman" w:eastAsia="宋体" w:cs="Times New Roman"/>
                <w:kern w:val="2"/>
                <w:sz w:val="21"/>
                <w:szCs w:val="24"/>
                <w:highlight w:val="none"/>
                <w:lang w:val="en-US" w:eastAsia="zh-CN"/>
              </w:rPr>
            </w:pPr>
            <w:r>
              <w:rPr>
                <w:rFonts w:hint="eastAsia" w:ascii="仿宋_GB2312" w:hAnsi="仿宋_GB2312" w:eastAsia="仿宋_GB2312" w:cs="仿宋_GB2312"/>
                <w:color w:val="000000"/>
                <w:sz w:val="24"/>
                <w:highlight w:val="none"/>
                <w:lang w:val="en-US" w:eastAsia="zh-CN"/>
              </w:rPr>
              <w:t>在全区组织了两次环境保护宣传。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指标：民众的满意度95%以上。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民众满 意度达98%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方鑫坦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书记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胡文刚</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副书记</w:t>
            </w:r>
            <w:bookmarkStart w:id="0" w:name="_GoBack"/>
            <w:bookmarkEnd w:id="0"/>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rPr>
      </w:pPr>
      <w:r>
        <w:rPr>
          <w:rFonts w:hint="eastAsia" w:eastAsia="仿宋_GB2312"/>
          <w:sz w:val="24"/>
        </w:rPr>
        <w:t xml:space="preserve">填报人（签名）：        </w:t>
      </w:r>
      <w:r>
        <w:rPr>
          <w:rFonts w:hint="eastAsia" w:eastAsia="仿宋_GB2312"/>
          <w:sz w:val="24"/>
          <w:lang w:val="en-US" w:eastAsia="zh-CN"/>
        </w:rPr>
        <w:t xml:space="preserve">         </w:t>
      </w:r>
      <w:r>
        <w:rPr>
          <w:rFonts w:hint="eastAsia" w:eastAsia="仿宋_GB2312"/>
          <w:sz w:val="24"/>
        </w:rPr>
        <w:t xml:space="preserve">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FEFEFE" w:sz="8" w:space="0"/>
              <w:left w:val="single" w:color="FEFEFE" w:sz="8" w:space="0"/>
              <w:bottom w:val="single" w:color="FEFEFE" w:sz="8" w:space="0"/>
              <w:right w:val="single" w:color="FEFEFE" w:sz="8" w:space="0"/>
            </w:tcBorders>
            <w:shd w:val="clear" w:color="auto" w:fill="FEFEFE"/>
            <w:noWrap w:val="0"/>
            <w:vAlign w:val="top"/>
          </w:tcPr>
          <w:p>
            <w:pPr>
              <w:spacing w:line="580" w:lineRule="exact"/>
              <w:ind w:firstLine="880" w:firstLineChars="200"/>
              <w:jc w:val="center"/>
              <w:rPr>
                <w:rFonts w:hint="eastAsia" w:ascii="黑体" w:hAnsi="黑体" w:eastAsia="黑体" w:cs="仿宋_GB2312"/>
                <w:color w:val="000000"/>
                <w:sz w:val="44"/>
                <w:szCs w:val="44"/>
                <w:lang w:eastAsia="zh-CN"/>
              </w:rPr>
            </w:pPr>
            <w:r>
              <w:rPr>
                <w:rFonts w:hint="eastAsia" w:ascii="黑体" w:hAnsi="黑体" w:eastAsia="黑体" w:cs="仿宋_GB2312"/>
                <w:color w:val="000000"/>
                <w:sz w:val="44"/>
                <w:szCs w:val="44"/>
              </w:rPr>
              <w:t>君山区</w:t>
            </w:r>
            <w:r>
              <w:rPr>
                <w:rFonts w:hint="eastAsia" w:ascii="黑体" w:hAnsi="黑体" w:eastAsia="黑体" w:cs="仿宋_GB2312"/>
                <w:color w:val="000000"/>
                <w:sz w:val="44"/>
                <w:szCs w:val="44"/>
                <w:lang w:eastAsia="zh-CN"/>
              </w:rPr>
              <w:t>共青团</w:t>
            </w:r>
          </w:p>
          <w:p>
            <w:pPr>
              <w:spacing w:line="580" w:lineRule="exact"/>
              <w:ind w:firstLine="880" w:firstLineChars="200"/>
              <w:jc w:val="center"/>
              <w:rPr>
                <w:rFonts w:ascii="黑体" w:hAnsi="黑体" w:eastAsia="黑体" w:cs="仿宋_GB2312"/>
                <w:color w:val="000000"/>
                <w:sz w:val="44"/>
                <w:szCs w:val="44"/>
              </w:rPr>
            </w:pPr>
            <w:r>
              <w:rPr>
                <w:rFonts w:hint="eastAsia" w:ascii="黑体" w:hAnsi="黑体" w:eastAsia="黑体" w:cs="仿宋_GB2312"/>
                <w:color w:val="000000"/>
                <w:sz w:val="44"/>
                <w:szCs w:val="44"/>
              </w:rPr>
              <w:t>2022年度部门</w:t>
            </w:r>
          </w:p>
          <w:p>
            <w:pPr>
              <w:spacing w:line="580" w:lineRule="exact"/>
              <w:ind w:firstLine="880" w:firstLineChars="200"/>
              <w:jc w:val="center"/>
              <w:rPr>
                <w:rFonts w:ascii="黑体" w:hAnsi="黑体" w:eastAsia="黑体" w:cs="仿宋_GB2312"/>
                <w:color w:val="000000"/>
                <w:sz w:val="44"/>
                <w:szCs w:val="44"/>
              </w:rPr>
            </w:pPr>
            <w:r>
              <w:rPr>
                <w:rFonts w:hint="eastAsia" w:ascii="黑体" w:hAnsi="黑体" w:eastAsia="黑体" w:cs="仿宋_GB2312"/>
                <w:color w:val="000000"/>
                <w:sz w:val="44"/>
                <w:szCs w:val="44"/>
              </w:rPr>
              <w:t>整体支出绩效评价报告</w:t>
            </w:r>
          </w:p>
          <w:p>
            <w:pPr>
              <w:spacing w:line="580" w:lineRule="exact"/>
              <w:ind w:firstLine="880" w:firstLineChars="200"/>
              <w:jc w:val="center"/>
              <w:rPr>
                <w:rFonts w:ascii="黑体" w:hAnsi="黑体" w:eastAsia="黑体" w:cs="仿宋_GB2312"/>
                <w:color w:val="000000"/>
                <w:sz w:val="44"/>
                <w:szCs w:val="44"/>
              </w:rPr>
            </w:pPr>
          </w:p>
          <w:p>
            <w:pPr>
              <w:spacing w:line="560" w:lineRule="exact"/>
              <w:ind w:firstLine="640" w:firstLineChars="200"/>
              <w:rPr>
                <w:rFonts w:ascii="仿宋" w:hAnsi="仿宋" w:eastAsia="仿宋" w:cs="仿宋_GB2312"/>
                <w:bCs/>
                <w:color w:val="000000"/>
                <w:sz w:val="32"/>
                <w:szCs w:val="32"/>
              </w:rPr>
            </w:pPr>
            <w:r>
              <w:rPr>
                <w:rFonts w:ascii="仿宋" w:hAnsi="仿宋" w:eastAsia="仿宋" w:cs="仿宋_GB2312"/>
                <w:bCs/>
                <w:color w:val="000000"/>
                <w:sz w:val="32"/>
                <w:szCs w:val="32"/>
              </w:rPr>
              <w:t>根据《君山区财政局关于开展 2022 年度财政支出绩效自评工作的通知》（岳君财发〔2023〕40 号）文件精神，为全面推进部门整体绩效目标的实现，提升财政资金的使用效率，强化预算支出的责任和效率，我单位对 2022 年部门整体支出开展了绩效自评，现将具体情况报告如下：</w:t>
            </w:r>
          </w:p>
          <w:p>
            <w:pPr>
              <w:spacing w:line="5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一、部门（单位）概况</w:t>
            </w:r>
          </w:p>
          <w:p>
            <w:pPr>
              <w:spacing w:line="58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（一）机构设置情况</w:t>
            </w:r>
          </w:p>
          <w:p>
            <w:pPr>
              <w:spacing w:line="560" w:lineRule="exact"/>
              <w:ind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共青团君山区委系区财政全额预算拨款单位。编制部门核实人员编制3人，实有人数为3人，其中机关本级行政编制3人。内设机构</w:t>
            </w:r>
            <w:r>
              <w:rPr>
                <w:rFonts w:hint="eastAsia" w:ascii="仿宋" w:hAnsi="仿宋" w:eastAsia="仿宋" w:cs="仿宋_GB2312"/>
                <w:bCs/>
                <w:color w:val="000000"/>
                <w:sz w:val="32"/>
                <w:szCs w:val="32"/>
                <w:lang w:val="en-US" w:eastAsia="zh-CN"/>
              </w:rPr>
              <w:t>1个，为综合部</w:t>
            </w:r>
            <w:r>
              <w:rPr>
                <w:rFonts w:hint="eastAsia" w:ascii="仿宋" w:hAnsi="仿宋" w:eastAsia="仿宋" w:cs="仿宋_GB2312"/>
                <w:bCs/>
                <w:color w:val="000000"/>
                <w:sz w:val="32"/>
                <w:szCs w:val="32"/>
              </w:rPr>
              <w:t>。</w:t>
            </w:r>
          </w:p>
          <w:p>
            <w:pPr>
              <w:pStyle w:val="2"/>
              <w:numPr>
                <w:ilvl w:val="0"/>
                <w:numId w:val="2"/>
              </w:numPr>
              <w:ind w:left="0" w:leftChars="0" w:firstLine="640" w:firstLineChars="200"/>
              <w:rPr>
                <w:rFonts w:hint="eastAsia" w:ascii="仿宋" w:hAnsi="仿宋" w:eastAsia="仿宋" w:cs="仿宋_GB2312"/>
                <w:sz w:val="32"/>
                <w:szCs w:val="32"/>
              </w:rPr>
            </w:pPr>
            <w:r>
              <w:rPr>
                <w:rFonts w:hint="eastAsia" w:ascii="仿宋" w:hAnsi="仿宋" w:eastAsia="仿宋" w:cs="仿宋_GB2312"/>
                <w:sz w:val="32"/>
                <w:szCs w:val="32"/>
              </w:rPr>
              <w:t>单位主要职能</w:t>
            </w:r>
          </w:p>
          <w:p>
            <w:pPr>
              <w:widowControl/>
              <w:numPr>
                <w:ilvl w:val="0"/>
                <w:numId w:val="3"/>
              </w:numPr>
              <w:spacing w:line="600" w:lineRule="exact"/>
              <w:ind w:firstLine="640" w:firstLineChars="200"/>
              <w:jc w:val="left"/>
              <w:rPr>
                <w:rFonts w:hint="eastAsia" w:eastAsia="仿宋_GB2312" w:cs="仿宋_GB2312"/>
                <w:kern w:val="0"/>
                <w:sz w:val="32"/>
                <w:szCs w:val="32"/>
              </w:rPr>
            </w:pPr>
            <w:r>
              <w:rPr>
                <w:rFonts w:hint="eastAsia" w:eastAsia="仿宋_GB2312" w:cs="仿宋_GB2312"/>
                <w:kern w:val="0"/>
                <w:sz w:val="32"/>
                <w:szCs w:val="32"/>
              </w:rPr>
              <w:t>领导全区共青团、少先队工作，对全区青少年社团组织进行指导和管理；</w:t>
            </w:r>
          </w:p>
          <w:p>
            <w:pPr>
              <w:widowControl/>
              <w:numPr>
                <w:ilvl w:val="0"/>
                <w:numId w:val="3"/>
              </w:numPr>
              <w:spacing w:line="600" w:lineRule="exact"/>
              <w:ind w:left="0" w:leftChars="0" w:firstLine="640" w:firstLineChars="200"/>
              <w:jc w:val="left"/>
              <w:rPr>
                <w:rFonts w:hint="eastAsia" w:eastAsia="仿宋_GB2312" w:cs="仿宋_GB2312"/>
                <w:kern w:val="0"/>
                <w:sz w:val="32"/>
                <w:szCs w:val="32"/>
              </w:rPr>
            </w:pPr>
            <w:r>
              <w:rPr>
                <w:rFonts w:hint="eastAsia" w:eastAsia="仿宋_GB2312" w:cs="仿宋_GB2312"/>
                <w:kern w:val="0"/>
                <w:sz w:val="32"/>
                <w:szCs w:val="32"/>
              </w:rPr>
              <w:t>负责全区团的组织建设；</w:t>
            </w:r>
          </w:p>
          <w:p>
            <w:pPr>
              <w:widowControl/>
              <w:numPr>
                <w:ilvl w:val="0"/>
                <w:numId w:val="3"/>
              </w:numPr>
              <w:spacing w:line="600" w:lineRule="exact"/>
              <w:ind w:left="0" w:leftChars="0" w:firstLine="640" w:firstLineChars="200"/>
              <w:jc w:val="left"/>
              <w:rPr>
                <w:rFonts w:eastAsia="楷体_GB2312"/>
                <w:b/>
                <w:sz w:val="32"/>
                <w:szCs w:val="32"/>
              </w:rPr>
            </w:pPr>
            <w:r>
              <w:rPr>
                <w:rFonts w:eastAsia="仿宋_GB2312" w:cs="仿宋_GB2312"/>
                <w:kern w:val="0"/>
                <w:sz w:val="32"/>
                <w:szCs w:val="32"/>
              </w:rPr>
              <w:t>认真研究和把握新形势下青年工作的规律，积极探索组织、引导、服务、联系青年的新途径，充分发挥共青团作为党的助手和后备军、党联系青年群众的桥梁纽带作用</w:t>
            </w:r>
            <w:r>
              <w:rPr>
                <w:rFonts w:hint="eastAsia" w:eastAsia="仿宋_GB2312" w:cs="仿宋_GB2312"/>
                <w:kern w:val="0"/>
                <w:sz w:val="32"/>
                <w:szCs w:val="32"/>
              </w:rPr>
              <w:t>；</w:t>
            </w:r>
          </w:p>
          <w:p>
            <w:pPr>
              <w:widowControl/>
              <w:numPr>
                <w:ilvl w:val="0"/>
                <w:numId w:val="3"/>
              </w:numPr>
              <w:spacing w:line="600" w:lineRule="exact"/>
              <w:ind w:left="0" w:leftChars="0" w:firstLine="640" w:firstLineChars="200"/>
              <w:jc w:val="left"/>
              <w:rPr>
                <w:rFonts w:eastAsia="楷体_GB2312"/>
                <w:b/>
                <w:sz w:val="32"/>
                <w:szCs w:val="32"/>
              </w:rPr>
            </w:pPr>
            <w:r>
              <w:rPr>
                <w:rFonts w:hint="eastAsia" w:eastAsia="仿宋_GB2312" w:cs="仿宋_GB2312"/>
                <w:kern w:val="0"/>
                <w:sz w:val="32"/>
                <w:szCs w:val="32"/>
              </w:rPr>
              <w:t>完成领导和上级交办的其它事项。</w:t>
            </w:r>
          </w:p>
          <w:p>
            <w:pPr>
              <w:numPr>
                <w:ilvl w:val="0"/>
                <w:numId w:val="4"/>
              </w:numPr>
              <w:spacing w:line="560" w:lineRule="exact"/>
              <w:ind w:firstLine="560" w:firstLineChars="200"/>
              <w:rPr>
                <w:rFonts w:ascii="仿宋" w:hAnsi="仿宋" w:eastAsia="仿宋" w:cs="仿宋_GB2312"/>
                <w:color w:val="000000"/>
                <w:sz w:val="32"/>
                <w:szCs w:val="32"/>
              </w:rPr>
            </w:pPr>
            <w:r>
              <w:rPr>
                <w:rFonts w:hint="eastAsia" w:ascii="黑体" w:hAnsi="黑体" w:eastAsia="黑体" w:cs="黑体"/>
                <w:bCs/>
                <w:color w:val="000000"/>
                <w:sz w:val="28"/>
                <w:szCs w:val="28"/>
              </w:rPr>
              <w:t>部门（单位）整体支出管理及使用情况</w:t>
            </w:r>
          </w:p>
          <w:p>
            <w:pPr>
              <w:numPr>
                <w:ilvl w:val="0"/>
                <w:numId w:val="0"/>
              </w:num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kern w:val="2"/>
                <w:sz w:val="32"/>
                <w:szCs w:val="32"/>
                <w:lang w:val="en-US" w:eastAsia="zh-CN"/>
              </w:rPr>
              <w:t>（一）</w:t>
            </w:r>
            <w:r>
              <w:rPr>
                <w:rFonts w:hint="eastAsia" w:ascii="仿宋" w:hAnsi="仿宋" w:eastAsia="仿宋" w:cs="仿宋_GB2312"/>
                <w:color w:val="000000"/>
                <w:sz w:val="32"/>
                <w:szCs w:val="32"/>
              </w:rPr>
              <w:t>单位整体支出管理情况</w:t>
            </w:r>
          </w:p>
          <w:p>
            <w:pPr>
              <w:numPr>
                <w:ilvl w:val="0"/>
                <w:numId w:val="0"/>
              </w:num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2.财务管理上，按照国家相关法律法规，制定了机关财务、公物购置使用、接待、会务、因公出国、车辆使用等管理制度，并严格按照制度管理和执行，防范风险，保证财政资金的安全和高效运行。</w:t>
            </w:r>
          </w:p>
          <w:p>
            <w:pPr>
              <w:spacing w:line="58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（二）单位整体收支情况</w:t>
            </w:r>
          </w:p>
          <w:p>
            <w:pPr>
              <w:spacing w:line="58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1、收入情况：全年预算总收入</w:t>
            </w:r>
            <w:r>
              <w:rPr>
                <w:rFonts w:hint="eastAsia" w:ascii="仿宋" w:hAnsi="仿宋" w:eastAsia="仿宋" w:cs="仿宋_GB2312"/>
                <w:color w:val="000000"/>
                <w:sz w:val="32"/>
                <w:szCs w:val="32"/>
                <w:lang w:val="en-US" w:eastAsia="zh-CN"/>
              </w:rPr>
              <w:t>50.94</w:t>
            </w:r>
            <w:r>
              <w:rPr>
                <w:rFonts w:hint="eastAsia" w:ascii="仿宋" w:hAnsi="仿宋" w:eastAsia="仿宋" w:cs="仿宋_GB2312"/>
                <w:color w:val="000000"/>
                <w:sz w:val="32"/>
                <w:szCs w:val="32"/>
              </w:rPr>
              <w:t>万元。</w:t>
            </w:r>
          </w:p>
          <w:p>
            <w:pPr>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2、支出情况：全年</w:t>
            </w:r>
            <w:r>
              <w:rPr>
                <w:rFonts w:hint="eastAsia" w:ascii="仿宋" w:hAnsi="仿宋" w:eastAsia="仿宋" w:cs="仿宋_GB2312"/>
                <w:color w:val="000000"/>
                <w:sz w:val="32"/>
                <w:szCs w:val="32"/>
                <w:lang w:val="en-US" w:eastAsia="zh-CN"/>
              </w:rPr>
              <w:t>整体</w:t>
            </w:r>
            <w:r>
              <w:rPr>
                <w:rFonts w:hint="eastAsia" w:ascii="仿宋" w:hAnsi="仿宋" w:eastAsia="仿宋" w:cs="仿宋_GB2312"/>
                <w:color w:val="000000"/>
                <w:sz w:val="32"/>
                <w:szCs w:val="32"/>
              </w:rPr>
              <w:t>支出</w:t>
            </w:r>
            <w:r>
              <w:rPr>
                <w:rFonts w:hint="eastAsia" w:ascii="仿宋" w:hAnsi="仿宋" w:eastAsia="仿宋" w:cs="仿宋_GB2312"/>
                <w:color w:val="000000"/>
                <w:sz w:val="32"/>
                <w:szCs w:val="32"/>
                <w:lang w:val="en-US" w:eastAsia="zh-CN"/>
              </w:rPr>
              <w:t>50.94</w:t>
            </w:r>
            <w:r>
              <w:rPr>
                <w:rFonts w:hint="eastAsia" w:ascii="仿宋" w:hAnsi="仿宋" w:eastAsia="仿宋" w:cs="仿宋_GB2312"/>
                <w:color w:val="000000"/>
                <w:sz w:val="32"/>
                <w:szCs w:val="32"/>
              </w:rPr>
              <w:t>万元，其中：</w:t>
            </w:r>
          </w:p>
          <w:p>
            <w:pPr>
              <w:spacing w:line="580" w:lineRule="exact"/>
              <w:ind w:firstLine="640" w:firstLineChars="200"/>
              <w:rPr>
                <w:rFonts w:hint="eastAsia" w:ascii="华文仿宋" w:hAnsi="华文仿宋" w:eastAsia="华文仿宋"/>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lang w:eastAsia="zh-CN"/>
              </w:rPr>
              <w:t>）</w:t>
            </w:r>
            <w:r>
              <w:rPr>
                <w:rFonts w:hint="eastAsia" w:ascii="华文仿宋" w:hAnsi="华文仿宋" w:eastAsia="华文仿宋"/>
                <w:color w:val="000000"/>
                <w:sz w:val="32"/>
                <w:szCs w:val="32"/>
              </w:rPr>
              <w:t>202</w:t>
            </w:r>
            <w:r>
              <w:rPr>
                <w:rFonts w:hint="eastAsia" w:ascii="华文仿宋" w:hAnsi="华文仿宋" w:eastAsia="华文仿宋"/>
                <w:color w:val="000000"/>
                <w:sz w:val="32"/>
                <w:szCs w:val="32"/>
                <w:lang w:val="en-US" w:eastAsia="zh-CN"/>
              </w:rPr>
              <w:t>2</w:t>
            </w:r>
            <w:r>
              <w:rPr>
                <w:rFonts w:hint="eastAsia" w:ascii="华文仿宋" w:hAnsi="华文仿宋" w:eastAsia="华文仿宋"/>
                <w:color w:val="000000"/>
                <w:sz w:val="32"/>
                <w:szCs w:val="32"/>
              </w:rPr>
              <w:t>年我</w:t>
            </w:r>
            <w:r>
              <w:rPr>
                <w:rFonts w:hint="eastAsia" w:ascii="华文仿宋" w:hAnsi="华文仿宋" w:eastAsia="华文仿宋"/>
                <w:color w:val="000000"/>
                <w:sz w:val="32"/>
                <w:szCs w:val="32"/>
                <w:lang w:eastAsia="zh-CN"/>
              </w:rPr>
              <w:t>单位</w:t>
            </w:r>
            <w:r>
              <w:rPr>
                <w:rFonts w:hint="eastAsia" w:ascii="华文仿宋" w:hAnsi="华文仿宋" w:eastAsia="华文仿宋"/>
                <w:color w:val="000000"/>
                <w:sz w:val="32"/>
                <w:szCs w:val="32"/>
              </w:rPr>
              <w:t>全年基本支出</w:t>
            </w:r>
            <w:r>
              <w:rPr>
                <w:rFonts w:hint="eastAsia" w:ascii="仿宋" w:hAnsi="仿宋" w:eastAsia="仿宋" w:cs="仿宋_GB2312"/>
                <w:color w:val="000000"/>
                <w:sz w:val="32"/>
                <w:szCs w:val="32"/>
                <w:lang w:val="en-US" w:eastAsia="zh-CN"/>
              </w:rPr>
              <w:t>50.94</w:t>
            </w:r>
            <w:r>
              <w:rPr>
                <w:rFonts w:hint="eastAsia" w:ascii="华文仿宋" w:hAnsi="华文仿宋" w:eastAsia="华文仿宋"/>
                <w:color w:val="000000"/>
                <w:sz w:val="32"/>
                <w:szCs w:val="32"/>
              </w:rPr>
              <w:t>万元。其中人员支出</w:t>
            </w:r>
            <w:r>
              <w:rPr>
                <w:rFonts w:hint="eastAsia" w:ascii="仿宋" w:hAnsi="仿宋" w:eastAsia="仿宋" w:cs="仿宋_GB2312"/>
                <w:color w:val="000000"/>
                <w:sz w:val="32"/>
                <w:szCs w:val="32"/>
                <w:lang w:val="en-US" w:eastAsia="zh-CN"/>
              </w:rPr>
              <w:t>21.27</w:t>
            </w:r>
            <w:r>
              <w:rPr>
                <w:rFonts w:hint="eastAsia" w:ascii="华文仿宋" w:hAnsi="华文仿宋" w:eastAsia="华文仿宋"/>
                <w:color w:val="000000"/>
                <w:sz w:val="32"/>
                <w:szCs w:val="32"/>
              </w:rPr>
              <w:t>万元，主要包括：基本工资、津贴补贴、奖金、社会保障费、其他工资福利支出、退休费、生活补贴和住房公积金等；公用支出</w:t>
            </w:r>
            <w:r>
              <w:rPr>
                <w:rFonts w:hint="eastAsia" w:ascii="仿宋" w:hAnsi="仿宋" w:eastAsia="仿宋" w:cs="仿宋_GB2312"/>
                <w:color w:val="000000"/>
                <w:sz w:val="32"/>
                <w:szCs w:val="32"/>
                <w:lang w:val="en-US" w:eastAsia="zh-CN"/>
              </w:rPr>
              <w:t>29.67</w:t>
            </w:r>
            <w:r>
              <w:rPr>
                <w:rFonts w:hint="eastAsia" w:ascii="华文仿宋" w:hAnsi="华文仿宋" w:eastAsia="华文仿宋"/>
                <w:color w:val="000000"/>
                <w:sz w:val="32"/>
                <w:szCs w:val="32"/>
              </w:rPr>
              <w:t>万元，主要包括：办公费、电费、差旅费、公务接待费、劳务费以及其他商品和服务支出等。</w:t>
            </w:r>
          </w:p>
          <w:p>
            <w:pPr>
              <w:spacing w:line="580" w:lineRule="exac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（2）</w:t>
            </w:r>
            <w:r>
              <w:rPr>
                <w:rFonts w:hint="eastAsia" w:ascii="华文仿宋" w:hAnsi="华文仿宋" w:eastAsia="华文仿宋"/>
                <w:color w:val="000000"/>
                <w:sz w:val="32"/>
                <w:szCs w:val="32"/>
              </w:rPr>
              <w:t>项目支出</w:t>
            </w:r>
            <w:r>
              <w:rPr>
                <w:rFonts w:hint="eastAsia" w:ascii="华文仿宋" w:hAnsi="华文仿宋" w:eastAsia="华文仿宋"/>
                <w:color w:val="000000"/>
                <w:sz w:val="32"/>
                <w:szCs w:val="32"/>
                <w:lang w:val="en-US" w:eastAsia="zh-CN"/>
              </w:rPr>
              <w:t>0</w:t>
            </w:r>
            <w:r>
              <w:rPr>
                <w:rFonts w:hint="eastAsia" w:ascii="华文仿宋" w:hAnsi="华文仿宋" w:eastAsia="华文仿宋"/>
                <w:color w:val="000000"/>
                <w:sz w:val="32"/>
                <w:szCs w:val="32"/>
              </w:rPr>
              <w:t>万元。</w:t>
            </w:r>
          </w:p>
          <w:p>
            <w:pPr>
              <w:spacing w:line="580" w:lineRule="exact"/>
              <w:ind w:firstLine="640" w:firstLineChars="200"/>
              <w:rPr>
                <w:rFonts w:hint="eastAsia" w:ascii="华文仿宋" w:hAnsi="华文仿宋" w:eastAsia="华文仿宋"/>
                <w:color w:val="000000"/>
                <w:sz w:val="32"/>
                <w:szCs w:val="32"/>
                <w:lang w:val="en-US" w:eastAsia="zh-CN"/>
              </w:rPr>
            </w:pPr>
            <w:r>
              <w:rPr>
                <w:rFonts w:hint="eastAsia" w:ascii="华文仿宋" w:hAnsi="华文仿宋" w:eastAsia="华文仿宋"/>
                <w:color w:val="000000"/>
                <w:sz w:val="32"/>
                <w:szCs w:val="32"/>
                <w:lang w:val="en-US" w:eastAsia="zh-CN"/>
              </w:rPr>
              <w:t>3、结余情况：2022年度累计结余0万元。</w:t>
            </w:r>
          </w:p>
          <w:p>
            <w:pPr>
              <w:spacing w:line="580" w:lineRule="exact"/>
              <w:ind w:firstLine="640" w:firstLineChars="200"/>
              <w:rPr>
                <w:color w:val="000000"/>
              </w:rPr>
            </w:pPr>
            <w:r>
              <w:rPr>
                <w:rFonts w:hint="eastAsia" w:ascii="华文仿宋" w:hAnsi="华文仿宋" w:eastAsia="华文仿宋"/>
                <w:color w:val="000000"/>
                <w:sz w:val="32"/>
                <w:szCs w:val="32"/>
                <w:lang w:val="en-US" w:eastAsia="zh-CN"/>
              </w:rPr>
              <w:t>4、三公经费支出情况：全年三公经费总支出0.8万元，其中：公务用车购置及运行维护费支出0万元；公务</w:t>
            </w:r>
            <w:r>
              <w:rPr>
                <w:rFonts w:hint="eastAsia" w:ascii="仿宋" w:hAnsi="仿宋" w:eastAsia="仿宋" w:cs="仿宋_GB2312"/>
                <w:color w:val="000000"/>
                <w:sz w:val="32"/>
                <w:szCs w:val="32"/>
              </w:rPr>
              <w:t>接待费</w:t>
            </w:r>
            <w:r>
              <w:rPr>
                <w:rFonts w:hint="eastAsia" w:ascii="仿宋" w:hAnsi="仿宋" w:eastAsia="仿宋" w:cs="仿宋_GB2312"/>
                <w:color w:val="000000"/>
                <w:sz w:val="32"/>
                <w:szCs w:val="32"/>
                <w:lang w:val="en-US" w:eastAsia="zh-CN"/>
              </w:rPr>
              <w:t>0.8</w:t>
            </w:r>
            <w:r>
              <w:rPr>
                <w:rFonts w:hint="eastAsia" w:ascii="仿宋" w:hAnsi="仿宋" w:eastAsia="仿宋" w:cs="仿宋_GB2312"/>
                <w:color w:val="000000"/>
                <w:sz w:val="32"/>
                <w:szCs w:val="32"/>
              </w:rPr>
              <w:t>万元。</w:t>
            </w:r>
          </w:p>
          <w:p>
            <w:pPr>
              <w:spacing w:line="56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eastAsia="zh-CN"/>
              </w:rPr>
              <w:t>三</w:t>
            </w:r>
            <w:r>
              <w:rPr>
                <w:rFonts w:hint="eastAsia" w:ascii="仿宋_GB2312" w:hAnsi="仿宋_GB2312" w:eastAsia="仿宋_GB2312" w:cs="仿宋_GB2312"/>
                <w:bCs/>
                <w:color w:val="000000"/>
                <w:sz w:val="28"/>
                <w:szCs w:val="28"/>
              </w:rPr>
              <w:t>）专项支出</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项目支出是在基本支出之外为完成其特定工作任务而发生的支出，2022年本单位财政没有安排项目支出。</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1．专项资金安排落实、总投入等情况</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2022年本单位专项资金安排支出0万元。</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2．专项资金实际使用情况</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本级财政安排专项资金0万元，实际使用0万元。</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3、专项资金管理情况分析</w:t>
            </w:r>
          </w:p>
          <w:p>
            <w:pPr>
              <w:spacing w:line="580" w:lineRule="exact"/>
              <w:ind w:firstLine="680" w:firstLineChars="200"/>
              <w:jc w:val="left"/>
              <w:rPr>
                <w:rFonts w:hint="eastAsia" w:ascii="仿宋_GB2312" w:hAnsi="仿宋" w:eastAsia="仿宋_GB2312" w:cs="仿宋_GB2312"/>
                <w:color w:val="000000"/>
                <w:spacing w:val="10"/>
                <w:sz w:val="32"/>
                <w:szCs w:val="32"/>
                <w:lang w:val="en-US" w:eastAsia="zh-CN"/>
              </w:rPr>
            </w:pPr>
            <w:r>
              <w:rPr>
                <w:rFonts w:hint="eastAsia" w:ascii="仿宋_GB2312" w:hAnsi="仿宋" w:eastAsia="仿宋_GB2312" w:cs="仿宋_GB2312"/>
                <w:color w:val="000000"/>
                <w:spacing w:val="10"/>
                <w:sz w:val="32"/>
                <w:szCs w:val="32"/>
                <w:lang w:val="en-US" w:eastAsia="zh-CN"/>
              </w:rPr>
              <w:t>为加强项目的资金管理，提高项目建设质量，确保项目内容顺利实施，保护区建立了健全的资金管理办法，规定了项目资金的使用范围，确保专款专用；加强了对资金使用情况的核查、审计和监督；项目实施严格遵照方案执行，严格监督预算编制和执行过程，保证了资金使用安全、合法与合理。</w:t>
            </w:r>
          </w:p>
          <w:p>
            <w:pPr>
              <w:spacing w:line="5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三、部门（单位）专项组织实施情况</w:t>
            </w:r>
          </w:p>
          <w:p>
            <w:pPr>
              <w:spacing w:line="580" w:lineRule="exact"/>
              <w:ind w:firstLine="643" w:firstLineChars="200"/>
              <w:jc w:val="left"/>
              <w:rPr>
                <w:rFonts w:hint="eastAsia" w:ascii="楷体_GB2312" w:eastAsia="楷体_GB2312" w:cs="仿宋_GB2312"/>
                <w:b/>
                <w:color w:val="000000"/>
                <w:sz w:val="32"/>
                <w:szCs w:val="32"/>
              </w:rPr>
            </w:pPr>
            <w:r>
              <w:rPr>
                <w:rFonts w:hint="eastAsia" w:ascii="楷体_GB2312" w:eastAsia="楷体_GB2312" w:cs="仿宋_GB2312"/>
                <w:b/>
                <w:color w:val="000000"/>
                <w:sz w:val="32"/>
                <w:szCs w:val="32"/>
              </w:rPr>
              <w:t>（一）专项组织情况分析</w:t>
            </w:r>
          </w:p>
          <w:p>
            <w:pPr>
              <w:spacing w:line="58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我</w:t>
            </w:r>
            <w:r>
              <w:rPr>
                <w:rFonts w:hint="eastAsia" w:ascii="仿宋_GB2312" w:eastAsia="仿宋_GB2312" w:cs="仿宋_GB2312"/>
                <w:color w:val="000000"/>
                <w:sz w:val="32"/>
                <w:szCs w:val="32"/>
                <w:lang w:val="en-US" w:eastAsia="zh-CN"/>
              </w:rPr>
              <w:t>单位</w:t>
            </w:r>
            <w:r>
              <w:rPr>
                <w:rFonts w:hint="eastAsia" w:ascii="仿宋_GB2312" w:eastAsia="仿宋_GB2312" w:cs="仿宋_GB2312"/>
                <w:color w:val="000000"/>
                <w:sz w:val="32"/>
                <w:szCs w:val="32"/>
              </w:rPr>
              <w:t>班子高度重视专项的申报、实施、验收等工作，成立了专</w:t>
            </w:r>
            <w:r>
              <w:rPr>
                <w:rFonts w:hint="eastAsia" w:ascii="仿宋_GB2312" w:eastAsia="仿宋_GB2312" w:cs="仿宋_GB2312"/>
                <w:color w:val="000000"/>
                <w:spacing w:val="-10"/>
                <w:sz w:val="32"/>
                <w:szCs w:val="32"/>
              </w:rPr>
              <w:t>门的专项管理领导小组，从专项的申报、批复到实施阶段的概算、建设、验收等各环节的监控，确保了专项的完整、安全。</w:t>
            </w:r>
          </w:p>
          <w:p>
            <w:pPr>
              <w:spacing w:line="600" w:lineRule="exact"/>
              <w:ind w:firstLine="643" w:firstLineChars="200"/>
              <w:jc w:val="left"/>
              <w:rPr>
                <w:rFonts w:hint="eastAsia" w:ascii="楷体_GB2312" w:eastAsia="楷体_GB2312" w:cs="仿宋_GB2312"/>
                <w:b/>
                <w:color w:val="000000"/>
                <w:sz w:val="32"/>
                <w:szCs w:val="32"/>
              </w:rPr>
            </w:pPr>
            <w:r>
              <w:rPr>
                <w:rFonts w:hint="eastAsia" w:ascii="楷体_GB2312" w:eastAsia="楷体_GB2312" w:cs="仿宋_GB2312"/>
                <w:b/>
                <w:color w:val="000000"/>
                <w:sz w:val="32"/>
                <w:szCs w:val="32"/>
              </w:rPr>
              <w:t>（二）专项管理情况分析</w:t>
            </w:r>
          </w:p>
          <w:p>
            <w:pPr>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1、预算管理。严格执行预算管理，按部门预算方案实施和执行。</w:t>
            </w:r>
          </w:p>
          <w:p>
            <w:pPr>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2、合同管理。严格执行合同管理，根据相关法律法规要求及工作内容，签订协议，严格按协议执行资金管理。</w:t>
            </w:r>
          </w:p>
          <w:p>
            <w:pPr>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3、支付管理。严格按财政部门国库集中支付的程序，执行部门预算资金的支付管理。</w:t>
            </w:r>
          </w:p>
          <w:p>
            <w:pPr>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4、制度管理。严格按《预算管理办法》和我部《财务管理办法》进行管理。</w:t>
            </w:r>
          </w:p>
          <w:p>
            <w:pPr>
              <w:spacing w:line="56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四、部门（单位）整体支出绩效情况</w:t>
            </w:r>
          </w:p>
          <w:p>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共青团</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w:t>
            </w:r>
            <w:r>
              <w:rPr>
                <w:rFonts w:hint="eastAsia" w:ascii="华文仿宋" w:hAnsi="华文仿宋" w:eastAsia="华文仿宋"/>
                <w:sz w:val="32"/>
                <w:szCs w:val="32"/>
                <w:lang w:val="en-US" w:eastAsia="zh-CN"/>
              </w:rPr>
              <w:t>共青团</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w:t>
            </w:r>
            <w:r>
              <w:rPr>
                <w:rFonts w:hint="eastAsia" w:ascii="华文仿宋" w:hAnsi="华文仿宋" w:eastAsia="华文仿宋"/>
                <w:sz w:val="32"/>
                <w:szCs w:val="32"/>
                <w:highlight w:val="yellow"/>
                <w:lang w:eastAsia="zh-CN"/>
              </w:rPr>
              <w:t>熊永昇</w:t>
            </w:r>
            <w:r>
              <w:rPr>
                <w:rFonts w:hint="eastAsia" w:ascii="华文仿宋" w:hAnsi="华文仿宋" w:eastAsia="华文仿宋"/>
                <w:sz w:val="32"/>
                <w:szCs w:val="32"/>
              </w:rPr>
              <w:t>同志为组长的绩效评价工作小组，对相关的国家法律法规进行了认真学习，掌握政策，根据部门整体收支情况制定了部门整体支出绩效评价实施方案，设计了绩效评价指标体系。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pPr>
              <w:spacing w:line="600" w:lineRule="exact"/>
              <w:ind w:firstLine="643" w:firstLineChars="201"/>
              <w:rPr>
                <w:rFonts w:hint="eastAsia"/>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pPr>
              <w:spacing w:line="600" w:lineRule="exact"/>
              <w:ind w:firstLine="643" w:firstLineChars="201"/>
              <w:rPr>
                <w:rFonts w:hint="eastAsia" w:ascii="华文仿宋" w:hAnsi="华文仿宋" w:eastAsia="华文仿宋"/>
                <w:sz w:val="32"/>
                <w:szCs w:val="32"/>
              </w:rPr>
            </w:pPr>
            <w:r>
              <w:rPr>
                <w:rFonts w:hint="eastAsia" w:ascii="华文仿宋" w:hAnsi="华文仿宋" w:eastAsia="华文仿宋"/>
                <w:sz w:val="32"/>
                <w:szCs w:val="32"/>
                <w:lang w:val="en-US" w:eastAsia="zh-CN"/>
              </w:rPr>
              <w:t>根据考核评分细则，本单位严格按照国家的相关财务管理制度规定，财务制度健全，会计核算规范，依照计划管理使用，整体支出对保障共青团工作的正常运行、为全区共青团的发展大局服务发挥了重要保障作用。按照部门整体支出绩效评价指标体系对照打分得出结果为98分。</w:t>
            </w:r>
          </w:p>
          <w:p>
            <w:pPr>
              <w:numPr>
                <w:ilvl w:val="0"/>
                <w:numId w:val="5"/>
              </w:numPr>
              <w:spacing w:line="56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存在的主要问题</w:t>
            </w:r>
          </w:p>
          <w:p>
            <w:pPr>
              <w:spacing w:line="600" w:lineRule="exact"/>
              <w:ind w:firstLine="1280" w:firstLineChars="4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1、团组织规范化建设不足。</w:t>
            </w:r>
          </w:p>
          <w:p>
            <w:pPr>
              <w:spacing w:line="600" w:lineRule="exact"/>
              <w:ind w:firstLine="1280" w:firstLineChars="4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2、资源整合力度不够。</w:t>
            </w:r>
          </w:p>
          <w:p>
            <w:pPr>
              <w:numPr>
                <w:ilvl w:val="0"/>
                <w:numId w:val="5"/>
              </w:numPr>
              <w:spacing w:line="560" w:lineRule="exact"/>
              <w:ind w:firstLine="560" w:firstLineChars="200"/>
              <w:rPr>
                <w:rFonts w:hint="eastAsia" w:ascii="黑体" w:hAnsi="黑体" w:eastAsia="黑体" w:cs="黑体"/>
                <w:bCs/>
                <w:color w:val="000000"/>
                <w:sz w:val="28"/>
                <w:szCs w:val="28"/>
                <w:lang w:val="en-US" w:eastAsia="zh-CN"/>
              </w:rPr>
            </w:pPr>
            <w:r>
              <w:rPr>
                <w:rFonts w:hint="eastAsia" w:ascii="黑体" w:hAnsi="黑体" w:eastAsia="黑体" w:cs="黑体"/>
                <w:bCs/>
                <w:color w:val="000000"/>
                <w:sz w:val="28"/>
                <w:szCs w:val="28"/>
                <w:lang w:val="en-US" w:eastAsia="zh-CN"/>
              </w:rPr>
              <w:t>改进措施和有关建议</w:t>
            </w:r>
          </w:p>
          <w:p>
            <w:pPr>
              <w:numPr>
                <w:ilvl w:val="0"/>
                <w:numId w:val="6"/>
              </w:numPr>
              <w:ind w:left="638" w:leftChars="304" w:firstLine="640" w:firstLineChars="200"/>
              <w:rPr>
                <w:rFonts w:hint="eastAsia" w:ascii="仿宋_GB2312" w:hAnsi="仿宋_GB2312" w:eastAsia="仿宋_GB2312" w:cs="仿宋_GB2312"/>
                <w:color w:val="000000"/>
                <w:spacing w:val="0"/>
                <w:kern w:val="2"/>
                <w:sz w:val="32"/>
                <w:szCs w:val="32"/>
                <w:lang w:val="en-US" w:eastAsia="zh-CN"/>
              </w:rPr>
            </w:pPr>
            <w:r>
              <w:rPr>
                <w:rFonts w:hint="eastAsia" w:ascii="仿宋_GB2312" w:hAnsi="仿宋_GB2312" w:eastAsia="仿宋_GB2312" w:cs="仿宋_GB2312"/>
                <w:color w:val="000000"/>
                <w:spacing w:val="0"/>
                <w:kern w:val="2"/>
                <w:sz w:val="32"/>
                <w:szCs w:val="32"/>
                <w:lang w:val="en-US" w:eastAsia="zh-CN"/>
              </w:rPr>
              <w:t>树牢大抓基层的鲜明导向，推动县域共青团改革落地见效。</w:t>
            </w:r>
          </w:p>
          <w:p>
            <w:pPr>
              <w:numPr>
                <w:ilvl w:val="0"/>
                <w:numId w:val="6"/>
              </w:numPr>
              <w:ind w:left="638" w:leftChars="304" w:firstLine="640" w:firstLineChars="200"/>
              <w:rPr>
                <w:rFonts w:eastAsia="楷体_GB2312"/>
                <w:bCs/>
                <w:color w:val="000000"/>
                <w:sz w:val="28"/>
                <w:szCs w:val="28"/>
              </w:rPr>
            </w:pPr>
            <w:r>
              <w:rPr>
                <w:rFonts w:hint="eastAsia" w:ascii="仿宋_GB2312" w:hAnsi="仿宋_GB2312" w:eastAsia="仿宋_GB2312" w:cs="仿宋_GB2312"/>
                <w:color w:val="000000"/>
                <w:spacing w:val="0"/>
                <w:kern w:val="2"/>
                <w:sz w:val="32"/>
                <w:szCs w:val="32"/>
                <w:lang w:val="en-US" w:eastAsia="zh-CN"/>
              </w:rPr>
              <w:t>2.广泛深入开展宣传教育引导实践活动。</w:t>
            </w: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进一步加强固定资产管理，提高资产管理效率。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FE450"/>
    <w:multiLevelType w:val="singleLevel"/>
    <w:tmpl w:val="A79FE450"/>
    <w:lvl w:ilvl="0" w:tentative="0">
      <w:start w:val="1"/>
      <w:numFmt w:val="decimal"/>
      <w:lvlText w:val="%1."/>
      <w:lvlJc w:val="left"/>
      <w:pPr>
        <w:tabs>
          <w:tab w:val="left" w:pos="312"/>
        </w:tabs>
      </w:pPr>
    </w:lvl>
  </w:abstractNum>
  <w:abstractNum w:abstractNumId="1">
    <w:nsid w:val="D5155FE3"/>
    <w:multiLevelType w:val="singleLevel"/>
    <w:tmpl w:val="D5155FE3"/>
    <w:lvl w:ilvl="0" w:tentative="0">
      <w:start w:val="1"/>
      <w:numFmt w:val="decimal"/>
      <w:suff w:val="nothing"/>
      <w:lvlText w:val="%1、"/>
      <w:lvlJc w:val="left"/>
    </w:lvl>
  </w:abstractNum>
  <w:abstractNum w:abstractNumId="2">
    <w:nsid w:val="0D04D902"/>
    <w:multiLevelType w:val="singleLevel"/>
    <w:tmpl w:val="0D04D902"/>
    <w:lvl w:ilvl="0" w:tentative="0">
      <w:start w:val="1"/>
      <w:numFmt w:val="decimal"/>
      <w:lvlText w:val="%1."/>
      <w:lvlJc w:val="left"/>
      <w:pPr>
        <w:tabs>
          <w:tab w:val="left" w:pos="312"/>
        </w:tabs>
      </w:pPr>
    </w:lvl>
  </w:abstractNum>
  <w:abstractNum w:abstractNumId="3">
    <w:nsid w:val="1B8B5120"/>
    <w:multiLevelType w:val="singleLevel"/>
    <w:tmpl w:val="1B8B5120"/>
    <w:lvl w:ilvl="0" w:tentative="0">
      <w:start w:val="2"/>
      <w:numFmt w:val="chineseCounting"/>
      <w:suff w:val="nothing"/>
      <w:lvlText w:val="%1、"/>
      <w:lvlJc w:val="left"/>
      <w:rPr>
        <w:rFonts w:hint="eastAsia"/>
      </w:rPr>
    </w:lvl>
  </w:abstractNum>
  <w:abstractNum w:abstractNumId="4">
    <w:nsid w:val="309D612E"/>
    <w:multiLevelType w:val="singleLevel"/>
    <w:tmpl w:val="309D612E"/>
    <w:lvl w:ilvl="0" w:tentative="0">
      <w:start w:val="5"/>
      <w:numFmt w:val="chineseCounting"/>
      <w:suff w:val="nothing"/>
      <w:lvlText w:val="%1、"/>
      <w:lvlJc w:val="left"/>
      <w:rPr>
        <w:rFonts w:hint="eastAsia"/>
      </w:rPr>
    </w:lvl>
  </w:abstractNum>
  <w:abstractNum w:abstractNumId="5">
    <w:nsid w:val="6278B1D4"/>
    <w:multiLevelType w:val="singleLevel"/>
    <w:tmpl w:val="6278B1D4"/>
    <w:lvl w:ilvl="0" w:tentative="0">
      <w:start w:val="2"/>
      <w:numFmt w:val="chineseCounting"/>
      <w:suff w:val="nothing"/>
      <w:lvlText w:val="（%1）"/>
      <w:lvlJc w:val="left"/>
      <w:rPr>
        <w:rFonts w:hint="eastAsia"/>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NjVjYjE0NTQ3NjI4YjNhZWE2ZjcxOGI2ZDc2MGUifQ=="/>
  </w:docVars>
  <w:rsids>
    <w:rsidRoot w:val="0CCB242B"/>
    <w:rsid w:val="0CCB242B"/>
    <w:rsid w:val="120E5406"/>
    <w:rsid w:val="25A428F6"/>
    <w:rsid w:val="31E24C08"/>
    <w:rsid w:val="430B1892"/>
    <w:rsid w:val="51105306"/>
    <w:rsid w:val="53CC27A6"/>
    <w:rsid w:val="596513B5"/>
    <w:rsid w:val="677D409D"/>
    <w:rsid w:val="6C500245"/>
    <w:rsid w:val="77BE04D4"/>
    <w:rsid w:val="78AC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Body Text Indent 2"/>
    <w:basedOn w:val="1"/>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character" w:styleId="8">
    <w:name w:val="Strong"/>
    <w:basedOn w:val="7"/>
    <w:qFormat/>
    <w:uiPriority w:val="0"/>
    <w:rPr>
      <w:b/>
    </w:rPr>
  </w:style>
  <w:style w:type="character" w:customStyle="1"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5596</Words>
  <Characters>5902</Characters>
  <Lines>0</Lines>
  <Paragraphs>0</Paragraphs>
  <TotalTime>37</TotalTime>
  <ScaleCrop>false</ScaleCrop>
  <LinksUpToDate>false</LinksUpToDate>
  <CharactersWithSpaces>6395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2023-06-27T06:43:00Z</dcterms:created>
  <dc:creator>Administrator</dc:creator>
  <cp:lastModifiedBy>Administrator</cp:lastModifiedBy>
  <dcterms:modified xsi:type="dcterms:W3CDTF">2023-07-25T07:36:33Z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41F7E4F37B26449DA1D9FD28197E6203_11</vt:lpwstr>
  </property>
</Properties>
</file>