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附件3-1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君山区20</w:t>
      </w:r>
      <w:r>
        <w:rPr>
          <w:rFonts w:hint="eastAsia" w:eastAsia="方正小标宋简体"/>
          <w:bCs/>
          <w:sz w:val="46"/>
          <w:szCs w:val="46"/>
          <w:lang w:val="en-US" w:eastAsia="zh-CN"/>
        </w:rPr>
        <w:t>22</w:t>
      </w:r>
      <w:r>
        <w:rPr>
          <w:rFonts w:hint="eastAsia" w:eastAsia="方正小标宋简体"/>
          <w:bCs/>
          <w:sz w:val="46"/>
          <w:szCs w:val="46"/>
        </w:rPr>
        <w:t>年度部门（单位）整体支出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156" w:beforeLines="50" w:line="348" w:lineRule="auto"/>
        <w:ind w:firstLine="476" w:firstLineChars="150"/>
        <w:rPr>
          <w:rFonts w:hint="eastAsia" w:ascii="Times New Roman" w:hAnsi="Times New Roman" w:eastAsia="仿宋_GB2312" w:cs="Times New Roman"/>
          <w:sz w:val="32"/>
          <w:szCs w:val="32"/>
        </w:rPr>
      </w:pPr>
      <w:r>
        <w:rPr>
          <w:rFonts w:hint="eastAsia" w:eastAsia="仿宋_GB2312"/>
          <w:sz w:val="32"/>
          <w:szCs w:val="32"/>
        </w:rPr>
        <w:t>部门(单位)名称：</w:t>
      </w:r>
      <w:r>
        <w:rPr>
          <w:rFonts w:hint="eastAsia" w:ascii="Times New Roman" w:hAnsi="Times New Roman" w:eastAsia="仿宋_GB2312" w:cs="Times New Roman"/>
          <w:sz w:val="32"/>
          <w:szCs w:val="32"/>
        </w:rPr>
        <w:t>中国人民政治协商会议岳阳市君山区委员会</w:t>
      </w:r>
    </w:p>
    <w:p>
      <w:pPr>
        <w:spacing w:before="156" w:beforeLines="50" w:line="348" w:lineRule="auto"/>
        <w:ind w:firstLine="476" w:firstLineChars="150"/>
        <w:rPr>
          <w:rFonts w:hint="default" w:eastAsia="仿宋_GB2312"/>
          <w:spacing w:val="20"/>
          <w:sz w:val="32"/>
          <w:szCs w:val="32"/>
          <w:lang w:val="en-US" w:eastAsia="zh-CN"/>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30"/>
          <w:sz w:val="32"/>
          <w:szCs w:val="32"/>
          <w:lang w:val="en-US" w:eastAsia="zh-CN"/>
        </w:rPr>
        <w:t>129</w:t>
      </w:r>
    </w:p>
    <w:p>
      <w:pPr>
        <w:spacing w:before="156" w:beforeLines="50" w:line="348" w:lineRule="auto"/>
        <w:ind w:firstLine="476" w:firstLineChars="150"/>
        <w:rPr>
          <w:rFonts w:eastAsia="仿宋_GB2312"/>
          <w:sz w:val="32"/>
          <w:szCs w:val="32"/>
        </w:rPr>
      </w:pPr>
      <w:r>
        <w:rPr>
          <w:rFonts w:hint="eastAsia" w:eastAsia="仿宋_GB2312"/>
          <w:sz w:val="32"/>
          <w:szCs w:val="32"/>
        </w:rPr>
        <w:t>评价方式：部门绩效自评</w:t>
      </w:r>
    </w:p>
    <w:p>
      <w:pPr>
        <w:spacing w:before="156" w:beforeLines="50" w:line="348" w:lineRule="auto"/>
        <w:ind w:firstLine="476" w:firstLineChars="150"/>
        <w:rPr>
          <w:rFonts w:eastAsia="仿宋_GB2312"/>
          <w:sz w:val="32"/>
          <w:szCs w:val="32"/>
        </w:rPr>
      </w:pPr>
      <w:r>
        <w:rPr>
          <w:rFonts w:hint="eastAsia" w:eastAsia="仿宋_GB2312"/>
          <w:sz w:val="32"/>
          <w:szCs w:val="32"/>
        </w:rPr>
        <w:t xml:space="preserve">评价机构：部门评价组   </w:t>
      </w:r>
    </w:p>
    <w:p>
      <w:pPr>
        <w:spacing w:line="348" w:lineRule="auto"/>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2023</w:t>
      </w:r>
      <w:r>
        <w:rPr>
          <w:rFonts w:hint="eastAsia" w:eastAsia="仿宋_GB2312"/>
          <w:sz w:val="32"/>
        </w:rPr>
        <w:t>年</w:t>
      </w:r>
      <w:r>
        <w:rPr>
          <w:rFonts w:hint="eastAsia" w:eastAsia="仿宋_GB2312"/>
          <w:sz w:val="32"/>
          <w:lang w:val="en-US" w:eastAsia="zh-CN"/>
        </w:rPr>
        <w:t>6</w:t>
      </w:r>
      <w:r>
        <w:rPr>
          <w:rFonts w:hint="eastAsia" w:eastAsia="仿宋_GB2312"/>
          <w:sz w:val="32"/>
        </w:rPr>
        <w:t>月</w:t>
      </w:r>
      <w:r>
        <w:rPr>
          <w:rFonts w:hint="eastAsia" w:eastAsia="仿宋_GB2312"/>
          <w:sz w:val="32"/>
          <w:lang w:val="en-US" w:eastAsia="zh-CN"/>
        </w:rPr>
        <w:t>26</w:t>
      </w:r>
      <w:r>
        <w:rPr>
          <w:rFonts w:hint="eastAsia" w:eastAsia="仿宋_GB2312"/>
          <w:sz w:val="32"/>
        </w:rPr>
        <w:t>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君山区财政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highlight w:val="yellow"/>
                <w:lang w:val="en-US" w:eastAsia="zh-CN"/>
              </w:rPr>
            </w:pPr>
            <w:r>
              <w:rPr>
                <w:rFonts w:hint="eastAsia" w:ascii="仿宋" w:hAnsi="仿宋" w:eastAsia="仿宋" w:cs="仿宋_GB2312"/>
                <w:color w:val="000000"/>
                <w:sz w:val="24"/>
                <w:highlight w:val="yellow"/>
              </w:rPr>
              <w:t>冯敏</w:t>
            </w:r>
          </w:p>
        </w:tc>
        <w:tc>
          <w:tcPr>
            <w:tcW w:w="1479" w:type="dxa"/>
            <w:noWrap w:val="0"/>
            <w:vAlign w:val="center"/>
          </w:tcPr>
          <w:p>
            <w:pPr>
              <w:autoSpaceDN w:val="0"/>
              <w:spacing w:line="320" w:lineRule="exact"/>
              <w:jc w:val="center"/>
              <w:textAlignment w:val="center"/>
              <w:rPr>
                <w:rFonts w:ascii="仿宋_GB2312" w:hAnsi="仿宋_GB2312" w:eastAsia="仿宋_GB2312" w:cs="仿宋_GB2312"/>
                <w:color w:val="000000"/>
                <w:kern w:val="2"/>
                <w:sz w:val="24"/>
                <w:szCs w:val="24"/>
                <w:highlight w:val="yellow"/>
                <w:lang w:val="en-US" w:eastAsia="zh-CN"/>
              </w:rPr>
            </w:pPr>
            <w:r>
              <w:rPr>
                <w:rFonts w:hint="eastAsia" w:ascii="仿宋_GB2312" w:hAnsi="仿宋_GB2312" w:eastAsia="仿宋_GB2312" w:cs="仿宋_GB2312"/>
                <w:color w:val="000000"/>
                <w:sz w:val="24"/>
                <w:highlight w:val="yellow"/>
              </w:rPr>
              <w:t>联络电话</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highlight w:val="yellow"/>
                <w:lang w:val="en-US" w:eastAsia="zh-CN"/>
              </w:rPr>
            </w:pPr>
            <w:r>
              <w:rPr>
                <w:rFonts w:hint="eastAsia" w:ascii="仿宋" w:hAnsi="仿宋" w:eastAsia="仿宋" w:cs="仿宋_GB2312"/>
                <w:color w:val="000000"/>
                <w:sz w:val="24"/>
                <w:highlight w:val="yellow"/>
              </w:rPr>
              <w:t>8170020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highlight w:val="yellow"/>
                <w:lang w:val="en-US" w:eastAsia="zh-CN"/>
              </w:rPr>
            </w:pPr>
            <w:r>
              <w:rPr>
                <w:rFonts w:hint="eastAsia" w:ascii="仿宋_GB2312" w:hAnsi="仿宋_GB2312" w:eastAsia="仿宋_GB2312" w:cs="仿宋_GB2312"/>
                <w:color w:val="000000"/>
                <w:sz w:val="24"/>
                <w:highlight w:val="yellow"/>
                <w:lang w:val="en-US" w:eastAsia="zh-CN"/>
              </w:rPr>
              <w:t>23</w:t>
            </w:r>
          </w:p>
        </w:tc>
        <w:tc>
          <w:tcPr>
            <w:tcW w:w="1479" w:type="dxa"/>
            <w:noWrap w:val="0"/>
            <w:vAlign w:val="center"/>
          </w:tcPr>
          <w:p>
            <w:pPr>
              <w:autoSpaceDN w:val="0"/>
              <w:spacing w:line="320" w:lineRule="exact"/>
              <w:jc w:val="center"/>
              <w:textAlignment w:val="center"/>
              <w:rPr>
                <w:rFonts w:ascii="仿宋_GB2312" w:hAnsi="仿宋_GB2312" w:eastAsia="仿宋_GB2312" w:cs="仿宋_GB2312"/>
                <w:color w:val="000000"/>
                <w:kern w:val="2"/>
                <w:sz w:val="24"/>
                <w:szCs w:val="24"/>
                <w:highlight w:val="yellow"/>
                <w:lang w:val="en-US" w:eastAsia="zh-CN"/>
              </w:rPr>
            </w:pPr>
            <w:r>
              <w:rPr>
                <w:rFonts w:hint="eastAsia" w:ascii="仿宋_GB2312" w:hAnsi="仿宋_GB2312" w:eastAsia="仿宋_GB2312" w:cs="仿宋_GB2312"/>
                <w:color w:val="000000"/>
                <w:sz w:val="24"/>
                <w:highlight w:val="yellow"/>
              </w:rPr>
              <w:t>实有人数</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highlight w:val="yellow"/>
                <w:lang w:val="en-US" w:eastAsia="zh-CN"/>
              </w:rPr>
            </w:pPr>
            <w:r>
              <w:rPr>
                <w:rFonts w:hint="eastAsia" w:ascii="仿宋_GB2312" w:hAnsi="仿宋_GB2312" w:eastAsia="仿宋_GB2312" w:cs="仿宋_GB2312"/>
                <w:color w:val="000000"/>
                <w:sz w:val="24"/>
                <w:highlight w:val="yellow"/>
                <w:lang w:val="en-US" w:eastAsia="zh-CN"/>
              </w:rPr>
              <w:t>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ascii="仿宋_GB2312" w:hAnsi="仿宋_GB2312" w:eastAsia="仿宋_GB2312" w:cs="仿宋_GB2312"/>
                <w:color w:val="000000"/>
                <w:sz w:val="24"/>
              </w:rPr>
              <w:t>政治协商政治协商是对国家和地方的大政方针以及政治、经济、文化和社会生活中的重要问题在决策之前进行协商和就决策执行过程中的重要问题进行协商。</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ascii="仿宋_GB2312" w:hAnsi="仿宋_GB2312" w:eastAsia="仿宋_GB2312" w:cs="仿宋_GB2312"/>
                <w:color w:val="000000"/>
                <w:sz w:val="24"/>
              </w:rPr>
              <w:t>民主监督民主监督是对国家宪法、法律和法规的实施，重大方针政策的贯彻执行、国家机关及其工作人员的工作，通过建议和批评进行监督。</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w:t>
            </w:r>
            <w:r>
              <w:rPr>
                <w:rFonts w:ascii="仿宋_GB2312" w:hAnsi="仿宋_GB2312" w:eastAsia="仿宋_GB2312" w:cs="仿宋_GB2312"/>
                <w:color w:val="000000"/>
                <w:sz w:val="24"/>
              </w:rPr>
              <w:t>参政议政对政治、经济、文化和社会生活中的重要问题以及人民群众铺普遍关心的问题开展调查研究，反映社情民意，进行协商讨论。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704"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任务1：</w:t>
            </w:r>
            <w:r>
              <w:rPr>
                <w:rFonts w:hint="default" w:ascii="仿宋_GB2312" w:hAnsi="仿宋_GB2312" w:eastAsia="仿宋_GB2312" w:cs="仿宋_GB2312"/>
                <w:color w:val="000000"/>
                <w:sz w:val="24"/>
                <w:lang w:val="en-US" w:eastAsia="zh-CN"/>
              </w:rPr>
              <w:t>履行职能，积极推进民主建设</w:t>
            </w:r>
            <w:r>
              <w:rPr>
                <w:rFonts w:hint="eastAsia" w:ascii="仿宋_GB2312" w:hAnsi="仿宋_GB2312" w:eastAsia="仿宋_GB2312" w:cs="仿宋_GB2312"/>
                <w:color w:val="000000"/>
                <w:sz w:val="24"/>
              </w:rPr>
              <w:t> </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任务2：</w:t>
            </w:r>
            <w:r>
              <w:rPr>
                <w:rFonts w:hint="default" w:ascii="仿宋_GB2312" w:hAnsi="仿宋_GB2312" w:eastAsia="仿宋_GB2312" w:cs="仿宋_GB2312"/>
                <w:color w:val="000000"/>
                <w:sz w:val="24"/>
                <w:lang w:val="en-US" w:eastAsia="zh-CN"/>
              </w:rPr>
              <w:t>锚定中心任务</w:t>
            </w:r>
          </w:p>
          <w:p>
            <w:pPr>
              <w:autoSpaceDN w:val="0"/>
              <w:spacing w:line="320" w:lineRule="exact"/>
              <w:jc w:val="left"/>
              <w:textAlignment w:val="center"/>
              <w:rPr>
                <w:rFonts w:hint="eastAsia" w:ascii="仿宋_GB2312" w:hAnsi="仿宋_GB2312" w:eastAsia="黑体" w:cs="仿宋_GB2312"/>
                <w:color w:val="000000"/>
                <w:sz w:val="24"/>
                <w:lang w:val="en-US" w:eastAsia="zh-CN"/>
              </w:rPr>
            </w:pPr>
            <w:r>
              <w:rPr>
                <w:rFonts w:hint="eastAsia" w:ascii="仿宋_GB2312" w:hAnsi="仿宋_GB2312" w:eastAsia="仿宋_GB2312" w:cs="仿宋_GB2312"/>
                <w:color w:val="000000"/>
                <w:sz w:val="24"/>
              </w:rPr>
              <w:t>任务3：</w:t>
            </w:r>
            <w:r>
              <w:rPr>
                <w:rFonts w:hint="eastAsia" w:ascii="仿宋_GB2312" w:hAnsi="仿宋_GB2312" w:eastAsia="仿宋_GB2312" w:cs="仿宋_GB2312"/>
                <w:color w:val="000000"/>
                <w:sz w:val="24"/>
                <w:lang w:val="en-US" w:eastAsia="zh-CN"/>
              </w:rPr>
              <w:t>关注民生实事，用心为民履职</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强化自身建设。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980"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一年来，区政协坚持以习近平新时代中国特色社会主义思想为指引，在区委的坚强领导和市政协的精心指导下，牢牢把握团结、民主两大主题，认真履行政治协商、民主监督、参政议政三大职能，紧紧围绕区委“一二三六”工作思路，倾心尽力，担当作为，为建设精致精美、出新出彩的洞庭明珠做出了积极贡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647.12</w:t>
            </w:r>
          </w:p>
        </w:tc>
        <w:tc>
          <w:tcPr>
            <w:tcW w:w="1355"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641.52</w:t>
            </w:r>
          </w:p>
        </w:tc>
        <w:tc>
          <w:tcPr>
            <w:tcW w:w="1705"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647.12</w:t>
            </w:r>
          </w:p>
        </w:tc>
        <w:tc>
          <w:tcPr>
            <w:tcW w:w="1355"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641.52</w:t>
            </w:r>
          </w:p>
        </w:tc>
        <w:tc>
          <w:tcPr>
            <w:tcW w:w="1705" w:type="dxa"/>
            <w:gridSpan w:val="2"/>
            <w:noWrap w:val="0"/>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rPr>
            </w:pPr>
          </w:p>
        </w:tc>
        <w:tc>
          <w:tcPr>
            <w:tcW w:w="1800" w:type="dxa"/>
            <w:gridSpan w:val="4"/>
            <w:noWrap w:val="0"/>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rPr>
            </w:pPr>
          </w:p>
        </w:tc>
        <w:tc>
          <w:tcPr>
            <w:tcW w:w="108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647.12</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646.62</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516.24</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130.38</w:t>
            </w:r>
          </w:p>
        </w:tc>
        <w:tc>
          <w:tcPr>
            <w:tcW w:w="1080"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0.5</w:t>
            </w:r>
          </w:p>
        </w:tc>
        <w:tc>
          <w:tcPr>
            <w:tcW w:w="625" w:type="dxa"/>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647.12</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646.62</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516.24</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130.38</w:t>
            </w:r>
          </w:p>
        </w:tc>
        <w:tc>
          <w:tcPr>
            <w:tcW w:w="1080" w:type="dxa"/>
            <w:noWrap w:val="0"/>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0.5</w:t>
            </w:r>
          </w:p>
        </w:tc>
        <w:tc>
          <w:tcPr>
            <w:tcW w:w="625" w:type="dxa"/>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4.1</w:t>
            </w:r>
          </w:p>
        </w:tc>
        <w:tc>
          <w:tcPr>
            <w:tcW w:w="1355"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4.1</w:t>
            </w: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4.1</w:t>
            </w:r>
          </w:p>
        </w:tc>
        <w:tc>
          <w:tcPr>
            <w:tcW w:w="1355"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4.1</w:t>
            </w: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12.62</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12.62</w:t>
            </w:r>
          </w:p>
        </w:tc>
        <w:tc>
          <w:tcPr>
            <w:tcW w:w="3644" w:type="dxa"/>
            <w:gridSpan w:val="7"/>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12.62</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12.62</w:t>
            </w:r>
          </w:p>
        </w:tc>
        <w:tc>
          <w:tcPr>
            <w:tcW w:w="3644" w:type="dxa"/>
            <w:gridSpan w:val="7"/>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070"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3774" w:type="dxa"/>
            <w:gridSpan w:val="7"/>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目标1：</w:t>
            </w:r>
            <w:r>
              <w:rPr>
                <w:rFonts w:hint="default" w:ascii="仿宋_GB2312" w:hAnsi="仿宋_GB2312" w:eastAsia="仿宋_GB2312" w:cs="仿宋_GB2312"/>
                <w:color w:val="000000"/>
                <w:sz w:val="24"/>
                <w:lang w:val="en-US" w:eastAsia="zh-CN"/>
              </w:rPr>
              <w:t>强化理论武装</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目标2：</w:t>
            </w:r>
            <w:r>
              <w:rPr>
                <w:rFonts w:hint="default" w:ascii="仿宋_GB2312" w:hAnsi="仿宋_GB2312" w:eastAsia="仿宋_GB2312" w:cs="仿宋_GB2312"/>
                <w:color w:val="000000"/>
                <w:sz w:val="24"/>
                <w:lang w:val="en-US" w:eastAsia="zh-CN"/>
              </w:rPr>
              <w:t>坚持党建引领</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目标3：协商监督有新成效</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目标4：</w:t>
            </w:r>
            <w:r>
              <w:rPr>
                <w:rFonts w:hint="default" w:ascii="仿宋_GB2312" w:hAnsi="仿宋_GB2312" w:eastAsia="仿宋_GB2312" w:cs="仿宋_GB2312"/>
                <w:color w:val="000000"/>
                <w:sz w:val="24"/>
                <w:lang w:val="en-US" w:eastAsia="zh-CN"/>
              </w:rPr>
              <w:t>深入调研视察</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目标5：日臻完善各项制度</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目标6：优化队伍结构</w:t>
            </w:r>
          </w:p>
          <w:p>
            <w:pPr>
              <w:autoSpaceDN w:val="0"/>
              <w:spacing w:line="320" w:lineRule="exact"/>
              <w:jc w:val="left"/>
              <w:textAlignment w:val="center"/>
              <w:rPr>
                <w:rFonts w:ascii="仿宋_GB2312" w:hAnsi="仿宋_GB2312" w:eastAsia="仿宋_GB2312" w:cs="仿宋_GB2312"/>
                <w:color w:val="000000"/>
                <w:sz w:val="24"/>
              </w:rPr>
            </w:pPr>
          </w:p>
        </w:tc>
        <w:tc>
          <w:tcPr>
            <w:tcW w:w="4585" w:type="dxa"/>
            <w:gridSpan w:val="9"/>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1、始终坚持党对政协工作的领导，行稳致远，确保人民政协事业始终朝着正确的方向笃定前行。</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2、始终坚持人民至上，真抓实干，助力为人民群众办实事、做好事、解难事。</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3、聚焦普华书记对全市政协系统提出的“坚定站位、把准定位、争先进位、彰显地位”工作要求，创特色、树品牌、争一流，在政协工作高质量发展道路上不断进取。</w:t>
            </w:r>
          </w:p>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2" w:hRule="atLeast"/>
          <w:jc w:val="center"/>
        </w:trPr>
        <w:tc>
          <w:tcPr>
            <w:tcW w:w="1441" w:type="dxa"/>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80"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val="en-US" w:eastAsia="zh-CN"/>
              </w:rPr>
              <w:t>区</w:t>
            </w:r>
            <w:r>
              <w:rPr>
                <w:rFonts w:hint="eastAsia" w:ascii="仿宋_GB2312" w:hAnsi="仿宋_GB2312" w:eastAsia="仿宋_GB2312" w:cs="仿宋_GB2312"/>
                <w:color w:val="000000"/>
                <w:sz w:val="24"/>
              </w:rPr>
              <w:t>委</w:t>
            </w:r>
            <w:r>
              <w:rPr>
                <w:rFonts w:hint="eastAsia" w:ascii="仿宋_GB2312" w:hAnsi="仿宋_GB2312" w:eastAsia="仿宋_GB2312" w:cs="仿宋_GB2312"/>
                <w:color w:val="000000"/>
                <w:sz w:val="24"/>
                <w:lang w:eastAsia="zh-CN"/>
              </w:rPr>
              <w:t>区</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指标1：举办六届区政协委员专题培训班</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达到预期目标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5"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0"/>
            <w:vAlign w:val="center"/>
          </w:tcPr>
          <w:p>
            <w:pPr>
              <w:spacing w:line="320" w:lineRule="exact"/>
              <w:rPr>
                <w:rFonts w:ascii="仿宋_GB2312" w:hAnsi="仿宋_GB2312" w:eastAsia="仿宋_GB2312" w:cs="仿宋_GB2312"/>
                <w:sz w:val="24"/>
              </w:rPr>
            </w:pP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指标2：提升政协委员履职能力</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达到预期目标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指标1：联点村、社区讲党课</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92"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0"/>
            <w:vAlign w:val="center"/>
          </w:tcPr>
          <w:p>
            <w:pPr>
              <w:autoSpaceDN w:val="0"/>
              <w:spacing w:line="320" w:lineRule="exact"/>
              <w:jc w:val="both"/>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指标2：召开座谈会</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10"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指标1：按时间节点完成各项工作计划。</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已按时间进度完成工作计划。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5"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指标2：项目建设在当年12月前完。</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2022年12年已完成全部项目建设。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指标1：压缩一般性支出</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一般性支出较上年下降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65"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指标2：全年预算执行情况</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控制在预算范围内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组织开展粮食生产专题视察调研</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卓有成效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w:t>
            </w:r>
            <w:r>
              <w:rPr>
                <w:rFonts w:hint="default" w:ascii="仿宋_GB2312" w:hAnsi="仿宋_GB2312" w:eastAsia="仿宋_GB2312" w:cs="仿宋_GB2312"/>
                <w:color w:val="000000"/>
                <w:sz w:val="24"/>
                <w:lang w:val="en-US" w:eastAsia="zh-CN"/>
              </w:rPr>
              <w:t>推进农业特色产业发展</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达到目标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both"/>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w:t>
            </w:r>
            <w:r>
              <w:rPr>
                <w:rFonts w:hint="eastAsia" w:ascii="仿宋_GB2312" w:hAnsi="仿宋_GB2312" w:eastAsia="仿宋_GB2312" w:cs="仿宋_GB2312"/>
                <w:color w:val="000000"/>
                <w:sz w:val="24"/>
              </w:rPr>
              <w:t>发挥环保监督职责</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达到目标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w:t>
            </w:r>
            <w:r>
              <w:rPr>
                <w:rFonts w:hint="eastAsia" w:ascii="仿宋_GB2312" w:hAnsi="仿宋_GB2312" w:eastAsia="仿宋_GB2312" w:cs="仿宋_GB2312"/>
                <w:color w:val="000000"/>
                <w:sz w:val="24"/>
              </w:rPr>
              <w:t>民众的满意度</w:t>
            </w:r>
            <w:r>
              <w:rPr>
                <w:rFonts w:hint="eastAsia" w:ascii="仿宋_GB2312" w:hAnsi="仿宋_GB2312" w:eastAsia="仿宋_GB2312" w:cs="仿宋_GB2312"/>
                <w:color w:val="000000"/>
                <w:sz w:val="24"/>
                <w:lang w:val="en-US" w:eastAsia="zh-CN"/>
              </w:rPr>
              <w:t>95%以上。</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民众满意度达98%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杨再兴</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政协副主席</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政协</w:t>
            </w:r>
          </w:p>
        </w:tc>
        <w:tc>
          <w:tcPr>
            <w:tcW w:w="3106"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熊庆祥</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政协秘书长、办公室主任</w:t>
            </w:r>
          </w:p>
        </w:tc>
        <w:tc>
          <w:tcPr>
            <w:tcW w:w="1479"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政协</w:t>
            </w:r>
          </w:p>
        </w:tc>
        <w:tc>
          <w:tcPr>
            <w:tcW w:w="3106"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冯</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敏</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办公室副主任</w:t>
            </w:r>
          </w:p>
        </w:tc>
        <w:tc>
          <w:tcPr>
            <w:tcW w:w="1479"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政协</w:t>
            </w:r>
          </w:p>
        </w:tc>
        <w:tc>
          <w:tcPr>
            <w:tcW w:w="3106"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877" w:hRule="atLeast"/>
          <w:jc w:val="center"/>
        </w:trPr>
        <w:tc>
          <w:tcPr>
            <w:tcW w:w="9800" w:type="dxa"/>
            <w:gridSpan w:val="17"/>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184" w:hRule="atLeast"/>
          <w:jc w:val="center"/>
        </w:trPr>
        <w:tc>
          <w:tcPr>
            <w:tcW w:w="9800" w:type="dxa"/>
            <w:gridSpan w:val="17"/>
            <w:noWrap w:val="0"/>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财政部门归口业务股室负责人（签章）：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sz w:val="24"/>
        </w:rPr>
        <w:t>填报人（签名）：                          联系电话：</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560" w:lineRule="exact"/>
              <w:ind w:firstLine="640" w:firstLineChars="200"/>
              <w:rPr>
                <w:rFonts w:ascii="仿宋" w:hAnsi="仿宋" w:eastAsia="仿宋" w:cs="仿宋_GB2312"/>
                <w:bCs/>
                <w:sz w:val="32"/>
                <w:szCs w:val="32"/>
              </w:rPr>
            </w:pPr>
            <w:r>
              <w:rPr>
                <w:rFonts w:ascii="仿宋" w:hAnsi="仿宋" w:eastAsia="仿宋" w:cs="仿宋_GB2312"/>
                <w:bCs/>
                <w:sz w:val="32"/>
                <w:szCs w:val="32"/>
              </w:rPr>
              <w:t>根据《君山区财政局关于开展 2022 年度财政支出绩效自评工作的通知》（岳君财发〔2023〕40 号）文件精神，为全面推进部门整体绩效目标的实现，提升财政资金的使用效率，强化预算支出的责任和效率，我单位对 2022 年部门整体支出开展了绩效自评，现将具体情况报告如下：</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（一）机构设置情况</w:t>
            </w:r>
          </w:p>
          <w:p>
            <w:pPr>
              <w:shd w:val="solid" w:color="FFFFFF" w:fill="auto"/>
              <w:autoSpaceDN w:val="0"/>
              <w:spacing w:line="60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君山区政协系区财政全额预算拨款单位。编制部门核实区政协人员编制23人，实有人数为23人，政协君山区委员会机关设置“一办五委”即：办公室、提案和委员学习委员会、经济科技和外事委员会、文教卫体和文史委员会、社会法制和民族宗教委员会、农业农村和人口资源环境委员会。“一办五委”均为正科级行政机构。</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（二）单位主要职能</w:t>
            </w:r>
          </w:p>
          <w:p>
            <w:pPr>
              <w:shd w:val="solid" w:color="FFFFFF" w:fill="auto"/>
              <w:autoSpaceDN w:val="0"/>
              <w:spacing w:line="60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（1）政治协商政治协商是对国家和地方的大政方针以及政治、经济、文化和社会生活中的重要问题在决策之前进行协商和就决策执行过程中的重要问题进行协商。</w:t>
            </w:r>
          </w:p>
          <w:p>
            <w:pPr>
              <w:shd w:val="solid" w:color="FFFFFF" w:fill="auto"/>
              <w:autoSpaceDN w:val="0"/>
              <w:spacing w:line="60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（2）民主监督民主监督是对国家宪法、法律和法规的实施，重大方针政策的贯彻执行、国家机关及其工作人员的工作，通过建议和批评进行监督。</w:t>
            </w:r>
          </w:p>
          <w:p>
            <w:pPr>
              <w:shd w:val="solid" w:color="FFFFFF" w:fill="auto"/>
              <w:autoSpaceDN w:val="0"/>
              <w:spacing w:line="600" w:lineRule="exact"/>
              <w:ind w:firstLine="640" w:firstLineChars="200"/>
              <w:jc w:val="left"/>
              <w:rPr>
                <w:rFonts w:hint="eastAsia" w:ascii="仿宋_GB2312" w:hAnsi="仿宋_GB2312" w:eastAsia="仿宋_GB2312" w:cs="仿宋_GB2312"/>
                <w:bCs/>
                <w:sz w:val="28"/>
                <w:szCs w:val="28"/>
              </w:rPr>
            </w:pPr>
            <w:r>
              <w:rPr>
                <w:rFonts w:hint="eastAsia" w:ascii="仿宋" w:hAnsi="仿宋" w:eastAsia="仿宋" w:cs="仿宋"/>
                <w:color w:val="000000"/>
                <w:sz w:val="32"/>
                <w:szCs w:val="32"/>
              </w:rPr>
              <w:t>（3）参政议政对政治、经济、文化和社会生活中的重要问题以及人民群众铺普遍关心的问题开展调查研究，反映社情民意，进行协商讨论。</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（一）单位整体支出管理情况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严格预算支出管理。在支出预算编制上，人员经费按照配置定额，逐人核定编制，公用经费分类分档，按定额编制；根据“总量控制、计划管理”的要求从严控制行政经费，压缩公务费开支，严格控制“三公”经费，资产的配置严格政府采购，按照预算科目和项目资金的规定使用财政资金，保障部门整体支出的规范化、制度化。</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2.财务管理上，按照国家相关法律法规，制定了机关财务、公物购置使用、接待、会务、因公出国、车辆使用等管理制度，并严格按照制度管理和执行，防范风险，保证财政资金的安全和高效运行。</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（二）单位整体收支情况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1、收入情况：全年预算总收入</w:t>
            </w:r>
            <w:r>
              <w:rPr>
                <w:rFonts w:hint="eastAsia" w:ascii="仿宋" w:hAnsi="仿宋" w:eastAsia="仿宋" w:cs="仿宋_GB2312"/>
                <w:sz w:val="32"/>
                <w:szCs w:val="32"/>
                <w:lang w:val="en-US" w:eastAsia="zh-CN"/>
              </w:rPr>
              <w:t>647.12</w:t>
            </w:r>
            <w:r>
              <w:rPr>
                <w:rFonts w:hint="eastAsia" w:ascii="仿宋" w:hAnsi="仿宋" w:eastAsia="仿宋" w:cs="仿宋_GB2312"/>
                <w:sz w:val="32"/>
                <w:szCs w:val="32"/>
              </w:rPr>
              <w:t>万元。</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2、支出情况：全年</w:t>
            </w:r>
            <w:r>
              <w:rPr>
                <w:rFonts w:hint="eastAsia" w:ascii="仿宋" w:hAnsi="仿宋" w:eastAsia="仿宋" w:cs="仿宋_GB2312"/>
                <w:sz w:val="32"/>
                <w:szCs w:val="32"/>
                <w:lang w:val="en-US" w:eastAsia="zh-CN"/>
              </w:rPr>
              <w:t>整体</w:t>
            </w:r>
            <w:r>
              <w:rPr>
                <w:rFonts w:hint="eastAsia" w:ascii="仿宋" w:hAnsi="仿宋" w:eastAsia="仿宋" w:cs="仿宋_GB2312"/>
                <w:sz w:val="32"/>
                <w:szCs w:val="32"/>
              </w:rPr>
              <w:t>支出</w:t>
            </w:r>
            <w:r>
              <w:rPr>
                <w:rFonts w:hint="eastAsia" w:ascii="仿宋" w:hAnsi="仿宋" w:eastAsia="仿宋" w:cs="仿宋_GB2312"/>
                <w:sz w:val="32"/>
                <w:szCs w:val="32"/>
                <w:lang w:val="en-US" w:eastAsia="zh-CN"/>
              </w:rPr>
              <w:t>647.12</w:t>
            </w:r>
            <w:r>
              <w:rPr>
                <w:rFonts w:hint="eastAsia" w:ascii="仿宋" w:hAnsi="仿宋" w:eastAsia="仿宋" w:cs="仿宋_GB2312"/>
                <w:sz w:val="32"/>
                <w:szCs w:val="32"/>
              </w:rPr>
              <w:t>万元，其中：</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1</w:t>
            </w:r>
            <w:r>
              <w:rPr>
                <w:rFonts w:hint="eastAsia" w:ascii="仿宋" w:hAnsi="仿宋" w:eastAsia="仿宋" w:cs="仿宋_GB2312"/>
                <w:sz w:val="32"/>
                <w:szCs w:val="32"/>
                <w:lang w:eastAsia="zh-CN"/>
              </w:rPr>
              <w:t>）</w:t>
            </w:r>
            <w:r>
              <w:rPr>
                <w:rFonts w:hint="eastAsia" w:ascii="华文仿宋" w:hAnsi="华文仿宋" w:eastAsia="华文仿宋"/>
                <w:sz w:val="32"/>
                <w:szCs w:val="32"/>
              </w:rPr>
              <w:t>202</w:t>
            </w:r>
            <w:r>
              <w:rPr>
                <w:rFonts w:hint="eastAsia" w:ascii="华文仿宋" w:hAnsi="华文仿宋" w:eastAsia="华文仿宋"/>
                <w:sz w:val="32"/>
                <w:szCs w:val="32"/>
                <w:lang w:val="en-US" w:eastAsia="zh-CN"/>
              </w:rPr>
              <w:t>2</w:t>
            </w:r>
            <w:r>
              <w:rPr>
                <w:rFonts w:hint="eastAsia" w:ascii="华文仿宋" w:hAnsi="华文仿宋" w:eastAsia="华文仿宋"/>
                <w:sz w:val="32"/>
                <w:szCs w:val="32"/>
              </w:rPr>
              <w:t>年我局全年基本支出</w:t>
            </w:r>
            <w:r>
              <w:rPr>
                <w:rFonts w:hint="eastAsia" w:ascii="仿宋" w:hAnsi="仿宋" w:eastAsia="仿宋" w:cs="仿宋_GB2312"/>
                <w:sz w:val="32"/>
                <w:szCs w:val="32"/>
                <w:lang w:val="en-US" w:eastAsia="zh-CN"/>
              </w:rPr>
              <w:t>646.62</w:t>
            </w:r>
            <w:r>
              <w:rPr>
                <w:rFonts w:hint="eastAsia" w:ascii="华文仿宋" w:hAnsi="华文仿宋" w:eastAsia="华文仿宋"/>
                <w:sz w:val="32"/>
                <w:szCs w:val="32"/>
              </w:rPr>
              <w:t>万元。</w:t>
            </w:r>
            <w:r>
              <w:rPr>
                <w:rFonts w:hint="eastAsia" w:ascii="华文仿宋" w:hAnsi="华文仿宋" w:eastAsia="华文仿宋"/>
                <w:color w:val="auto"/>
                <w:sz w:val="32"/>
                <w:szCs w:val="32"/>
              </w:rPr>
              <w:t>其中人员支出</w:t>
            </w:r>
            <w:r>
              <w:rPr>
                <w:rFonts w:hint="eastAsia" w:ascii="仿宋" w:hAnsi="仿宋" w:eastAsia="仿宋" w:cs="仿宋_GB2312"/>
                <w:sz w:val="32"/>
                <w:szCs w:val="32"/>
                <w:lang w:val="en-US" w:eastAsia="zh-CN"/>
              </w:rPr>
              <w:t>516.42</w:t>
            </w:r>
            <w:r>
              <w:rPr>
                <w:rFonts w:hint="eastAsia" w:ascii="华文仿宋" w:hAnsi="华文仿宋" w:eastAsia="华文仿宋"/>
                <w:color w:val="auto"/>
                <w:sz w:val="32"/>
                <w:szCs w:val="32"/>
              </w:rPr>
              <w:t>万元，主要包括：基本工资、津贴补贴、奖金、社会保障费、其他工资福利支出、退休费、生活补贴和住房公积金等；公用支出</w:t>
            </w:r>
            <w:r>
              <w:rPr>
                <w:rFonts w:hint="eastAsia" w:ascii="仿宋" w:hAnsi="仿宋" w:eastAsia="仿宋" w:cs="仿宋_GB2312"/>
                <w:sz w:val="32"/>
                <w:szCs w:val="32"/>
                <w:lang w:val="en-US" w:eastAsia="zh-CN"/>
              </w:rPr>
              <w:t>130.37</w:t>
            </w:r>
            <w:r>
              <w:rPr>
                <w:rFonts w:hint="eastAsia" w:ascii="华文仿宋" w:hAnsi="华文仿宋" w:eastAsia="华文仿宋"/>
                <w:color w:val="auto"/>
                <w:sz w:val="32"/>
                <w:szCs w:val="32"/>
              </w:rPr>
              <w:t>万元，</w:t>
            </w:r>
            <w:r>
              <w:rPr>
                <w:rFonts w:hint="eastAsia" w:ascii="华文仿宋" w:hAnsi="华文仿宋" w:eastAsia="华文仿宋"/>
                <w:sz w:val="32"/>
                <w:szCs w:val="32"/>
              </w:rPr>
              <w:t>主要包括：办公费、电费、差旅费、公务接待费、劳务费以及其他商品和服务支出等。</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2</w:t>
            </w:r>
            <w:r>
              <w:rPr>
                <w:rFonts w:hint="eastAsia" w:ascii="仿宋" w:hAnsi="仿宋" w:eastAsia="仿宋" w:cs="仿宋_GB2312"/>
                <w:sz w:val="32"/>
                <w:szCs w:val="32"/>
                <w:lang w:eastAsia="zh-CN"/>
              </w:rPr>
              <w:t>）</w:t>
            </w:r>
            <w:r>
              <w:rPr>
                <w:rFonts w:hint="eastAsia" w:ascii="仿宋" w:hAnsi="仿宋" w:eastAsia="仿宋" w:cs="仿宋_GB2312"/>
                <w:sz w:val="32"/>
                <w:szCs w:val="32"/>
              </w:rPr>
              <w:t>项目支出</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万元。</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lang w:val="en-US" w:eastAsia="zh-CN"/>
              </w:rPr>
              <w:t>3、结余情况：2022年度累计结余0.5万元。</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lang w:val="en-US" w:eastAsia="zh-CN"/>
              </w:rPr>
              <w:t>4</w:t>
            </w:r>
            <w:r>
              <w:rPr>
                <w:rFonts w:hint="eastAsia" w:ascii="仿宋" w:hAnsi="仿宋" w:eastAsia="仿宋" w:cs="仿宋_GB2312"/>
                <w:sz w:val="32"/>
                <w:szCs w:val="32"/>
              </w:rPr>
              <w:t>、三公经费支出情况：全年三公经费总支出</w:t>
            </w:r>
            <w:r>
              <w:rPr>
                <w:rFonts w:hint="eastAsia" w:ascii="仿宋" w:hAnsi="仿宋" w:eastAsia="仿宋" w:cs="仿宋_GB2312"/>
                <w:sz w:val="32"/>
                <w:szCs w:val="32"/>
                <w:lang w:val="en-US" w:eastAsia="zh-CN"/>
              </w:rPr>
              <w:t>4.1</w:t>
            </w:r>
            <w:r>
              <w:rPr>
                <w:rFonts w:hint="eastAsia" w:ascii="仿宋" w:hAnsi="仿宋" w:eastAsia="仿宋" w:cs="仿宋_GB2312"/>
                <w:sz w:val="32"/>
                <w:szCs w:val="32"/>
              </w:rPr>
              <w:t>万元，其中：公务用车购置及运行维护费支出0万元；公务接待费</w:t>
            </w:r>
            <w:r>
              <w:rPr>
                <w:rFonts w:hint="eastAsia" w:ascii="仿宋" w:hAnsi="仿宋" w:eastAsia="仿宋" w:cs="仿宋_GB2312"/>
                <w:sz w:val="32"/>
                <w:szCs w:val="32"/>
                <w:lang w:val="en-US" w:eastAsia="zh-CN"/>
              </w:rPr>
              <w:t>4.1</w:t>
            </w:r>
            <w:r>
              <w:rPr>
                <w:rFonts w:hint="eastAsia" w:ascii="仿宋" w:hAnsi="仿宋" w:eastAsia="仿宋" w:cs="仿宋_GB2312"/>
                <w:sz w:val="32"/>
                <w:szCs w:val="32"/>
              </w:rPr>
              <w:t>万元。</w:t>
            </w:r>
          </w:p>
          <w:p>
            <w:pPr>
              <w:tabs>
                <w:tab w:val="left" w:pos="4364"/>
              </w:tabs>
              <w:spacing w:line="600" w:lineRule="exact"/>
              <w:ind w:firstLine="643" w:firstLineChars="201"/>
              <w:rPr>
                <w:rFonts w:ascii="华文仿宋" w:hAnsi="华文仿宋" w:eastAsia="华文仿宋"/>
                <w:sz w:val="32"/>
                <w:szCs w:val="32"/>
              </w:rPr>
            </w:pP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三</w:t>
            </w:r>
            <w:r>
              <w:rPr>
                <w:rFonts w:hint="eastAsia" w:ascii="仿宋" w:hAnsi="仿宋" w:eastAsia="仿宋" w:cs="仿宋_GB2312"/>
                <w:sz w:val="32"/>
                <w:szCs w:val="32"/>
                <w:lang w:eastAsia="zh-CN"/>
              </w:rPr>
              <w:t>）</w:t>
            </w:r>
            <w:r>
              <w:rPr>
                <w:rFonts w:hint="eastAsia" w:ascii="华文仿宋" w:hAnsi="华文仿宋" w:eastAsia="华文仿宋"/>
                <w:sz w:val="32"/>
                <w:szCs w:val="32"/>
              </w:rPr>
              <w:t>专项支出</w:t>
            </w:r>
          </w:p>
          <w:p>
            <w:pPr>
              <w:tabs>
                <w:tab w:val="left" w:pos="4364"/>
              </w:tabs>
              <w:spacing w:line="600" w:lineRule="exact"/>
              <w:ind w:firstLine="643" w:firstLineChars="201"/>
              <w:rPr>
                <w:rFonts w:ascii="华文仿宋" w:hAnsi="华文仿宋" w:eastAsia="华文仿宋"/>
                <w:color w:val="auto"/>
                <w:sz w:val="32"/>
                <w:szCs w:val="32"/>
              </w:rPr>
            </w:pPr>
            <w:r>
              <w:rPr>
                <w:rFonts w:hint="eastAsia" w:ascii="华文仿宋" w:hAnsi="华文仿宋" w:eastAsia="华文仿宋"/>
                <w:sz w:val="32"/>
                <w:szCs w:val="32"/>
              </w:rPr>
              <w:t>项目支出是在基本支出之外为完成其特定工作任务而发生的支出</w:t>
            </w:r>
            <w:r>
              <w:rPr>
                <w:rFonts w:hint="eastAsia" w:ascii="华文仿宋" w:hAnsi="华文仿宋" w:eastAsia="华文仿宋"/>
                <w:color w:val="auto"/>
                <w:sz w:val="32"/>
                <w:szCs w:val="32"/>
              </w:rPr>
              <w:t>。</w:t>
            </w:r>
          </w:p>
          <w:p>
            <w:pPr>
              <w:tabs>
                <w:tab w:val="left" w:pos="4364"/>
              </w:tabs>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（1）专项资金安排落实、总投入等情况分析</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年我</w:t>
            </w:r>
            <w:r>
              <w:rPr>
                <w:rFonts w:hint="eastAsia" w:ascii="仿宋" w:hAnsi="仿宋" w:eastAsia="仿宋" w:cs="仿宋_GB2312"/>
                <w:sz w:val="32"/>
                <w:szCs w:val="32"/>
                <w:lang w:eastAsia="zh-CN"/>
              </w:rPr>
              <w:t>单位专</w:t>
            </w:r>
            <w:r>
              <w:rPr>
                <w:rFonts w:hint="eastAsia" w:ascii="仿宋" w:hAnsi="仿宋" w:eastAsia="仿宋" w:cs="仿宋_GB2312"/>
                <w:sz w:val="32"/>
                <w:szCs w:val="32"/>
              </w:rPr>
              <w:t>项目</w:t>
            </w:r>
            <w:r>
              <w:rPr>
                <w:rFonts w:hint="eastAsia" w:ascii="仿宋" w:hAnsi="仿宋" w:eastAsia="仿宋" w:cs="仿宋_GB2312"/>
                <w:sz w:val="32"/>
                <w:szCs w:val="32"/>
                <w:lang w:eastAsia="zh-CN"/>
              </w:rPr>
              <w:t>资金安排</w:t>
            </w:r>
            <w:r>
              <w:rPr>
                <w:rFonts w:hint="eastAsia" w:ascii="仿宋" w:hAnsi="仿宋" w:eastAsia="仿宋" w:cs="仿宋_GB2312"/>
                <w:sz w:val="32"/>
                <w:szCs w:val="32"/>
              </w:rPr>
              <w:t>为</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万元。</w:t>
            </w:r>
          </w:p>
          <w:p>
            <w:pPr>
              <w:tabs>
                <w:tab w:val="left" w:pos="4364"/>
              </w:tabs>
              <w:spacing w:line="600" w:lineRule="exact"/>
              <w:ind w:firstLine="643" w:firstLineChars="201"/>
              <w:rPr>
                <w:rFonts w:ascii="华文仿宋" w:hAnsi="华文仿宋" w:eastAsia="华文仿宋"/>
                <w:color w:val="auto"/>
                <w:sz w:val="32"/>
                <w:szCs w:val="32"/>
              </w:rPr>
            </w:pPr>
            <w:r>
              <w:rPr>
                <w:rFonts w:hint="eastAsia" w:ascii="华文仿宋" w:hAnsi="华文仿宋" w:eastAsia="华文仿宋"/>
                <w:color w:val="auto"/>
                <w:sz w:val="32"/>
                <w:szCs w:val="32"/>
              </w:rPr>
              <w:t>（2）专项资金实际使用情况分析</w:t>
            </w:r>
          </w:p>
          <w:p>
            <w:pPr>
              <w:spacing w:line="580" w:lineRule="exact"/>
              <w:ind w:firstLine="960" w:firstLineChars="300"/>
              <w:rPr>
                <w:rFonts w:hint="eastAsia" w:ascii="仿宋" w:hAnsi="仿宋" w:eastAsia="仿宋" w:cs="仿宋_GB2312"/>
                <w:sz w:val="32"/>
                <w:szCs w:val="32"/>
              </w:rPr>
            </w:pP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年我</w:t>
            </w:r>
            <w:r>
              <w:rPr>
                <w:rFonts w:hint="eastAsia" w:ascii="仿宋" w:hAnsi="仿宋" w:eastAsia="仿宋" w:cs="仿宋_GB2312"/>
                <w:sz w:val="32"/>
                <w:szCs w:val="32"/>
                <w:lang w:eastAsia="zh-CN"/>
              </w:rPr>
              <w:t>单位</w:t>
            </w:r>
            <w:r>
              <w:rPr>
                <w:rFonts w:hint="eastAsia" w:ascii="仿宋" w:hAnsi="仿宋" w:eastAsia="仿宋" w:cs="仿宋_GB2312"/>
                <w:sz w:val="32"/>
                <w:szCs w:val="32"/>
              </w:rPr>
              <w:t>项目</w:t>
            </w:r>
            <w:r>
              <w:rPr>
                <w:rFonts w:hint="eastAsia" w:ascii="仿宋" w:hAnsi="仿宋" w:eastAsia="仿宋" w:cs="仿宋_GB2312"/>
                <w:sz w:val="32"/>
                <w:szCs w:val="32"/>
                <w:lang w:eastAsia="zh-CN"/>
              </w:rPr>
              <w:t>支出</w:t>
            </w:r>
            <w:r>
              <w:rPr>
                <w:rFonts w:hint="eastAsia" w:ascii="仿宋" w:hAnsi="仿宋" w:eastAsia="仿宋" w:cs="仿宋_GB2312"/>
                <w:sz w:val="32"/>
                <w:szCs w:val="32"/>
              </w:rPr>
              <w:t>预算</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万元。</w:t>
            </w:r>
          </w:p>
          <w:p>
            <w:pPr>
              <w:tabs>
                <w:tab w:val="left" w:pos="4364"/>
              </w:tabs>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（3）专项资金管理情况分析</w:t>
            </w:r>
          </w:p>
          <w:p>
            <w:pPr>
              <w:tabs>
                <w:tab w:val="left" w:pos="4364"/>
              </w:tabs>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我</w:t>
            </w:r>
            <w:r>
              <w:rPr>
                <w:rFonts w:hint="eastAsia" w:ascii="华文仿宋" w:hAnsi="华文仿宋" w:eastAsia="华文仿宋"/>
                <w:sz w:val="32"/>
                <w:szCs w:val="32"/>
                <w:lang w:eastAsia="zh-CN"/>
              </w:rPr>
              <w:t>单位</w:t>
            </w:r>
            <w:r>
              <w:rPr>
                <w:rFonts w:hint="eastAsia" w:ascii="华文仿宋" w:hAnsi="华文仿宋" w:eastAsia="华文仿宋"/>
                <w:sz w:val="32"/>
                <w:szCs w:val="32"/>
              </w:rPr>
              <w:t>项目资金全部按财政国库集中支付制度要求使用和拨付，通过财政直接支付方式拨付给项</w:t>
            </w:r>
            <w:r>
              <w:rPr>
                <w:rFonts w:hint="eastAsia" w:ascii="华文仿宋" w:hAnsi="华文仿宋" w:eastAsia="华文仿宋"/>
                <w:sz w:val="32"/>
                <w:szCs w:val="32"/>
                <w:lang w:eastAsia="zh-CN"/>
              </w:rPr>
              <w:t>目</w:t>
            </w:r>
            <w:r>
              <w:rPr>
                <w:rFonts w:hint="eastAsia" w:ascii="华文仿宋" w:hAnsi="华文仿宋" w:eastAsia="华文仿宋"/>
                <w:sz w:val="32"/>
                <w:szCs w:val="32"/>
              </w:rPr>
              <w:t>实施单位。在拨付过程中严把监督审核关，建立内部审批制度，财务做好项目专帐，严格实行专款专用，保证资金及时足额用到项目中。</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80" w:lineRule="exact"/>
              <w:ind w:firstLine="643" w:firstLineChars="200"/>
              <w:jc w:val="left"/>
              <w:rPr>
                <w:rFonts w:hint="eastAsia" w:ascii="楷体_GB2312" w:eastAsia="楷体_GB2312" w:cs="仿宋_GB2312"/>
                <w:b/>
                <w:sz w:val="32"/>
                <w:szCs w:val="32"/>
              </w:rPr>
            </w:pPr>
            <w:r>
              <w:rPr>
                <w:rFonts w:hint="eastAsia" w:ascii="楷体_GB2312" w:eastAsia="楷体_GB2312" w:cs="仿宋_GB2312"/>
                <w:b/>
                <w:sz w:val="32"/>
                <w:szCs w:val="32"/>
              </w:rPr>
              <w:t>（一）专项组织情况分析</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2022年项目采取以项目实施单位为主体，严格按照监管的管理体制，项目建设严格按照区财政局的要求，对于没有达到财评的项目采取议价的方式进行实施，达到财评标准的建设项目严格按财评的要求，进行财评和公开招标程序办理，其他项目由于投资较小，均未达到招投标金额标准，因此由项目实施单位自行组织实施。项目按照申报方案实施，有变更的按照项目管理制度经审批后再作调整实施。年终组织专业技术人员对项目进行了验收，项目任务全部完成，质量全部达标。</w:t>
            </w:r>
          </w:p>
          <w:p>
            <w:pPr>
              <w:spacing w:line="600" w:lineRule="exact"/>
              <w:ind w:firstLine="643" w:firstLineChars="200"/>
              <w:jc w:val="left"/>
              <w:rPr>
                <w:rFonts w:hint="eastAsia" w:ascii="楷体_GB2312" w:eastAsia="楷体_GB2312" w:cs="仿宋_GB2312"/>
                <w:b/>
                <w:sz w:val="32"/>
                <w:szCs w:val="32"/>
              </w:rPr>
            </w:pPr>
            <w:r>
              <w:rPr>
                <w:rFonts w:hint="eastAsia" w:ascii="楷体_GB2312" w:eastAsia="楷体_GB2312" w:cs="仿宋_GB2312"/>
                <w:b/>
                <w:sz w:val="32"/>
                <w:szCs w:val="32"/>
              </w:rPr>
              <w:t>（二）专项管理情况分析</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按照项目资金管理制度要求，对项目实施和资金使用分配方案坚持</w:t>
            </w:r>
            <w:r>
              <w:rPr>
                <w:rFonts w:hint="eastAsia" w:ascii="仿宋" w:hAnsi="仿宋" w:eastAsia="仿宋" w:cs="仿宋_GB2312"/>
                <w:sz w:val="32"/>
                <w:szCs w:val="32"/>
                <w:lang w:eastAsia="zh-CN"/>
              </w:rPr>
              <w:t>按“三重一大”</w:t>
            </w:r>
            <w:r>
              <w:rPr>
                <w:rFonts w:hint="eastAsia" w:ascii="仿宋" w:hAnsi="仿宋" w:eastAsia="仿宋" w:cs="仿宋_GB2312"/>
                <w:sz w:val="32"/>
                <w:szCs w:val="32"/>
              </w:rPr>
              <w:t>集体决策。对各项目制订工作方案，明确完成的具体时间，开展项目规划设计、部署工作，认真落实建设任务。</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600" w:lineRule="exact"/>
              <w:ind w:firstLine="420"/>
              <w:rPr>
                <w:rFonts w:ascii="华文仿宋" w:hAnsi="华文仿宋" w:eastAsia="华文仿宋"/>
                <w:sz w:val="32"/>
                <w:szCs w:val="32"/>
              </w:rPr>
            </w:pPr>
            <w:r>
              <w:rPr>
                <w:rFonts w:hint="eastAsia" w:ascii="华文仿宋" w:hAnsi="华文仿宋" w:eastAsia="华文仿宋"/>
                <w:sz w:val="32"/>
                <w:szCs w:val="32"/>
              </w:rPr>
              <w:t>（一）部门整体支出绩效评价依据</w:t>
            </w:r>
          </w:p>
          <w:p>
            <w:pPr>
              <w:spacing w:line="600" w:lineRule="exact"/>
              <w:ind w:firstLine="643" w:firstLineChars="201"/>
              <w:rPr>
                <w:rFonts w:eastAsia="仿宋_GB2312"/>
                <w:sz w:val="32"/>
                <w:szCs w:val="32"/>
              </w:rPr>
            </w:pPr>
            <w:r>
              <w:rPr>
                <w:rFonts w:hint="eastAsia" w:ascii="华文仿宋" w:hAnsi="华文仿宋" w:eastAsia="华文仿宋"/>
                <w:sz w:val="32"/>
                <w:szCs w:val="32"/>
              </w:rPr>
              <w:t>1、《岳阳市君山区财政局关于开展202</w:t>
            </w:r>
            <w:r>
              <w:rPr>
                <w:rFonts w:hint="eastAsia" w:ascii="华文仿宋" w:hAnsi="华文仿宋" w:eastAsia="华文仿宋"/>
                <w:sz w:val="32"/>
                <w:szCs w:val="32"/>
                <w:lang w:val="en-US" w:eastAsia="zh-CN"/>
              </w:rPr>
              <w:t>2</w:t>
            </w:r>
            <w:r>
              <w:rPr>
                <w:rFonts w:hint="eastAsia" w:ascii="华文仿宋" w:hAnsi="华文仿宋" w:eastAsia="华文仿宋"/>
                <w:sz w:val="32"/>
                <w:szCs w:val="32"/>
              </w:rPr>
              <w:t>年度部门整体支出绩效自评工作的通知》</w:t>
            </w:r>
            <w:r>
              <w:rPr>
                <w:rFonts w:hint="eastAsia" w:ascii="华文仿宋" w:hAnsi="华文仿宋" w:eastAsia="华文仿宋"/>
                <w:sz w:val="32"/>
                <w:szCs w:val="32"/>
                <w:lang w:eastAsia="zh-CN"/>
              </w:rPr>
              <w:t>、</w:t>
            </w:r>
            <w:r>
              <w:rPr>
                <w:rFonts w:eastAsia="仿宋_GB2312"/>
                <w:sz w:val="32"/>
                <w:szCs w:val="32"/>
              </w:rPr>
              <w:t>《预算法》</w:t>
            </w:r>
            <w:r>
              <w:rPr>
                <w:rFonts w:hint="eastAsia" w:eastAsia="仿宋_GB2312"/>
                <w:sz w:val="32"/>
                <w:szCs w:val="32"/>
              </w:rPr>
              <w:t>、</w:t>
            </w:r>
            <w:r>
              <w:rPr>
                <w:rFonts w:eastAsia="仿宋_GB2312"/>
                <w:sz w:val="32"/>
                <w:szCs w:val="32"/>
              </w:rPr>
              <w:t>《党政机关厉行节约反对浪费条例》、</w:t>
            </w:r>
            <w:r>
              <w:rPr>
                <w:rFonts w:eastAsia="仿宋_GB2312"/>
                <w:color w:val="auto"/>
                <w:kern w:val="0"/>
                <w:sz w:val="32"/>
                <w:szCs w:val="32"/>
              </w:rPr>
              <w:t>财政部《项目支出绩效评价管理办法》（财预〔2020〕10号）</w:t>
            </w:r>
            <w:r>
              <w:rPr>
                <w:rFonts w:hint="eastAsia" w:eastAsia="仿宋_GB2312"/>
                <w:color w:val="auto"/>
                <w:kern w:val="0"/>
                <w:sz w:val="32"/>
                <w:szCs w:val="32"/>
              </w:rPr>
              <w:t>、</w:t>
            </w:r>
            <w:r>
              <w:rPr>
                <w:rFonts w:hint="eastAsia" w:ascii="仿宋" w:hAnsi="仿宋" w:eastAsia="仿宋" w:cs="仿宋"/>
                <w:color w:val="auto"/>
                <w:sz w:val="32"/>
                <w:szCs w:val="32"/>
              </w:rPr>
              <w:t>湖南省财政厅关于印发《湖南省预算支出绩效评价管理办法》的通知（湘财绩〔</w:t>
            </w:r>
            <w:r>
              <w:rPr>
                <w:rFonts w:hint="eastAsia" w:ascii="仿宋" w:hAnsi="仿宋" w:eastAsia="仿宋" w:cs="仿宋"/>
                <w:color w:val="auto"/>
                <w:spacing w:val="-6"/>
                <w:sz w:val="32"/>
                <w:szCs w:val="32"/>
              </w:rPr>
              <w:t>2020</w:t>
            </w:r>
            <w:r>
              <w:rPr>
                <w:rFonts w:hint="eastAsia" w:ascii="仿宋" w:hAnsi="仿宋" w:eastAsia="仿宋" w:cs="仿宋"/>
                <w:color w:val="auto"/>
                <w:sz w:val="32"/>
                <w:szCs w:val="32"/>
              </w:rPr>
              <w:t>〕7号）</w:t>
            </w:r>
            <w:r>
              <w:rPr>
                <w:rFonts w:eastAsia="仿宋_GB2312"/>
                <w:color w:val="auto"/>
                <w:sz w:val="32"/>
                <w:szCs w:val="32"/>
              </w:rPr>
              <w:t>，</w:t>
            </w:r>
            <w:r>
              <w:rPr>
                <w:rFonts w:eastAsia="仿宋_GB2312"/>
                <w:sz w:val="32"/>
                <w:szCs w:val="32"/>
              </w:rPr>
              <w:t>以及中央、省市有关政策规定和各行业财务会计制度。</w:t>
            </w:r>
          </w:p>
          <w:p>
            <w:pPr>
              <w:adjustRightInd w:val="0"/>
              <w:snapToGrid w:val="0"/>
              <w:spacing w:line="640" w:lineRule="exact"/>
              <w:ind w:firstLine="640" w:firstLineChars="200"/>
              <w:contextualSpacing/>
              <w:rPr>
                <w:rFonts w:eastAsia="仿宋_GB2312"/>
                <w:sz w:val="32"/>
                <w:szCs w:val="32"/>
              </w:rPr>
            </w:pPr>
            <w:r>
              <w:rPr>
                <w:rFonts w:hint="eastAsia" w:ascii="华文仿宋" w:hAnsi="华文仿宋" w:eastAsia="华文仿宋"/>
                <w:sz w:val="32"/>
                <w:szCs w:val="32"/>
                <w:lang w:val="en-US" w:eastAsia="zh-CN"/>
              </w:rPr>
              <w:t>2</w:t>
            </w:r>
            <w:r>
              <w:rPr>
                <w:rFonts w:hint="eastAsia" w:ascii="华文仿宋" w:hAnsi="华文仿宋" w:eastAsia="华文仿宋"/>
                <w:sz w:val="32"/>
                <w:szCs w:val="32"/>
              </w:rPr>
              <w:t>、</w:t>
            </w:r>
            <w:r>
              <w:rPr>
                <w:rFonts w:eastAsia="仿宋_GB2312"/>
                <w:sz w:val="32"/>
                <w:szCs w:val="32"/>
              </w:rPr>
              <w:t>部门职能职责、年度工作计划，专项资金绩效目标、专项资金及项目管理办法。</w:t>
            </w:r>
          </w:p>
          <w:p>
            <w:pPr>
              <w:adjustRightInd w:val="0"/>
              <w:snapToGrid w:val="0"/>
              <w:spacing w:line="640" w:lineRule="exact"/>
              <w:ind w:firstLine="640" w:firstLineChars="200"/>
              <w:contextualSpacing/>
              <w:rPr>
                <w:rFonts w:eastAsia="仿宋_GB2312"/>
              </w:rPr>
            </w:pPr>
            <w:r>
              <w:rPr>
                <w:rFonts w:hint="eastAsia" w:eastAsia="仿宋_GB2312"/>
                <w:sz w:val="32"/>
                <w:szCs w:val="32"/>
                <w:lang w:val="en-US" w:eastAsia="zh-CN"/>
              </w:rPr>
              <w:t>3</w:t>
            </w:r>
            <w:r>
              <w:rPr>
                <w:rFonts w:hint="eastAsia" w:eastAsia="仿宋_GB2312"/>
                <w:sz w:val="32"/>
                <w:szCs w:val="32"/>
              </w:rPr>
              <w:t>、</w:t>
            </w:r>
            <w:r>
              <w:rPr>
                <w:rFonts w:eastAsia="仿宋_GB2312"/>
                <w:sz w:val="32"/>
                <w:szCs w:val="32"/>
              </w:rPr>
              <w:t>部门预算资金、财政部门预算批复、部门年度预算执行情况、年度决算报告，项目审计报告和完成验收报告等。</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（二）部门整体支出绩效评价的目的</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通过对202</w:t>
            </w:r>
            <w:r>
              <w:rPr>
                <w:rFonts w:hint="eastAsia" w:ascii="华文仿宋" w:hAnsi="华文仿宋" w:eastAsia="华文仿宋"/>
                <w:sz w:val="32"/>
                <w:szCs w:val="32"/>
                <w:lang w:val="en-US" w:eastAsia="zh-CN"/>
              </w:rPr>
              <w:t>2</w:t>
            </w:r>
            <w:r>
              <w:rPr>
                <w:rFonts w:hint="eastAsia" w:ascii="华文仿宋" w:hAnsi="华文仿宋" w:eastAsia="华文仿宋"/>
                <w:sz w:val="32"/>
                <w:szCs w:val="32"/>
              </w:rPr>
              <w:t>年度君山区</w:t>
            </w:r>
            <w:r>
              <w:rPr>
                <w:rFonts w:hint="eastAsia" w:ascii="华文仿宋" w:hAnsi="华文仿宋" w:eastAsia="华文仿宋"/>
                <w:sz w:val="32"/>
                <w:szCs w:val="32"/>
                <w:lang w:val="en-US" w:eastAsia="zh-CN"/>
              </w:rPr>
              <w:t>政协</w:t>
            </w:r>
            <w:r>
              <w:rPr>
                <w:rFonts w:hint="eastAsia" w:ascii="华文仿宋" w:hAnsi="华文仿宋" w:eastAsia="华文仿宋"/>
                <w:sz w:val="32"/>
                <w:szCs w:val="32"/>
              </w:rPr>
              <w:t>的预算配置、预算管理、资产管理、职责履行、履职效益等内容的绩效考评，提高财政资金的使用效率，为预算管理提供决策依据。</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（三）部门整体支出评价原则、指标评价体系、评价方法</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1、部门整体支出绩效评价原则：遵循客观公正，操作简便高效，尊重客观实际，实事求是的原则。</w:t>
            </w:r>
          </w:p>
          <w:p>
            <w:pPr>
              <w:spacing w:before="156" w:beforeLines="50" w:line="348" w:lineRule="auto"/>
              <w:ind w:firstLine="480" w:firstLineChars="150"/>
              <w:rPr>
                <w:rFonts w:ascii="华文仿宋" w:hAnsi="华文仿宋" w:eastAsia="华文仿宋"/>
                <w:sz w:val="32"/>
                <w:szCs w:val="32"/>
              </w:rPr>
            </w:pPr>
            <w:r>
              <w:rPr>
                <w:rFonts w:hint="eastAsia" w:ascii="华文仿宋" w:hAnsi="华文仿宋" w:eastAsia="华文仿宋"/>
                <w:sz w:val="32"/>
                <w:szCs w:val="32"/>
              </w:rPr>
              <w:t>2、整体支出绩效评价体系：指标体系包括共性指标和个性指标两部分，本次主要参照了上级财政部门制定的《部门整体支出绩效评价指标体系》的相关内容，根据部门具体情况对个性指标进行了调整细化，形成《</w:t>
            </w:r>
            <w:r>
              <w:rPr>
                <w:rFonts w:hint="eastAsia" w:ascii="Times New Roman" w:hAnsi="Times New Roman" w:eastAsia="仿宋_GB2312" w:cs="Times New Roman"/>
                <w:sz w:val="32"/>
                <w:szCs w:val="32"/>
              </w:rPr>
              <w:t>中国人民政治协商会议岳阳市君山区委员会</w:t>
            </w:r>
            <w:r>
              <w:rPr>
                <w:rFonts w:hint="eastAsia" w:ascii="华文仿宋" w:hAnsi="华文仿宋" w:eastAsia="华文仿宋"/>
                <w:sz w:val="32"/>
                <w:szCs w:val="32"/>
              </w:rPr>
              <w:t>202</w:t>
            </w:r>
            <w:r>
              <w:rPr>
                <w:rFonts w:hint="eastAsia" w:ascii="华文仿宋" w:hAnsi="华文仿宋" w:eastAsia="华文仿宋"/>
                <w:sz w:val="32"/>
                <w:szCs w:val="32"/>
                <w:lang w:val="en-US" w:eastAsia="zh-CN"/>
              </w:rPr>
              <w:t>2</w:t>
            </w:r>
            <w:r>
              <w:rPr>
                <w:rFonts w:hint="eastAsia" w:ascii="华文仿宋" w:hAnsi="华文仿宋" w:eastAsia="华文仿宋"/>
                <w:sz w:val="32"/>
                <w:szCs w:val="32"/>
              </w:rPr>
              <w:t>年整体支出绩效评价指标体系》。</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3、整体支出绩效评价方法：主要采用因素分析法、投入产支出效益分析法，比较法等方法。</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（四）整体支出绩效评价过程</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1、前期准备：按照绩效自评工作要求，组成以</w:t>
            </w:r>
            <w:r>
              <w:rPr>
                <w:rFonts w:hint="eastAsia" w:ascii="华文仿宋" w:hAnsi="华文仿宋" w:eastAsia="华文仿宋"/>
                <w:sz w:val="32"/>
                <w:szCs w:val="32"/>
                <w:lang w:eastAsia="zh-CN"/>
              </w:rPr>
              <w:t>杨再兴</w:t>
            </w:r>
            <w:r>
              <w:rPr>
                <w:rFonts w:hint="eastAsia" w:ascii="华文仿宋" w:hAnsi="华文仿宋" w:eastAsia="华文仿宋"/>
                <w:sz w:val="32"/>
                <w:szCs w:val="32"/>
              </w:rPr>
              <w:t>同志为组长的绩效评价工作小组，对相关的国家法律法规进行了认真学习，掌握政策，根据部门整体收支情况制定了部门整体支出绩效评价实施方案，设计了绩效评价指标体系。</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2、组织实施：采用核查法，核查202</w:t>
            </w:r>
            <w:r>
              <w:rPr>
                <w:rFonts w:hint="eastAsia" w:ascii="华文仿宋" w:hAnsi="华文仿宋" w:eastAsia="华文仿宋"/>
                <w:sz w:val="32"/>
                <w:szCs w:val="32"/>
                <w:lang w:val="en-US" w:eastAsia="zh-CN"/>
              </w:rPr>
              <w:t>2</w:t>
            </w:r>
            <w:r>
              <w:rPr>
                <w:rFonts w:hint="eastAsia" w:ascii="华文仿宋" w:hAnsi="华文仿宋" w:eastAsia="华文仿宋"/>
                <w:sz w:val="32"/>
                <w:szCs w:val="32"/>
              </w:rPr>
              <w:t>年度区级预算批复执行及部门整体支出情况，着重核查了“三公”经费及资产管理，内部控制制度情况，对内设机构，根据部门职能和年初制定的绩效考核目标，进行了实地绩效考评。</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3、分析评价：对评价过程中收集资料进行归纳，汇总分析，依据设定的部门整体支出绩效评价指标体系进行了评分，形成了综合性书面报告。</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根据考核评分细则，本单位严格按照国家的相关财务管理制度规定，财务制度健全，会计核算规范，依照计划管理使用，整体支出对保障区</w:t>
            </w:r>
            <w:r>
              <w:rPr>
                <w:rFonts w:hint="eastAsia" w:ascii="仿宋" w:hAnsi="仿宋" w:eastAsia="仿宋" w:cs="仿宋_GB2312"/>
                <w:sz w:val="32"/>
                <w:szCs w:val="32"/>
                <w:lang w:val="en-US" w:eastAsia="zh-CN"/>
              </w:rPr>
              <w:t>政协</w:t>
            </w:r>
            <w:r>
              <w:rPr>
                <w:rFonts w:hint="eastAsia" w:ascii="仿宋" w:hAnsi="仿宋" w:eastAsia="仿宋" w:cs="仿宋_GB2312"/>
                <w:sz w:val="32"/>
                <w:szCs w:val="32"/>
              </w:rPr>
              <w:t>工作的正常运行</w:t>
            </w:r>
            <w:bookmarkStart w:id="0" w:name="_GoBack"/>
            <w:bookmarkEnd w:id="0"/>
            <w:r>
              <w:rPr>
                <w:rFonts w:hint="eastAsia" w:ascii="仿宋" w:hAnsi="仿宋" w:eastAsia="仿宋" w:cs="仿宋_GB2312"/>
                <w:sz w:val="32"/>
                <w:szCs w:val="32"/>
              </w:rPr>
              <w:t>发挥了重要保障作用。按照部门整体支出绩效评价指标体系对照打分得出结果为9</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分。</w:t>
            </w:r>
          </w:p>
          <w:p>
            <w:pPr>
              <w:numPr>
                <w:ilvl w:val="0"/>
                <w:numId w:val="1"/>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pPr>
              <w:pStyle w:val="2"/>
              <w:numPr>
                <w:ilvl w:val="0"/>
                <w:numId w:val="0"/>
              </w:numPr>
              <w:ind w:firstLine="640" w:firstLineChars="200"/>
            </w:pPr>
            <w:r>
              <w:rPr>
                <w:rFonts w:hint="eastAsia" w:ascii="仿宋_GB2312" w:hAnsi="仿宋" w:eastAsia="仿宋_GB2312"/>
                <w:sz w:val="32"/>
                <w:szCs w:val="32"/>
              </w:rPr>
              <w:t>委员学习的深度与广度还要进一步推进，机关信息化建设还不能适应新时代政协工作要求，联络联谊还需进一步密切，履职成果的转化还需进一步加强</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numPr>
                <w:ilvl w:val="0"/>
                <w:numId w:val="0"/>
              </w:numPr>
              <w:spacing w:line="560" w:lineRule="exact"/>
              <w:ind w:leftChars="200"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w:t>
            </w:r>
            <w:r>
              <w:rPr>
                <w:rFonts w:hint="eastAsia" w:ascii="仿宋" w:hAnsi="仿宋" w:eastAsia="仿宋" w:cs="仿宋"/>
                <w:sz w:val="32"/>
                <w:szCs w:val="32"/>
                <w:lang w:val="en-US" w:eastAsia="zh-CN"/>
              </w:rPr>
              <w:t>强化理论武装，坚定政治方向</w:t>
            </w:r>
            <w:r>
              <w:rPr>
                <w:rFonts w:hint="eastAsia" w:ascii="仿宋" w:hAnsi="仿宋" w:eastAsia="仿宋"/>
                <w:sz w:val="32"/>
                <w:szCs w:val="32"/>
                <w:lang w:val="en-US" w:eastAsia="zh-CN"/>
              </w:rPr>
              <w:t>；</w:t>
            </w:r>
          </w:p>
          <w:p>
            <w:pPr>
              <w:numPr>
                <w:ilvl w:val="0"/>
                <w:numId w:val="0"/>
              </w:numPr>
              <w:spacing w:line="560" w:lineRule="exact"/>
              <w:ind w:leftChars="200" w:firstLine="640" w:firstLineChars="200"/>
              <w:rPr>
                <w:rFonts w:hint="eastAsia" w:ascii="仿宋" w:hAnsi="仿宋" w:eastAsia="仿宋" w:cs="仿宋"/>
                <w:sz w:val="32"/>
                <w:szCs w:val="32"/>
                <w:lang w:val="en-US" w:eastAsia="zh-CN"/>
              </w:rPr>
            </w:pPr>
            <w:r>
              <w:rPr>
                <w:rFonts w:hint="eastAsia" w:ascii="仿宋" w:hAnsi="仿宋" w:eastAsia="仿宋"/>
                <w:sz w:val="32"/>
                <w:szCs w:val="32"/>
                <w:lang w:val="en-US" w:eastAsia="zh-CN"/>
              </w:rPr>
              <w:t>2、</w:t>
            </w:r>
            <w:r>
              <w:rPr>
                <w:rFonts w:hint="eastAsia" w:ascii="仿宋" w:hAnsi="仿宋" w:eastAsia="仿宋" w:cs="仿宋"/>
                <w:sz w:val="32"/>
                <w:szCs w:val="32"/>
                <w:lang w:val="en-US" w:eastAsia="zh-CN"/>
              </w:rPr>
              <w:t>严格政治纪律，严守政治规矩。</w:t>
            </w:r>
          </w:p>
          <w:p>
            <w:pPr>
              <w:rPr>
                <w:rFonts w:eastAsia="楷体_GB2312"/>
                <w:bCs/>
                <w:sz w:val="28"/>
                <w:szCs w:val="28"/>
              </w:rPr>
            </w:pPr>
          </w:p>
        </w:tc>
      </w:tr>
    </w:tbl>
    <w:p/>
    <w:p>
      <w:pPr>
        <w:pStyle w:val="2"/>
      </w:pPr>
    </w:p>
    <w:p>
      <w:pPr>
        <w:rPr>
          <w:rFonts w:ascii="黑体" w:hAnsi="黑体" w:eastAsia="黑体"/>
          <w:sz w:val="32"/>
          <w:szCs w:val="32"/>
        </w:rPr>
      </w:pPr>
      <w:r>
        <w:rPr>
          <w:rFonts w:hint="eastAsia" w:ascii="黑体" w:hAnsi="黑体" w:eastAsia="黑体"/>
          <w:sz w:val="32"/>
          <w:szCs w:val="32"/>
        </w:rPr>
        <w:t>附件4-1</w:t>
      </w:r>
    </w:p>
    <w:p>
      <w:pPr>
        <w:spacing w:before="312" w:beforeLines="100" w:after="312" w:afterLines="100"/>
        <w:jc w:val="center"/>
        <w:rPr>
          <w:rFonts w:ascii="方正小标宋简体" w:eastAsia="方正小标宋简体"/>
          <w:sz w:val="36"/>
          <w:szCs w:val="36"/>
        </w:rPr>
      </w:pPr>
      <w:r>
        <w:rPr>
          <w:rFonts w:hint="eastAsia" w:ascii="方正小标宋简体" w:eastAsia="方正小标宋简体"/>
          <w:sz w:val="36"/>
          <w:szCs w:val="36"/>
        </w:rPr>
        <w:t>部门整体支出绩效评价评分表（参考样表）</w:t>
      </w: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6"/>
        <w:gridCol w:w="939"/>
        <w:gridCol w:w="1389"/>
        <w:gridCol w:w="4171"/>
        <w:gridCol w:w="619"/>
        <w:gridCol w:w="72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6"/>
        <w:gridCol w:w="939"/>
        <w:gridCol w:w="1389"/>
        <w:gridCol w:w="4171"/>
        <w:gridCol w:w="619"/>
        <w:gridCol w:w="72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资产管理有待进一步加强。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99</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spacing w:before="156"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1448" w:wrap="around" w:vAnchor="text" w:hAnchor="margin" w:xAlign="outside" w:y="7"/>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Style w:val="7"/>
                            </w:rPr>
                          </w:pPr>
                          <w:r>
                            <w:rPr>
                              <w:rStyle w:val="7"/>
                              <w:rFonts w:hint="eastAsia"/>
                            </w:rPr>
                            <w:t xml:space="preserve">— </w:t>
                          </w:r>
                          <w:r>
                            <w:fldChar w:fldCharType="begin"/>
                          </w:r>
                          <w:r>
                            <w:rPr>
                              <w:rStyle w:val="7"/>
                            </w:rPr>
                            <w:instrText xml:space="preserve">PAGE  </w:instrText>
                          </w:r>
                          <w:r>
                            <w:fldChar w:fldCharType="separate"/>
                          </w:r>
                          <w:r>
                            <w:rPr>
                              <w:rStyle w:val="7"/>
                            </w:rPr>
                            <w:t>4</w:t>
                          </w:r>
                          <w:r>
                            <w:fldChar w:fldCharType="end"/>
                          </w:r>
                          <w:r>
                            <w:rPr>
                              <w:rStyle w:val="7"/>
                              <w:rFonts w:hint="eastAsia"/>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4"/>
                      <w:rPr>
                        <w:rStyle w:val="7"/>
                      </w:rPr>
                    </w:pPr>
                    <w:r>
                      <w:rPr>
                        <w:rStyle w:val="7"/>
                        <w:rFonts w:hint="eastAsia"/>
                      </w:rPr>
                      <w:t xml:space="preserve">— </w:t>
                    </w:r>
                    <w:r>
                      <w:fldChar w:fldCharType="begin"/>
                    </w:r>
                    <w:r>
                      <w:rPr>
                        <w:rStyle w:val="7"/>
                      </w:rPr>
                      <w:instrText xml:space="preserve">PAGE  </w:instrText>
                    </w:r>
                    <w:r>
                      <w:fldChar w:fldCharType="separate"/>
                    </w:r>
                    <w:r>
                      <w:rPr>
                        <w:rStyle w:val="7"/>
                      </w:rPr>
                      <w:t>4</w:t>
                    </w:r>
                    <w:r>
                      <w:fldChar w:fldCharType="end"/>
                    </w:r>
                    <w:r>
                      <w:rPr>
                        <w:rStyle w:val="7"/>
                        <w:rFonts w:hint="eastAsia"/>
                      </w:rPr>
                      <w:t xml:space="preserve"> —</w:t>
                    </w:r>
                  </w:p>
                </w:txbxContent>
              </v:textbox>
            </v:shape>
          </w:pict>
        </mc:Fallback>
      </mc:AlternateConten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AC4480"/>
    <w:multiLevelType w:val="singleLevel"/>
    <w:tmpl w:val="D6AC4480"/>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4OWI1YTBjMDVmMmNiM2E1MjU2ZTkzMDY0OTdlNjQifQ=="/>
  </w:docVars>
  <w:rsids>
    <w:rsidRoot w:val="63E61672"/>
    <w:rsid w:val="08342633"/>
    <w:rsid w:val="0CCC46A4"/>
    <w:rsid w:val="12877A04"/>
    <w:rsid w:val="18062DF3"/>
    <w:rsid w:val="1B8F5890"/>
    <w:rsid w:val="225676AE"/>
    <w:rsid w:val="3A010FEA"/>
    <w:rsid w:val="45950DAF"/>
    <w:rsid w:val="617661B0"/>
    <w:rsid w:val="63E61672"/>
    <w:rsid w:val="66B27CBF"/>
    <w:rsid w:val="79481B63"/>
    <w:rsid w:val="7B8C1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after="0"/>
      <w:ind w:left="0" w:firstLine="420" w:firstLineChars="200"/>
    </w:pPr>
    <w:rPr>
      <w:rFonts w:ascii="Calibri" w:hAnsi="Calibri"/>
    </w:rPr>
  </w:style>
  <w:style w:type="paragraph" w:styleId="3">
    <w:name w:val="Body Text Indent"/>
    <w:basedOn w:val="1"/>
    <w:qFormat/>
    <w:uiPriority w:val="0"/>
    <w:pPr>
      <w:spacing w:after="120"/>
      <w:ind w:left="420" w:leftChars="200"/>
    </w:pPr>
    <w:rPr>
      <w:rFonts w:eastAsia="宋体" w:cs="Times New Roman"/>
    </w:rPr>
  </w:style>
  <w:style w:type="paragraph" w:styleId="4">
    <w:name w:val="footer"/>
    <w:basedOn w:val="1"/>
    <w:qFormat/>
    <w:uiPriority w:val="0"/>
    <w:pPr>
      <w:tabs>
        <w:tab w:val="center" w:pos="4153"/>
        <w:tab w:val="right" w:pos="8306"/>
      </w:tabs>
      <w:snapToGrid w:val="0"/>
      <w:jc w:val="left"/>
    </w:pPr>
    <w:rPr>
      <w:kern w:val="0"/>
      <w:sz w:val="18"/>
      <w:szCs w:val="18"/>
    </w:rPr>
  </w:style>
  <w:style w:type="character" w:customStyle="1" w:styleId="7">
    <w:name w:val="page number"/>
    <w:qFormat/>
    <w:uiPriority w:val="0"/>
  </w:style>
  <w:style w:type="paragraph" w:customStyle="1" w:styleId="8">
    <w:name w:val="正文-公1"/>
    <w:basedOn w:val="1"/>
    <w:qFormat/>
    <w:uiPriority w:val="0"/>
    <w:pPr>
      <w:ind w:firstLine="200" w:firstLineChars="200"/>
    </w:pPr>
    <w:rPr>
      <w:color w:val="00000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5994</Words>
  <Characters>6325</Characters>
  <Lines>0</Lines>
  <Paragraphs>0</Paragraphs>
  <TotalTime>3</TotalTime>
  <ScaleCrop>false</ScaleCrop>
  <LinksUpToDate>false</LinksUpToDate>
  <CharactersWithSpaces>6808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2023-06-26T08:07:00Z</dcterms:created>
  <dc:creator>Administrator</dc:creator>
  <cp:lastModifiedBy>Administrator</cp:lastModifiedBy>
  <dcterms:modified xsi:type="dcterms:W3CDTF">2023-07-23T08:24:27Z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866BD18D8F734DEBA5A25501D76F3668_11</vt:lpwstr>
  </property>
</Properties>
</file>