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jc w:val="center"/>
        <w:rPr>
          <w:rFonts w:eastAsia="方正小标宋简体"/>
          <w:bCs/>
          <w:sz w:val="46"/>
          <w:szCs w:val="46"/>
        </w:rPr>
      </w:pPr>
      <w:r>
        <w:rPr>
          <w:rFonts w:hint="eastAsia" w:eastAsia="方正小标宋简体"/>
          <w:bCs/>
          <w:sz w:val="46"/>
          <w:szCs w:val="46"/>
        </w:rPr>
        <w:t>君山区20</w:t>
      </w:r>
      <w:r>
        <w:rPr>
          <w:rFonts w:hint="eastAsia" w:eastAsia="方正小标宋简体"/>
          <w:bCs/>
          <w:sz w:val="46"/>
          <w:szCs w:val="46"/>
          <w:lang w:val="en-US" w:eastAsia="zh-CN"/>
        </w:rPr>
        <w:t>22</w:t>
      </w:r>
      <w:r>
        <w:rPr>
          <w:rFonts w:hint="eastAsia" w:eastAsia="方正小标宋简体"/>
          <w:bCs/>
          <w:sz w:val="46"/>
          <w:szCs w:val="46"/>
        </w:rPr>
        <w:t>年度部门（单位）整体支出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rPr>
          <w:rFonts w:eastAsia="仿宋_GB2312"/>
          <w:b/>
          <w:sz w:val="32"/>
        </w:rPr>
      </w:pPr>
    </w:p>
    <w:p>
      <w:pPr>
        <w:spacing w:before="156" w:beforeLines="50" w:line="348" w:lineRule="auto"/>
        <w:ind w:firstLine="476" w:firstLineChars="150"/>
        <w:rPr>
          <w:rFonts w:eastAsia="仿宋_GB2312"/>
          <w:sz w:val="32"/>
          <w:szCs w:val="32"/>
          <w:u w:val="single"/>
        </w:rPr>
      </w:pPr>
      <w:r>
        <w:rPr>
          <w:rFonts w:hint="eastAsia" w:eastAsia="仿宋_GB2312"/>
          <w:sz w:val="32"/>
          <w:szCs w:val="32"/>
        </w:rPr>
        <w:t>部门(单位)名称：岳阳市君山区融媒体中心</w:t>
      </w:r>
    </w:p>
    <w:p>
      <w:pPr>
        <w:spacing w:before="156" w:beforeLines="50" w:line="348" w:lineRule="auto"/>
        <w:ind w:firstLine="476"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30"/>
          <w:sz w:val="32"/>
          <w:szCs w:val="32"/>
          <w:lang w:val="en-US" w:eastAsia="zh-CN"/>
        </w:rPr>
        <w:t>133001</w:t>
      </w:r>
    </w:p>
    <w:p>
      <w:pPr>
        <w:spacing w:before="156"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156"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 xml:space="preserve">报告日期： </w:t>
      </w:r>
      <w:r>
        <w:rPr>
          <w:rFonts w:hint="eastAsia" w:eastAsia="仿宋_GB2312"/>
          <w:sz w:val="32"/>
          <w:lang w:val="en-US" w:eastAsia="zh-CN"/>
        </w:rPr>
        <w:t>2023</w:t>
      </w:r>
      <w:r>
        <w:rPr>
          <w:rFonts w:hint="eastAsia" w:eastAsia="仿宋_GB2312"/>
          <w:sz w:val="32"/>
        </w:rPr>
        <w:t xml:space="preserve">  年 </w:t>
      </w:r>
      <w:r>
        <w:rPr>
          <w:rFonts w:hint="eastAsia" w:eastAsia="仿宋_GB2312"/>
          <w:sz w:val="32"/>
          <w:lang w:val="en-US" w:eastAsia="zh-CN"/>
        </w:rPr>
        <w:t>6</w:t>
      </w:r>
      <w:r>
        <w:rPr>
          <w:rFonts w:hint="eastAsia" w:eastAsia="仿宋_GB2312"/>
          <w:sz w:val="32"/>
        </w:rPr>
        <w:t xml:space="preserve">  月 </w:t>
      </w:r>
      <w:r>
        <w:rPr>
          <w:rFonts w:hint="eastAsia" w:eastAsia="仿宋_GB2312"/>
          <w:sz w:val="32"/>
          <w:lang w:val="en-US" w:eastAsia="zh-CN"/>
        </w:rPr>
        <w:t>25</w:t>
      </w:r>
      <w:r>
        <w:rPr>
          <w:rFonts w:hint="eastAsia" w:eastAsia="仿宋_GB2312"/>
          <w:sz w:val="32"/>
        </w:rPr>
        <w:t xml:space="preserve">  日</w:t>
      </w:r>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君山区财政</w:t>
      </w:r>
      <w:r>
        <w:rPr>
          <w:rFonts w:hint="eastAsia" w:eastAsia="仿宋_GB2312"/>
          <w:sz w:val="32"/>
          <w:szCs w:val="32"/>
        </w:rPr>
        <w:t>局（制）</w:t>
      </w:r>
    </w:p>
    <w:tbl>
      <w:tblPr>
        <w:tblStyle w:val="7"/>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rPr>
            </w:pPr>
            <w:r>
              <w:rPr>
                <w:rFonts w:hint="eastAsia" w:ascii="宋体" w:hAnsi="宋体" w:cs="仿宋_GB2312"/>
                <w:color w:val="000000"/>
                <w:sz w:val="24"/>
              </w:rPr>
              <w:t>徐旻</w:t>
            </w:r>
          </w:p>
        </w:tc>
        <w:tc>
          <w:tcPr>
            <w:tcW w:w="1479" w:type="dxa"/>
            <w:noWrap w:val="0"/>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rPr>
              <w:t>联络电话</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rPr>
            </w:pPr>
            <w:r>
              <w:rPr>
                <w:rFonts w:hint="eastAsia" w:ascii="宋体" w:hAnsi="宋体" w:cs="仿宋_GB2312"/>
                <w:color w:val="000000"/>
                <w:sz w:val="24"/>
              </w:rPr>
              <w:t>0730-8171301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26</w:t>
            </w:r>
          </w:p>
        </w:tc>
        <w:tc>
          <w:tcPr>
            <w:tcW w:w="1479" w:type="dxa"/>
            <w:noWrap w:val="0"/>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rPr>
              <w:t>实有人数</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25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00"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noWrap w:val="0"/>
            <w:vAlign w:val="center"/>
          </w:tcPr>
          <w:p>
            <w:pPr>
              <w:numPr>
                <w:ilvl w:val="0"/>
                <w:numId w:val="1"/>
              </w:numPr>
              <w:autoSpaceDN w:val="0"/>
              <w:spacing w:line="320" w:lineRule="exact"/>
              <w:ind w:firstLine="480" w:firstLineChars="200"/>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贯彻执行党和国家新闻宣传的路线、方针、政策。把握正确的舆论导向，围绕区委、区政府中心工作，开展全区新闻宣传报道。</w:t>
            </w:r>
          </w:p>
          <w:p>
            <w:pPr>
              <w:numPr>
                <w:ilvl w:val="0"/>
                <w:numId w:val="1"/>
              </w:numPr>
              <w:autoSpaceDN w:val="0"/>
              <w:spacing w:line="320" w:lineRule="exact"/>
              <w:ind w:left="0" w:leftChars="0" w:firstLine="480" w:firstLineChars="200"/>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承办重大宣传活动的直播、录播工作;负责各行政执法部门的舆论监督。</w:t>
            </w:r>
          </w:p>
          <w:p>
            <w:pPr>
              <w:numPr>
                <w:ilvl w:val="0"/>
                <w:numId w:val="1"/>
              </w:numPr>
              <w:autoSpaceDN w:val="0"/>
              <w:spacing w:line="320" w:lineRule="exact"/>
              <w:ind w:left="0" w:leftChars="0" w:firstLine="480" w:firstLineChars="200"/>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承办君山融媒体中心、君山应急广播电台、君山新闻网、君山手机报、君山微信公众号、君山在线APP（新湖南客户端君山频道）等媒体。</w:t>
            </w:r>
          </w:p>
          <w:p>
            <w:pPr>
              <w:numPr>
                <w:ilvl w:val="0"/>
                <w:numId w:val="1"/>
              </w:numPr>
              <w:autoSpaceDN w:val="0"/>
              <w:spacing w:line="320" w:lineRule="exact"/>
              <w:ind w:left="0" w:leftChars="0" w:firstLine="480" w:firstLineChars="200"/>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按照区委工作机关拟定全区新闻媒体事业发展规划具体实施；负责全区官方新媒体的研究和开发利用。</w:t>
            </w:r>
          </w:p>
          <w:p>
            <w:pPr>
              <w:numPr>
                <w:ilvl w:val="0"/>
                <w:numId w:val="1"/>
              </w:numPr>
              <w:autoSpaceDN w:val="0"/>
              <w:spacing w:line="320" w:lineRule="exact"/>
              <w:ind w:left="0" w:leftChars="0" w:firstLine="480" w:firstLineChars="200"/>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负责广播、电视等媒体的监听、监看工作，组织审查自办节目频道播出的电视剧、电影和其他节目的内容和质量，确保广播、电视节目优质安全播出。负责农村广播“村村响”节目录制和播出。</w:t>
            </w:r>
          </w:p>
          <w:p>
            <w:pPr>
              <w:numPr>
                <w:ilvl w:val="0"/>
                <w:numId w:val="1"/>
              </w:numPr>
              <w:autoSpaceDN w:val="0"/>
              <w:spacing w:line="320" w:lineRule="exact"/>
              <w:ind w:left="0" w:leftChars="0" w:firstLine="480" w:firstLineChars="200"/>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负责全区党员教育音视频课件制作。</w:t>
            </w:r>
          </w:p>
          <w:p>
            <w:pPr>
              <w:numPr>
                <w:ilvl w:val="0"/>
                <w:numId w:val="1"/>
              </w:numPr>
              <w:autoSpaceDN w:val="0"/>
              <w:spacing w:line="320" w:lineRule="exact"/>
              <w:ind w:left="0" w:leftChars="0" w:firstLine="480" w:firstLineChars="200"/>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负责全区新闻宣传人才的培训、培养、引进和使用工作，简历统分结合、机动灵活、因事设岗、精干高效的管理体制。</w:t>
            </w:r>
          </w:p>
          <w:p>
            <w:pPr>
              <w:numPr>
                <w:ilvl w:val="0"/>
                <w:numId w:val="1"/>
              </w:numPr>
              <w:autoSpaceDN w:val="0"/>
              <w:spacing w:line="320" w:lineRule="exact"/>
              <w:ind w:left="0" w:leftChars="0" w:firstLine="480" w:firstLineChars="200"/>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加强与中央、省、市各类媒体的联系与合作。</w:t>
            </w:r>
          </w:p>
          <w:p>
            <w:pPr>
              <w:numPr>
                <w:ilvl w:val="0"/>
                <w:numId w:val="0"/>
              </w:numPr>
              <w:autoSpaceDN w:val="0"/>
              <w:spacing w:line="320" w:lineRule="exact"/>
              <w:ind w:firstLine="480" w:firstLineChars="200"/>
              <w:jc w:val="both"/>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（九）承办区委、区政府交办的其他事项。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991"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noWrap w:val="0"/>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 xml:space="preserve">任务1：精准有力引导舆论。     </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 xml:space="preserve">任务2：对外宣传有力有效。     </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 xml:space="preserve">任务3：加强主流宣传平台建设。     </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任务4：完善值机制度。</w:t>
            </w:r>
          </w:p>
          <w:p>
            <w:pPr>
              <w:autoSpaceDN w:val="0"/>
              <w:spacing w:line="320" w:lineRule="exact"/>
              <w:jc w:val="both"/>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任务5：队伍建设出新出彩。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773"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君山区融媒体中心在区委、区政府的坚强领导下，在区委宣传部的直接管理和正确指导下，坚持以习近平新时代中国特色社会主义思想为指导，全面贯彻落实党的二十大精神，坚持宣传抓导向、播出保安全、事业谋发展的理念，凝心聚力、砥砺奋进，各项工作取得了扎实成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41" w:hRule="atLeast"/>
          <w:jc w:val="center"/>
        </w:trPr>
        <w:tc>
          <w:tcPr>
            <w:tcW w:w="1700" w:type="dxa"/>
            <w:gridSpan w:val="3"/>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974.42</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916.85</w:t>
            </w:r>
          </w:p>
        </w:tc>
        <w:tc>
          <w:tcPr>
            <w:tcW w:w="1705"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80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57.57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noWrap w:val="0"/>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974.42</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rPr>
            </w:pP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916.85</w:t>
            </w:r>
          </w:p>
        </w:tc>
        <w:tc>
          <w:tcPr>
            <w:tcW w:w="1705" w:type="dxa"/>
            <w:gridSpan w:val="2"/>
            <w:noWrap w:val="0"/>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rPr>
            </w:pPr>
          </w:p>
        </w:tc>
        <w:tc>
          <w:tcPr>
            <w:tcW w:w="1800" w:type="dxa"/>
            <w:gridSpan w:val="4"/>
            <w:noWrap w:val="0"/>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rPr>
            </w:pPr>
          </w:p>
        </w:tc>
        <w:tc>
          <w:tcPr>
            <w:tcW w:w="1080" w:type="dxa"/>
            <w:gridSpan w:val="3"/>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57.57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noWrap w:val="0"/>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705" w:type="dxa"/>
            <w:gridSpan w:val="2"/>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noWrap w:val="0"/>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705" w:type="dxa"/>
            <w:gridSpan w:val="2"/>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noWrap w:val="0"/>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967.17</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821.79</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372.19</w:t>
            </w:r>
          </w:p>
        </w:tc>
        <w:tc>
          <w:tcPr>
            <w:tcW w:w="216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449.6</w:t>
            </w:r>
          </w:p>
        </w:tc>
        <w:tc>
          <w:tcPr>
            <w:tcW w:w="1080" w:type="dxa"/>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145.38</w:t>
            </w:r>
          </w:p>
        </w:tc>
        <w:tc>
          <w:tcPr>
            <w:tcW w:w="720" w:type="dxa"/>
            <w:gridSpan w:val="3"/>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 w:eastAsia="zh-CN"/>
              </w:rPr>
            </w:pPr>
            <w:r>
              <w:rPr>
                <w:rFonts w:hint="eastAsia" w:ascii="仿宋_GB2312" w:hAnsi="仿宋_GB2312" w:eastAsia="仿宋_GB2312" w:cs="仿宋_GB2312"/>
                <w:color w:val="000000"/>
                <w:sz w:val="24"/>
                <w:lang w:val="en-US" w:eastAsia="zh-CN"/>
              </w:rPr>
              <w:t>7.2</w:t>
            </w:r>
            <w:r>
              <w:rPr>
                <w:rFonts w:hint="default" w:ascii="仿宋_GB2312" w:hAnsi="仿宋_GB2312" w:eastAsia="仿宋_GB2312" w:cs="仿宋_GB2312"/>
                <w:color w:val="000000"/>
                <w:sz w:val="24"/>
                <w:lang w:val="en" w:eastAsia="zh-CN"/>
              </w:rPr>
              <w:t>5</w:t>
            </w:r>
          </w:p>
        </w:tc>
        <w:tc>
          <w:tcPr>
            <w:tcW w:w="625" w:type="dxa"/>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967.17</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821.79</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372.19</w:t>
            </w:r>
          </w:p>
        </w:tc>
        <w:tc>
          <w:tcPr>
            <w:tcW w:w="216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449.6</w:t>
            </w:r>
          </w:p>
        </w:tc>
        <w:tc>
          <w:tcPr>
            <w:tcW w:w="1080" w:type="dxa"/>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145.38</w:t>
            </w:r>
          </w:p>
        </w:tc>
        <w:tc>
          <w:tcPr>
            <w:tcW w:w="720" w:type="dxa"/>
            <w:gridSpan w:val="3"/>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 w:eastAsia="zh-CN"/>
              </w:rPr>
            </w:pPr>
            <w:r>
              <w:rPr>
                <w:rFonts w:hint="eastAsia" w:ascii="仿宋_GB2312" w:hAnsi="仿宋_GB2312" w:eastAsia="仿宋_GB2312" w:cs="仿宋_GB2312"/>
                <w:color w:val="000000"/>
                <w:sz w:val="24"/>
                <w:lang w:val="en-US" w:eastAsia="zh-CN"/>
              </w:rPr>
              <w:t>7.2</w:t>
            </w:r>
            <w:r>
              <w:rPr>
                <w:rFonts w:hint="default" w:ascii="仿宋_GB2312" w:hAnsi="仿宋_GB2312" w:eastAsia="仿宋_GB2312" w:cs="仿宋_GB2312"/>
                <w:color w:val="000000"/>
                <w:sz w:val="24"/>
                <w:lang w:val="en" w:eastAsia="zh-CN"/>
              </w:rPr>
              <w:t>5</w:t>
            </w:r>
            <w:bookmarkStart w:id="0" w:name="_GoBack"/>
            <w:bookmarkEnd w:id="0"/>
          </w:p>
        </w:tc>
        <w:tc>
          <w:tcPr>
            <w:tcW w:w="625" w:type="dxa"/>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noWrap w:val="0"/>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8.86</w:t>
            </w: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8.86</w:t>
            </w: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8.86</w:t>
            </w: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8.86</w:t>
            </w: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noWrap w:val="0"/>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487.69</w:t>
            </w:r>
          </w:p>
        </w:tc>
        <w:tc>
          <w:tcPr>
            <w:tcW w:w="2435" w:type="dxa"/>
            <w:gridSpan w:val="4"/>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487.69</w:t>
            </w:r>
          </w:p>
        </w:tc>
        <w:tc>
          <w:tcPr>
            <w:tcW w:w="364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487.69</w:t>
            </w:r>
          </w:p>
        </w:tc>
        <w:tc>
          <w:tcPr>
            <w:tcW w:w="2435" w:type="dxa"/>
            <w:gridSpan w:val="4"/>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487.69</w:t>
            </w:r>
          </w:p>
        </w:tc>
        <w:tc>
          <w:tcPr>
            <w:tcW w:w="364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4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4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3774" w:type="dxa"/>
            <w:gridSpan w:val="7"/>
            <w:noWrap w:val="0"/>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w:t>
            </w:r>
            <w:r>
              <w:rPr>
                <w:rFonts w:hint="eastAsia" w:ascii="仿宋_GB2312" w:hAnsi="仿宋_GB2312" w:eastAsia="仿宋_GB2312" w:cs="仿宋_GB2312"/>
                <w:color w:val="000000"/>
                <w:sz w:val="24"/>
              </w:rPr>
              <w:t>1：</w:t>
            </w:r>
            <w:r>
              <w:rPr>
                <w:rFonts w:hint="eastAsia" w:ascii="仿宋_GB2312" w:hAnsi="仿宋_GB2312" w:eastAsia="仿宋_GB2312" w:cs="仿宋_GB2312"/>
                <w:color w:val="000000"/>
                <w:sz w:val="24"/>
                <w:lang w:val="en-US" w:eastAsia="zh-CN"/>
              </w:rPr>
              <w:t>精心组织宣传报道。</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目标2：提高站位，落实责任。</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目标3：打造一支新闻铁军。</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目标4：广播电视信号全覆盖。</w:t>
            </w:r>
          </w:p>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目标5：完成其他工作。</w:t>
            </w:r>
          </w:p>
          <w:p>
            <w:pPr>
              <w:autoSpaceDN w:val="0"/>
              <w:spacing w:line="320" w:lineRule="exact"/>
              <w:jc w:val="left"/>
              <w:textAlignment w:val="center"/>
              <w:rPr>
                <w:rFonts w:ascii="仿宋_GB2312" w:hAnsi="仿宋_GB2312" w:eastAsia="仿宋_GB2312" w:cs="仿宋_GB2312"/>
                <w:color w:val="000000"/>
                <w:sz w:val="24"/>
              </w:rPr>
            </w:pPr>
          </w:p>
        </w:tc>
        <w:tc>
          <w:tcPr>
            <w:tcW w:w="4585" w:type="dxa"/>
            <w:gridSpan w:val="9"/>
            <w:noWrap w:val="0"/>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共播出《君山新闻》79档，播发稿件428条；《君山在线》编发稿件264档1391篇；《君山融媒》视频号策划制作小视频240余条；广播“村村响”每天7:30、12：00、18:00三档正常播出，开设了《理论村村通》《党史上的今天》《新闻速递》等栏目，在央视连续的露脸，将君山区“守护好一江碧水、建设好精致君山”的理念推介到全国人民眼前。重要保障期内，领导带队值班，与技术人员一道值守一线，积极营造安全优质、稳定可靠的播出环境，确保安全播出、安全生产万无一失，全年实现安全播出零事故发生。</w:t>
            </w:r>
          </w:p>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417" w:type="dxa"/>
            <w:gridSpan w:val="2"/>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指标1：全覆盖广播电视信号</w:t>
            </w:r>
          </w:p>
        </w:tc>
        <w:tc>
          <w:tcPr>
            <w:tcW w:w="2684" w:type="dxa"/>
            <w:gridSpan w:val="6"/>
            <w:noWrap w:val="0"/>
            <w:vAlign w:val="center"/>
          </w:tcPr>
          <w:p>
            <w:pPr>
              <w:autoSpaceDN w:val="0"/>
              <w:spacing w:line="320" w:lineRule="exact"/>
              <w:jc w:val="left"/>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投资</w:t>
            </w:r>
            <w:r>
              <w:rPr>
                <w:rFonts w:hint="eastAsia" w:ascii="仿宋_GB2312" w:hAnsi="仿宋_GB2312" w:eastAsia="仿宋_GB2312" w:cs="仿宋_GB2312"/>
                <w:color w:val="000000"/>
                <w:sz w:val="24"/>
                <w:lang w:val="en-US" w:eastAsia="zh-CN"/>
              </w:rPr>
              <w:t>12</w:t>
            </w:r>
            <w:r>
              <w:rPr>
                <w:rFonts w:hint="eastAsia" w:ascii="仿宋_GB2312" w:hAnsi="仿宋_GB2312" w:eastAsia="仿宋_GB2312" w:cs="仿宋_GB2312"/>
                <w:color w:val="000000"/>
                <w:sz w:val="24"/>
              </w:rPr>
              <w:t>万左右完成新建、在建小区的广播电视基础设施建设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50"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spacing w:line="320" w:lineRule="exact"/>
              <w:rPr>
                <w:rFonts w:ascii="仿宋_GB2312" w:hAnsi="仿宋_GB2312" w:eastAsia="仿宋_GB2312" w:cs="仿宋_GB2312"/>
                <w:sz w:val="24"/>
              </w:rPr>
            </w:pPr>
          </w:p>
        </w:tc>
        <w:tc>
          <w:tcPr>
            <w:tcW w:w="2709"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指标2：加强设备维护和检修</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邀请专业技术人员对值机人员进行业务培训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有力引导宣传工作</w:t>
            </w:r>
          </w:p>
        </w:tc>
        <w:tc>
          <w:tcPr>
            <w:tcW w:w="2684" w:type="dxa"/>
            <w:gridSpan w:val="6"/>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共播出《君山新闻》79档，播发稿件428条；《君山在线》编发稿件264档1391篇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81"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指标2：广播“村村响”</w:t>
            </w:r>
            <w:r>
              <w:rPr>
                <w:rFonts w:hint="eastAsia" w:ascii="仿宋_GB2312" w:hAnsi="仿宋_GB2312" w:eastAsia="仿宋_GB2312" w:cs="仿宋_GB2312"/>
                <w:color w:val="000000"/>
                <w:sz w:val="24"/>
                <w:lang w:eastAsia="zh-CN"/>
              </w:rPr>
              <w:t>按时播出</w:t>
            </w:r>
          </w:p>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每天7:30、12：00、18:00三档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noWrap w:val="0"/>
            <w:vAlign w:val="center"/>
          </w:tcPr>
          <w:p>
            <w:pPr>
              <w:autoSpaceDN w:val="0"/>
              <w:spacing w:line="320" w:lineRule="exact"/>
              <w:jc w:val="both"/>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 xml:space="preserve"> 指标1：2022年12月底完成融媒体中心建设扫尾工作。</w:t>
            </w:r>
          </w:p>
        </w:tc>
        <w:tc>
          <w:tcPr>
            <w:tcW w:w="2684" w:type="dxa"/>
            <w:gridSpan w:val="6"/>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已完成计划工作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05"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noWrap w:val="0"/>
            <w:vAlign w:val="center"/>
          </w:tcPr>
          <w:p>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 xml:space="preserve"> 指标2：各项工作计划在2022年12月前全面完成。</w:t>
            </w:r>
          </w:p>
          <w:p>
            <w:pPr>
              <w:autoSpaceDN w:val="0"/>
              <w:spacing w:line="320" w:lineRule="exact"/>
              <w:jc w:val="both"/>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 xml:space="preserve"> </w:t>
            </w:r>
          </w:p>
        </w:tc>
        <w:tc>
          <w:tcPr>
            <w:tcW w:w="2684" w:type="dxa"/>
            <w:gridSpan w:val="6"/>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noWrap w:val="0"/>
            <w:vAlign w:val="center"/>
          </w:tcPr>
          <w:p>
            <w:pPr>
              <w:autoSpaceDN w:val="0"/>
              <w:spacing w:line="320" w:lineRule="exact"/>
              <w:jc w:val="both"/>
              <w:textAlignment w:val="center"/>
              <w:rPr>
                <w:rFonts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指标1：严格控制预算支出</w:t>
            </w:r>
          </w:p>
        </w:tc>
        <w:tc>
          <w:tcPr>
            <w:tcW w:w="2684" w:type="dxa"/>
            <w:gridSpan w:val="6"/>
            <w:noWrap w:val="0"/>
            <w:vAlign w:val="center"/>
          </w:tcPr>
          <w:p>
            <w:pPr>
              <w:autoSpaceDN w:val="0"/>
              <w:spacing w:line="320" w:lineRule="exact"/>
              <w:jc w:val="left"/>
              <w:textAlignment w:val="center"/>
              <w:rPr>
                <w:rFonts w:ascii="仿宋_GB2312" w:hAnsi="仿宋_GB2312" w:eastAsia="仿宋_GB2312" w:cs="仿宋_GB2312"/>
                <w:b/>
                <w:color w:val="000000"/>
                <w:kern w:val="2"/>
                <w:sz w:val="24"/>
                <w:szCs w:val="24"/>
                <w:lang w:val="en-US" w:eastAsia="zh-CN"/>
              </w:rPr>
            </w:pPr>
            <w:r>
              <w:rPr>
                <w:rFonts w:hint="eastAsia" w:ascii="仿宋_GB2312" w:hAnsi="仿宋_GB2312" w:eastAsia="仿宋_GB2312" w:cs="仿宋_GB2312"/>
                <w:color w:val="000000"/>
                <w:sz w:val="24"/>
                <w:lang w:val="en-US" w:eastAsia="zh-CN"/>
              </w:rPr>
              <w:t>一般性支出较上年下降了5%。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93"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noWrap w:val="0"/>
            <w:vAlign w:val="center"/>
          </w:tcPr>
          <w:p>
            <w:pPr>
              <w:autoSpaceDN w:val="0"/>
              <w:spacing w:line="320" w:lineRule="exact"/>
              <w:jc w:val="both"/>
              <w:textAlignment w:val="center"/>
              <w:rPr>
                <w:rFonts w:hint="eastAsia"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指标2：严把融媒体项目建设关。</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1：帮助广大农村群众了解相关知识</w:t>
            </w:r>
          </w:p>
        </w:tc>
        <w:tc>
          <w:tcPr>
            <w:tcW w:w="2684" w:type="dxa"/>
            <w:gridSpan w:val="6"/>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对疫情防控、电信反诈、防灾减灾等相关宣传工作进行滚动播放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1：推进“农文旅体”融合大发展</w:t>
            </w:r>
          </w:p>
        </w:tc>
        <w:tc>
          <w:tcPr>
            <w:tcW w:w="2684" w:type="dxa"/>
            <w:gridSpan w:val="6"/>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策划创作了有味新洲村、柳毅路、江湖君山、岳马长江、美食君山等系列小视频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noWrap w:val="0"/>
            <w:vAlign w:val="center"/>
          </w:tcPr>
          <w:p>
            <w:pPr>
              <w:autoSpaceDN w:val="0"/>
              <w:spacing w:line="320" w:lineRule="exact"/>
              <w:jc w:val="both"/>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指标：通过各种媒体加强环保、生态宣传，提高全区人民保护环境，保护良好生态的意识。</w:t>
            </w:r>
          </w:p>
        </w:tc>
        <w:tc>
          <w:tcPr>
            <w:tcW w:w="2684" w:type="dxa"/>
            <w:gridSpan w:val="6"/>
            <w:noWrap w:val="0"/>
            <w:vAlign w:val="center"/>
          </w:tcPr>
          <w:p>
            <w:pPr>
              <w:autoSpaceDN w:val="0"/>
              <w:spacing w:line="320" w:lineRule="exact"/>
              <w:jc w:val="both"/>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提高了生态环保质量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noWrap w:val="0"/>
            <w:vAlign w:val="center"/>
          </w:tcPr>
          <w:p>
            <w:pPr>
              <w:autoSpaceDN w:val="0"/>
              <w:spacing w:line="320" w:lineRule="exact"/>
              <w:jc w:val="both"/>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指标：人民群众的满意度达95%以上。</w:t>
            </w:r>
          </w:p>
        </w:tc>
        <w:tc>
          <w:tcPr>
            <w:tcW w:w="2684" w:type="dxa"/>
            <w:gridSpan w:val="6"/>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val="0"/>
                <w:bCs/>
                <w:color w:val="000000"/>
                <w:sz w:val="24"/>
              </w:rPr>
              <w:t>满意度达98%</w:t>
            </w:r>
            <w:r>
              <w:rPr>
                <w:rFonts w:hint="eastAsia" w:ascii="仿宋_GB2312" w:hAnsi="仿宋_GB2312" w:eastAsia="仿宋_GB2312" w:cs="仿宋_GB2312"/>
                <w:b w:val="0"/>
                <w:bCs/>
                <w:color w:val="000000"/>
                <w:sz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highlight w:val="yellow"/>
                <w:lang w:val="en-US" w:eastAsia="zh-CN"/>
              </w:rPr>
            </w:pPr>
            <w:r>
              <w:rPr>
                <w:rFonts w:hint="eastAsia" w:ascii="仿宋_GB2312" w:hAnsi="仿宋_GB2312" w:eastAsia="仿宋_GB2312" w:cs="仿宋_GB2312"/>
                <w:color w:val="000000"/>
                <w:sz w:val="24"/>
                <w:highlight w:val="yellow"/>
                <w:lang w:val="en-US" w:eastAsia="zh-CN"/>
              </w:rPr>
              <w:t>杨才武</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主任</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融媒体</w:t>
            </w:r>
          </w:p>
        </w:tc>
        <w:tc>
          <w:tcPr>
            <w:tcW w:w="3106" w:type="dxa"/>
            <w:gridSpan w:val="8"/>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highlight w:val="yellow"/>
                <w:lang w:eastAsia="zh-CN"/>
              </w:rPr>
            </w:pPr>
            <w:r>
              <w:rPr>
                <w:rFonts w:hint="eastAsia" w:ascii="仿宋_GB2312" w:hAnsi="仿宋_GB2312" w:eastAsia="仿宋_GB2312" w:cs="仿宋_GB2312"/>
                <w:color w:val="000000"/>
                <w:sz w:val="24"/>
                <w:highlight w:val="yellow"/>
                <w:lang w:eastAsia="zh-CN"/>
              </w:rPr>
              <w:t>王雨虹</w:t>
            </w:r>
          </w:p>
        </w:tc>
        <w:tc>
          <w:tcPr>
            <w:tcW w:w="3561"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副主任</w:t>
            </w:r>
          </w:p>
        </w:tc>
        <w:tc>
          <w:tcPr>
            <w:tcW w:w="1479" w:type="dxa"/>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融媒体</w:t>
            </w:r>
          </w:p>
        </w:tc>
        <w:tc>
          <w:tcPr>
            <w:tcW w:w="3106" w:type="dxa"/>
            <w:gridSpan w:val="8"/>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highlight w:val="yellow"/>
                <w:lang w:eastAsia="zh-CN"/>
              </w:rPr>
            </w:pPr>
            <w:r>
              <w:rPr>
                <w:rFonts w:hint="eastAsia" w:ascii="仿宋_GB2312" w:hAnsi="仿宋_GB2312" w:eastAsia="仿宋_GB2312" w:cs="仿宋_GB2312"/>
                <w:color w:val="000000"/>
                <w:sz w:val="24"/>
                <w:highlight w:val="yellow"/>
                <w:lang w:eastAsia="zh-CN"/>
              </w:rPr>
              <w:t>卢拥政</w:t>
            </w:r>
          </w:p>
        </w:tc>
        <w:tc>
          <w:tcPr>
            <w:tcW w:w="3561"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副主任</w:t>
            </w:r>
          </w:p>
        </w:tc>
        <w:tc>
          <w:tcPr>
            <w:tcW w:w="1479" w:type="dxa"/>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融媒体</w:t>
            </w:r>
          </w:p>
        </w:tc>
        <w:tc>
          <w:tcPr>
            <w:tcW w:w="3106" w:type="dxa"/>
            <w:gridSpan w:val="8"/>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61"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79" w:type="dxa"/>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00" w:type="dxa"/>
            <w:gridSpan w:val="17"/>
            <w:noWrap w:val="0"/>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财政部门归口业务股室负责人（签章）：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联系电话：</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560" w:firstLineChars="200"/>
              <w:rPr>
                <w:rFonts w:eastAsia="仿宋_GB2312"/>
                <w:sz w:val="32"/>
                <w:szCs w:val="32"/>
              </w:rPr>
            </w:pPr>
            <w:r>
              <w:rPr>
                <w:rFonts w:hint="eastAsia" w:ascii="仿宋_GB2312" w:hAnsi="仿宋_GB2312" w:eastAsia="仿宋_GB2312" w:cs="仿宋_GB2312"/>
                <w:bCs/>
                <w:sz w:val="28"/>
                <w:szCs w:val="28"/>
                <w:lang w:val="en-US" w:eastAsia="zh-CN"/>
              </w:rPr>
              <w:t>《预算法》、《党政机关厉行节约反对浪费条例》、财政部《项目支出绩效评价管理办法》（财预〔2020〕10号）、湖南省财政厅关于印发《湖南省预算支出绩效评价管理办法》的通知（湘财绩〔2020〕7号），以及中央、省市有关政策规定和各行业财务会计制度。</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我单位属正科级纯公益类事业单位,主要承担全区电视新闻和电视节目、广告的制作和播出、电视产业经营工作。下设君山电广传媒有限公司、广告公司、新闻部、制作部、办公室。共有从业人员25人。君山融媒体中心履行“围绕中心、服务大局”这一基本职能，全面展示了区域政治、经济、社会、文化、生态、文明等各方面发展的新动态、新成果。</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（二）部门主要职能</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岳阳市君山区融媒体中心是区政府直属正科级公益类事业单位，归口区委融媒体中心管理，主要职责是贯彻执行党和国家新闻宣传的路线、方针、政策。把握正确的舆论导向，围绕区委、区政府中心工作，开展全区新闻宣传报道；承办重大宣传活动的直播、录播工作;负责各行政执法部门的舆论监督；承办君山融媒体中心、君山应急广播电台、君山新闻网、君山手机报、君山微信公众号、君山在线APP（新湖南客户端君山频道）等媒体；按照区委工作机关拟定全区新闻媒体事业发展规划具体实施；负责全区官方新媒体的研究和开发利用；负责广播、电视等媒体的监听、监看工作，组织审查自办节目频道播出的电视剧、电影和其他节目的内容和质量，确保广播、电视节目优质安全播出。负责农村广播“村村响”节目录制和播出；负责全区党员教育音视频课件制作；负责全区新闻宣传人才的培训、培养、引进和使用工作，简历统分结合、机动灵活、因事设岗、精干高效的管理体制；加强与中央、省、市各类媒体的联系与合作；承办区委、区政府交办的其他事项。</w:t>
            </w:r>
          </w:p>
          <w:p>
            <w:pPr>
              <w:numPr>
                <w:ilvl w:val="0"/>
                <w:numId w:val="2"/>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部门（单位）整体支出规模、使用方向和主要内容、涉及范围等</w:t>
            </w:r>
          </w:p>
          <w:p>
            <w:pPr>
              <w:spacing w:line="560" w:lineRule="exact"/>
            </w:pPr>
            <w:r>
              <w:rPr>
                <w:rFonts w:hint="eastAsia" w:ascii="仿宋_GB2312" w:hAnsi="仿宋_GB2312" w:eastAsia="仿宋_GB2312" w:cs="仿宋_GB2312"/>
                <w:bCs/>
                <w:sz w:val="28"/>
                <w:szCs w:val="28"/>
                <w:lang w:val="en-US" w:eastAsia="zh-CN"/>
              </w:rPr>
              <w:t>2022年本单位整体支出967.17万元，其中基本支出821.79万元，占总支出的84.34%，基本支出中人员支出为372.19万元，公用支出449.6万元；项目支出145.38万元，占总支出的15.66%。</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360" w:lineRule="auto"/>
              <w:ind w:firstLine="560" w:firstLineChars="200"/>
              <w:rPr>
                <w:rFonts w:hint="eastAsia" w:ascii="仿宋_GB2312" w:hAnsi="仿宋_GB2312" w:eastAsia="仿宋_GB2312" w:cs="仿宋_GB2312"/>
                <w:bCs/>
                <w:color w:val="auto"/>
                <w:sz w:val="28"/>
                <w:szCs w:val="28"/>
              </w:rPr>
            </w:pPr>
            <w:r>
              <w:rPr>
                <w:rFonts w:hint="eastAsia" w:ascii="仿宋_GB2312" w:hAnsi="仿宋_GB2312" w:eastAsia="仿宋_GB2312" w:cs="仿宋_GB2312"/>
                <w:bCs/>
                <w:sz w:val="28"/>
                <w:szCs w:val="28"/>
              </w:rPr>
              <w:t>基本支出用于为保障机构正常运转、完成日常工作任务而发生的支出，包括人员经费和公用经费。202</w:t>
            </w:r>
            <w:r>
              <w:rPr>
                <w:rFonts w:hint="eastAsia" w:ascii="仿宋_GB2312" w:hAnsi="仿宋_GB2312" w:eastAsia="仿宋_GB2312" w:cs="仿宋_GB2312"/>
                <w:bCs/>
                <w:sz w:val="28"/>
                <w:szCs w:val="28"/>
                <w:lang w:val="en-US" w:eastAsia="zh-CN"/>
              </w:rPr>
              <w:t>2</w:t>
            </w:r>
            <w:r>
              <w:rPr>
                <w:rFonts w:hint="eastAsia" w:ascii="仿宋_GB2312" w:hAnsi="仿宋_GB2312" w:eastAsia="仿宋_GB2312" w:cs="仿宋_GB2312"/>
                <w:bCs/>
                <w:sz w:val="28"/>
                <w:szCs w:val="28"/>
              </w:rPr>
              <w:t>年基本支出</w:t>
            </w:r>
            <w:r>
              <w:rPr>
                <w:rFonts w:hint="eastAsia" w:ascii="仿宋_GB2312" w:hAnsi="仿宋_GB2312" w:eastAsia="仿宋_GB2312" w:cs="仿宋_GB2312"/>
                <w:bCs/>
                <w:sz w:val="28"/>
                <w:szCs w:val="28"/>
                <w:lang w:val="en-US" w:eastAsia="zh-CN"/>
              </w:rPr>
              <w:t>821.79</w:t>
            </w:r>
            <w:r>
              <w:rPr>
                <w:rFonts w:hint="eastAsia" w:ascii="仿宋_GB2312" w:hAnsi="仿宋_GB2312" w:eastAsia="仿宋_GB2312" w:cs="仿宋_GB2312"/>
                <w:bCs/>
                <w:sz w:val="28"/>
                <w:szCs w:val="28"/>
              </w:rPr>
              <w:t>万</w:t>
            </w:r>
            <w:r>
              <w:rPr>
                <w:rFonts w:hint="eastAsia" w:ascii="仿宋_GB2312" w:hAnsi="仿宋_GB2312" w:eastAsia="仿宋_GB2312" w:cs="仿宋_GB2312"/>
                <w:bCs/>
                <w:color w:val="auto"/>
                <w:sz w:val="28"/>
                <w:szCs w:val="28"/>
              </w:rPr>
              <w:t>元，其中：工资福利支出</w:t>
            </w:r>
            <w:r>
              <w:rPr>
                <w:rFonts w:hint="eastAsia" w:ascii="仿宋_GB2312" w:hAnsi="仿宋_GB2312" w:eastAsia="仿宋_GB2312" w:cs="仿宋_GB2312"/>
                <w:bCs/>
                <w:color w:val="auto"/>
                <w:sz w:val="28"/>
                <w:szCs w:val="28"/>
                <w:lang w:val="en-US" w:eastAsia="zh-CN"/>
              </w:rPr>
              <w:t>330.49</w:t>
            </w:r>
            <w:r>
              <w:rPr>
                <w:rFonts w:hint="eastAsia" w:ascii="仿宋_GB2312" w:hAnsi="仿宋_GB2312" w:eastAsia="仿宋_GB2312" w:cs="仿宋_GB2312"/>
                <w:bCs/>
                <w:color w:val="auto"/>
                <w:sz w:val="28"/>
                <w:szCs w:val="28"/>
              </w:rPr>
              <w:t>万元，占基本支出的</w:t>
            </w:r>
            <w:r>
              <w:rPr>
                <w:rFonts w:hint="eastAsia" w:ascii="仿宋_GB2312" w:hAnsi="仿宋_GB2312" w:eastAsia="仿宋_GB2312" w:cs="仿宋_GB2312"/>
                <w:bCs/>
                <w:color w:val="auto"/>
                <w:sz w:val="28"/>
                <w:szCs w:val="28"/>
                <w:lang w:val="en-US" w:eastAsia="zh-CN"/>
              </w:rPr>
              <w:t>40.22</w:t>
            </w:r>
            <w:r>
              <w:rPr>
                <w:rFonts w:hint="eastAsia" w:ascii="仿宋_GB2312" w:hAnsi="仿宋_GB2312" w:eastAsia="仿宋_GB2312" w:cs="仿宋_GB2312"/>
                <w:bCs/>
                <w:color w:val="auto"/>
                <w:sz w:val="28"/>
                <w:szCs w:val="28"/>
              </w:rPr>
              <w:t>%；商品和服务支出</w:t>
            </w:r>
            <w:r>
              <w:rPr>
                <w:rFonts w:hint="eastAsia" w:ascii="仿宋_GB2312" w:hAnsi="仿宋_GB2312" w:eastAsia="仿宋_GB2312" w:cs="仿宋_GB2312"/>
                <w:bCs/>
                <w:color w:val="auto"/>
                <w:sz w:val="28"/>
                <w:szCs w:val="28"/>
                <w:lang w:val="en-US" w:eastAsia="zh-CN"/>
              </w:rPr>
              <w:t>426.34</w:t>
            </w:r>
            <w:r>
              <w:rPr>
                <w:rFonts w:hint="eastAsia" w:ascii="仿宋_GB2312" w:hAnsi="仿宋_GB2312" w:eastAsia="仿宋_GB2312" w:cs="仿宋_GB2312"/>
                <w:bCs/>
                <w:color w:val="auto"/>
                <w:sz w:val="28"/>
                <w:szCs w:val="28"/>
              </w:rPr>
              <w:t>万元，占基本支出的</w:t>
            </w:r>
            <w:r>
              <w:rPr>
                <w:rFonts w:hint="eastAsia" w:ascii="仿宋_GB2312" w:hAnsi="仿宋_GB2312" w:eastAsia="仿宋_GB2312" w:cs="仿宋_GB2312"/>
                <w:bCs/>
                <w:color w:val="auto"/>
                <w:sz w:val="28"/>
                <w:szCs w:val="28"/>
                <w:lang w:val="en-US" w:eastAsia="zh-CN"/>
              </w:rPr>
              <w:t>51.88</w:t>
            </w:r>
            <w:r>
              <w:rPr>
                <w:rFonts w:hint="eastAsia" w:ascii="仿宋_GB2312" w:hAnsi="仿宋_GB2312" w:eastAsia="仿宋_GB2312" w:cs="仿宋_GB2312"/>
                <w:bCs/>
                <w:color w:val="auto"/>
                <w:sz w:val="28"/>
                <w:szCs w:val="28"/>
              </w:rPr>
              <w:t>%；对个人和家庭的补助支出</w:t>
            </w:r>
            <w:r>
              <w:rPr>
                <w:rFonts w:hint="eastAsia" w:ascii="仿宋_GB2312" w:hAnsi="仿宋_GB2312" w:eastAsia="仿宋_GB2312" w:cs="仿宋_GB2312"/>
                <w:bCs/>
                <w:color w:val="auto"/>
                <w:sz w:val="28"/>
                <w:szCs w:val="28"/>
                <w:lang w:val="en-US" w:eastAsia="zh-CN"/>
              </w:rPr>
              <w:t>41.7</w:t>
            </w:r>
            <w:r>
              <w:rPr>
                <w:rFonts w:hint="eastAsia" w:ascii="仿宋_GB2312" w:hAnsi="仿宋_GB2312" w:eastAsia="仿宋_GB2312" w:cs="仿宋_GB2312"/>
                <w:bCs/>
                <w:color w:val="auto"/>
                <w:sz w:val="28"/>
                <w:szCs w:val="28"/>
              </w:rPr>
              <w:t>万元，占基本支出的</w:t>
            </w:r>
            <w:r>
              <w:rPr>
                <w:rFonts w:hint="eastAsia" w:ascii="仿宋_GB2312" w:hAnsi="仿宋_GB2312" w:eastAsia="仿宋_GB2312" w:cs="仿宋_GB2312"/>
                <w:bCs/>
                <w:color w:val="auto"/>
                <w:sz w:val="28"/>
                <w:szCs w:val="28"/>
                <w:lang w:val="en-US" w:eastAsia="zh-CN"/>
              </w:rPr>
              <w:t>5.07</w:t>
            </w:r>
            <w:r>
              <w:rPr>
                <w:rFonts w:hint="eastAsia" w:ascii="仿宋_GB2312" w:hAnsi="仿宋_GB2312" w:eastAsia="仿宋_GB2312" w:cs="仿宋_GB2312"/>
                <w:bCs/>
                <w:color w:val="auto"/>
                <w:sz w:val="28"/>
                <w:szCs w:val="28"/>
              </w:rPr>
              <w:t>%。</w:t>
            </w:r>
          </w:p>
          <w:p>
            <w:pPr>
              <w:spacing w:line="360" w:lineRule="auto"/>
              <w:ind w:firstLine="560" w:firstLineChars="200"/>
              <w:rPr>
                <w:rFonts w:hint="eastAsia" w:eastAsia="仿宋_GB2312"/>
                <w:lang w:val="en-US" w:eastAsia="zh-CN"/>
              </w:rPr>
            </w:pPr>
            <w:r>
              <w:rPr>
                <w:rFonts w:hint="eastAsia" w:ascii="仿宋_GB2312" w:hAnsi="仿宋_GB2312" w:eastAsia="仿宋_GB2312" w:cs="仿宋_GB2312"/>
                <w:bCs/>
                <w:color w:val="auto"/>
                <w:sz w:val="28"/>
                <w:szCs w:val="28"/>
              </w:rPr>
              <w:t>202</w:t>
            </w:r>
            <w:r>
              <w:rPr>
                <w:rFonts w:hint="eastAsia" w:ascii="仿宋_GB2312" w:hAnsi="仿宋_GB2312" w:eastAsia="仿宋_GB2312" w:cs="仿宋_GB2312"/>
                <w:bCs/>
                <w:color w:val="auto"/>
                <w:sz w:val="28"/>
                <w:szCs w:val="28"/>
                <w:lang w:val="en-US" w:eastAsia="zh-CN"/>
              </w:rPr>
              <w:t>2</w:t>
            </w:r>
            <w:r>
              <w:rPr>
                <w:rFonts w:hint="eastAsia" w:ascii="仿宋_GB2312" w:hAnsi="仿宋_GB2312" w:eastAsia="仿宋_GB2312" w:cs="仿宋_GB2312"/>
                <w:bCs/>
                <w:color w:val="auto"/>
                <w:sz w:val="28"/>
                <w:szCs w:val="28"/>
              </w:rPr>
              <w:t>年三公经费支出</w:t>
            </w:r>
            <w:r>
              <w:rPr>
                <w:rFonts w:hint="eastAsia" w:ascii="仿宋_GB2312" w:hAnsi="仿宋_GB2312" w:eastAsia="仿宋_GB2312" w:cs="仿宋_GB2312"/>
                <w:bCs/>
                <w:color w:val="auto"/>
                <w:sz w:val="28"/>
                <w:szCs w:val="28"/>
                <w:lang w:val="en-US" w:eastAsia="zh-CN"/>
              </w:rPr>
              <w:t>8.86</w:t>
            </w:r>
            <w:r>
              <w:rPr>
                <w:rFonts w:hint="eastAsia" w:ascii="仿宋_GB2312" w:hAnsi="仿宋_GB2312" w:eastAsia="仿宋_GB2312" w:cs="仿宋_GB2312"/>
                <w:bCs/>
                <w:color w:val="auto"/>
                <w:sz w:val="28"/>
                <w:szCs w:val="28"/>
              </w:rPr>
              <w:t>万元，其中因公出国（境）费0万元，公务车购置及运行维护费0万元，公务接待费</w:t>
            </w:r>
            <w:r>
              <w:rPr>
                <w:rFonts w:hint="eastAsia" w:ascii="仿宋_GB2312" w:hAnsi="仿宋_GB2312" w:eastAsia="仿宋_GB2312" w:cs="仿宋_GB2312"/>
                <w:bCs/>
                <w:color w:val="auto"/>
                <w:sz w:val="28"/>
                <w:szCs w:val="28"/>
                <w:lang w:val="en-US" w:eastAsia="zh-CN"/>
              </w:rPr>
              <w:t>8.86</w:t>
            </w:r>
            <w:r>
              <w:rPr>
                <w:rFonts w:hint="eastAsia" w:ascii="仿宋_GB2312" w:hAnsi="仿宋_GB2312" w:eastAsia="仿宋_GB2312" w:cs="仿宋_GB2312"/>
                <w:bCs/>
                <w:color w:val="auto"/>
                <w:sz w:val="28"/>
                <w:szCs w:val="28"/>
              </w:rPr>
              <w:t>万元，使用当年财政拨款支出</w:t>
            </w:r>
            <w:r>
              <w:rPr>
                <w:rFonts w:hint="eastAsia" w:ascii="仿宋_GB2312" w:hAnsi="仿宋_GB2312" w:eastAsia="仿宋_GB2312" w:cs="仿宋_GB2312"/>
                <w:bCs/>
                <w:color w:val="auto"/>
                <w:sz w:val="28"/>
                <w:szCs w:val="28"/>
                <w:lang w:val="en-US" w:eastAsia="zh-CN"/>
              </w:rPr>
              <w:t>8.86</w:t>
            </w:r>
            <w:r>
              <w:rPr>
                <w:rFonts w:hint="eastAsia" w:ascii="仿宋_GB2312" w:hAnsi="仿宋_GB2312" w:eastAsia="仿宋_GB2312" w:cs="仿宋_GB2312"/>
                <w:bCs/>
                <w:color w:val="auto"/>
                <w:sz w:val="28"/>
                <w:szCs w:val="28"/>
              </w:rPr>
              <w:t>万元</w:t>
            </w:r>
            <w:r>
              <w:rPr>
                <w:rFonts w:hint="eastAsia" w:ascii="仿宋_GB2312" w:hAnsi="仿宋_GB2312" w:eastAsia="仿宋_GB2312" w:cs="仿宋_GB2312"/>
                <w:bCs/>
                <w:color w:val="auto"/>
                <w:sz w:val="28"/>
                <w:szCs w:val="28"/>
                <w:lang w:val="en-US" w:eastAsia="zh-CN"/>
              </w:rPr>
              <w:t>。</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360" w:lineRule="auto"/>
              <w:ind w:firstLine="560" w:firstLineChars="200"/>
              <w:rPr>
                <w:rFonts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项目支出是在基本支出之外为完成其特定工作任务而发生的支出，主要用于</w:t>
            </w:r>
            <w:r>
              <w:rPr>
                <w:rFonts w:hint="eastAsia" w:ascii="仿宋_GB2312" w:hAnsi="仿宋_GB2312" w:eastAsia="仿宋_GB2312" w:cs="仿宋_GB2312"/>
                <w:bCs/>
                <w:color w:val="auto"/>
                <w:sz w:val="28"/>
                <w:szCs w:val="28"/>
                <w:lang w:val="en-US" w:eastAsia="zh-CN"/>
              </w:rPr>
              <w:t>2022年有限电视线路设施安装费</w:t>
            </w:r>
            <w:r>
              <w:rPr>
                <w:rFonts w:hint="eastAsia" w:ascii="仿宋_GB2312" w:hAnsi="仿宋_GB2312" w:eastAsia="仿宋_GB2312" w:cs="仿宋_GB2312"/>
                <w:bCs/>
                <w:color w:val="auto"/>
                <w:sz w:val="28"/>
                <w:szCs w:val="28"/>
              </w:rPr>
              <w:t>和</w:t>
            </w:r>
            <w:r>
              <w:rPr>
                <w:rFonts w:hint="eastAsia" w:ascii="仿宋_GB2312" w:hAnsi="仿宋_GB2312" w:eastAsia="仿宋_GB2312" w:cs="仿宋_GB2312"/>
                <w:bCs/>
                <w:color w:val="auto"/>
                <w:sz w:val="28"/>
                <w:szCs w:val="28"/>
                <w:lang w:eastAsia="zh-CN"/>
              </w:rPr>
              <w:t>2022</w:t>
            </w:r>
            <w:r>
              <w:rPr>
                <w:rFonts w:hint="eastAsia" w:ascii="仿宋_GB2312" w:hAnsi="仿宋_GB2312" w:eastAsia="仿宋_GB2312" w:cs="仿宋_GB2312"/>
                <w:bCs/>
                <w:color w:val="auto"/>
                <w:sz w:val="28"/>
                <w:szCs w:val="28"/>
              </w:rPr>
              <w:t>年有限电视线路设施安装费</w:t>
            </w:r>
            <w:r>
              <w:rPr>
                <w:rFonts w:hint="eastAsia" w:ascii="仿宋_GB2312" w:hAnsi="仿宋_GB2312" w:eastAsia="仿宋_GB2312" w:cs="仿宋_GB2312"/>
                <w:bCs/>
                <w:color w:val="auto"/>
                <w:sz w:val="28"/>
                <w:szCs w:val="28"/>
                <w:lang w:eastAsia="zh-CN"/>
              </w:rPr>
              <w:t>等支出</w:t>
            </w:r>
            <w:r>
              <w:rPr>
                <w:rFonts w:hint="eastAsia" w:ascii="仿宋_GB2312" w:hAnsi="仿宋_GB2312" w:eastAsia="仿宋_GB2312" w:cs="仿宋_GB2312"/>
                <w:bCs/>
                <w:color w:val="auto"/>
                <w:sz w:val="28"/>
                <w:szCs w:val="28"/>
              </w:rPr>
              <w:t>。</w:t>
            </w:r>
          </w:p>
          <w:p>
            <w:pPr>
              <w:numPr>
                <w:ilvl w:val="0"/>
                <w:numId w:val="3"/>
              </w:numPr>
              <w:spacing w:line="360" w:lineRule="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专项资金安排落实、总投入等情况分析</w:t>
            </w:r>
          </w:p>
          <w:p>
            <w:pPr>
              <w:pStyle w:val="2"/>
              <w:spacing w:line="360" w:lineRule="auto"/>
              <w:ind w:leftChars="0" w:firstLineChars="0"/>
              <w:rPr>
                <w:rFonts w:hint="eastAsia"/>
                <w:color w:val="auto"/>
              </w:rPr>
            </w:pPr>
            <w:r>
              <w:rPr>
                <w:rFonts w:hint="eastAsia" w:ascii="仿宋_GB2312" w:hAnsi="仿宋_GB2312" w:eastAsia="仿宋_GB2312" w:cs="仿宋_GB2312"/>
                <w:bCs/>
                <w:color w:val="auto"/>
                <w:sz w:val="28"/>
                <w:szCs w:val="28"/>
                <w:lang w:eastAsia="zh-CN"/>
              </w:rPr>
              <w:t>2022</w:t>
            </w:r>
            <w:r>
              <w:rPr>
                <w:rFonts w:hint="eastAsia" w:ascii="仿宋_GB2312" w:hAnsi="仿宋_GB2312" w:eastAsia="仿宋_GB2312" w:cs="仿宋_GB2312"/>
                <w:bCs/>
                <w:color w:val="auto"/>
                <w:sz w:val="28"/>
                <w:szCs w:val="28"/>
              </w:rPr>
              <w:t>年本单位专项资金共计</w:t>
            </w:r>
            <w:r>
              <w:rPr>
                <w:rFonts w:hint="eastAsia" w:ascii="仿宋_GB2312" w:hAnsi="仿宋_GB2312" w:eastAsia="仿宋_GB2312" w:cs="仿宋_GB2312"/>
                <w:bCs/>
                <w:color w:val="auto"/>
                <w:sz w:val="28"/>
                <w:szCs w:val="28"/>
                <w:lang w:val="en-US" w:eastAsia="zh-CN"/>
              </w:rPr>
              <w:t>145.38</w:t>
            </w:r>
            <w:r>
              <w:rPr>
                <w:rFonts w:hint="eastAsia" w:ascii="仿宋_GB2312" w:hAnsi="仿宋_GB2312" w:eastAsia="仿宋_GB2312" w:cs="仿宋_GB2312"/>
                <w:bCs/>
                <w:color w:val="auto"/>
                <w:sz w:val="28"/>
                <w:szCs w:val="28"/>
              </w:rPr>
              <w:t>万元，上年结余</w:t>
            </w:r>
            <w:r>
              <w:rPr>
                <w:rFonts w:hint="eastAsia" w:ascii="仿宋_GB2312" w:hAnsi="仿宋_GB2312" w:eastAsia="仿宋_GB2312" w:cs="仿宋_GB2312"/>
                <w:bCs/>
                <w:color w:val="auto"/>
                <w:sz w:val="28"/>
                <w:szCs w:val="28"/>
                <w:lang w:val="en-US" w:eastAsia="zh-CN"/>
              </w:rPr>
              <w:t>0</w:t>
            </w:r>
            <w:r>
              <w:rPr>
                <w:rFonts w:hint="eastAsia" w:ascii="仿宋_GB2312" w:hAnsi="仿宋_GB2312" w:eastAsia="仿宋_GB2312" w:cs="仿宋_GB2312"/>
                <w:bCs/>
                <w:color w:val="auto"/>
                <w:sz w:val="28"/>
                <w:szCs w:val="28"/>
              </w:rPr>
              <w:t>万元，本年收入</w:t>
            </w:r>
            <w:r>
              <w:rPr>
                <w:rFonts w:hint="eastAsia" w:ascii="仿宋_GB2312" w:hAnsi="仿宋_GB2312" w:eastAsia="仿宋_GB2312" w:cs="仿宋_GB2312"/>
                <w:bCs/>
                <w:color w:val="auto"/>
                <w:sz w:val="28"/>
                <w:szCs w:val="28"/>
                <w:lang w:val="en-US" w:eastAsia="zh-CN"/>
              </w:rPr>
              <w:t>145.38</w:t>
            </w:r>
            <w:r>
              <w:rPr>
                <w:rFonts w:hint="eastAsia" w:ascii="仿宋_GB2312" w:hAnsi="仿宋_GB2312" w:eastAsia="仿宋_GB2312" w:cs="仿宋_GB2312"/>
                <w:bCs/>
                <w:color w:val="auto"/>
                <w:sz w:val="28"/>
                <w:szCs w:val="28"/>
              </w:rPr>
              <w:t>万元，全部为本级财政安排，已全部到位共发生支出</w:t>
            </w:r>
            <w:r>
              <w:rPr>
                <w:rFonts w:hint="eastAsia" w:ascii="仿宋_GB2312" w:hAnsi="仿宋_GB2312" w:eastAsia="仿宋_GB2312" w:cs="仿宋_GB2312"/>
                <w:bCs/>
                <w:color w:val="auto"/>
                <w:sz w:val="28"/>
                <w:szCs w:val="28"/>
                <w:lang w:val="en-US" w:eastAsia="zh-CN"/>
              </w:rPr>
              <w:t>145.38</w:t>
            </w:r>
            <w:r>
              <w:rPr>
                <w:rFonts w:hint="eastAsia" w:ascii="仿宋_GB2312" w:hAnsi="仿宋_GB2312" w:eastAsia="仿宋_GB2312" w:cs="仿宋_GB2312"/>
                <w:bCs/>
                <w:color w:val="auto"/>
                <w:sz w:val="28"/>
                <w:szCs w:val="28"/>
              </w:rPr>
              <w:t>万元，结余</w:t>
            </w:r>
            <w:r>
              <w:rPr>
                <w:rFonts w:hint="eastAsia" w:ascii="仿宋_GB2312" w:hAnsi="仿宋_GB2312" w:eastAsia="仿宋_GB2312" w:cs="仿宋_GB2312"/>
                <w:bCs/>
                <w:color w:val="auto"/>
                <w:sz w:val="28"/>
                <w:szCs w:val="28"/>
                <w:lang w:val="en-US" w:eastAsia="zh-CN"/>
              </w:rPr>
              <w:t>0</w:t>
            </w:r>
            <w:r>
              <w:rPr>
                <w:rFonts w:hint="eastAsia" w:ascii="仿宋_GB2312" w:hAnsi="仿宋_GB2312" w:eastAsia="仿宋_GB2312" w:cs="仿宋_GB2312"/>
                <w:bCs/>
                <w:color w:val="auto"/>
                <w:sz w:val="28"/>
                <w:szCs w:val="28"/>
              </w:rPr>
              <w:t>万元。</w:t>
            </w:r>
          </w:p>
          <w:p>
            <w:pPr>
              <w:numPr>
                <w:ilvl w:val="0"/>
                <w:numId w:val="3"/>
              </w:numPr>
              <w:spacing w:line="360" w:lineRule="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专项资金实际使用情况分析</w:t>
            </w:r>
          </w:p>
          <w:p>
            <w:pPr>
              <w:pStyle w:val="2"/>
              <w:spacing w:line="360" w:lineRule="auto"/>
              <w:ind w:leftChars="0" w:firstLineChars="0"/>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本级财政安排专项资金</w:t>
            </w:r>
            <w:r>
              <w:rPr>
                <w:rFonts w:hint="eastAsia" w:ascii="仿宋_GB2312" w:hAnsi="仿宋_GB2312" w:eastAsia="仿宋_GB2312" w:cs="仿宋_GB2312"/>
                <w:bCs/>
                <w:color w:val="auto"/>
                <w:sz w:val="28"/>
                <w:szCs w:val="28"/>
                <w:lang w:val="en-US" w:eastAsia="zh-CN"/>
              </w:rPr>
              <w:t>145.38</w:t>
            </w:r>
            <w:r>
              <w:rPr>
                <w:rFonts w:hint="eastAsia" w:ascii="仿宋_GB2312" w:hAnsi="仿宋_GB2312" w:eastAsia="仿宋_GB2312" w:cs="仿宋_GB2312"/>
                <w:bCs/>
                <w:color w:val="auto"/>
                <w:sz w:val="28"/>
                <w:szCs w:val="28"/>
              </w:rPr>
              <w:t>万元（含年初结余），实际使用</w:t>
            </w:r>
            <w:r>
              <w:rPr>
                <w:rFonts w:hint="eastAsia" w:ascii="仿宋_GB2312" w:hAnsi="仿宋_GB2312" w:eastAsia="仿宋_GB2312" w:cs="仿宋_GB2312"/>
                <w:bCs/>
                <w:color w:val="auto"/>
                <w:sz w:val="28"/>
                <w:szCs w:val="28"/>
                <w:lang w:val="en-US" w:eastAsia="zh-CN"/>
              </w:rPr>
              <w:t>145.38</w:t>
            </w:r>
            <w:r>
              <w:rPr>
                <w:rFonts w:hint="eastAsia" w:ascii="仿宋_GB2312" w:hAnsi="仿宋_GB2312" w:eastAsia="仿宋_GB2312" w:cs="仿宋_GB2312"/>
                <w:bCs/>
                <w:color w:val="auto"/>
                <w:sz w:val="28"/>
                <w:szCs w:val="28"/>
              </w:rPr>
              <w:t>万元，其中：</w:t>
            </w:r>
            <w:r>
              <w:rPr>
                <w:rFonts w:hint="eastAsia" w:ascii="仿宋_GB2312" w:hAnsi="仿宋_GB2312" w:eastAsia="仿宋_GB2312" w:cs="仿宋_GB2312"/>
                <w:bCs/>
                <w:color w:val="auto"/>
                <w:sz w:val="28"/>
                <w:szCs w:val="28"/>
                <w:lang w:val="en-US" w:eastAsia="zh-CN"/>
              </w:rPr>
              <w:t>2022年有限电视线路设施安装费10.16万元</w:t>
            </w:r>
            <w:r>
              <w:rPr>
                <w:rFonts w:hint="eastAsia" w:ascii="仿宋_GB2312" w:hAnsi="仿宋_GB2312" w:eastAsia="仿宋_GB2312" w:cs="仿宋_GB2312"/>
                <w:bCs/>
                <w:color w:val="auto"/>
                <w:sz w:val="28"/>
                <w:szCs w:val="28"/>
              </w:rPr>
              <w:t>，零星项目</w:t>
            </w:r>
            <w:r>
              <w:rPr>
                <w:rFonts w:hint="eastAsia" w:ascii="仿宋_GB2312" w:hAnsi="仿宋_GB2312" w:eastAsia="仿宋_GB2312" w:cs="仿宋_GB2312"/>
                <w:bCs/>
                <w:color w:val="auto"/>
                <w:sz w:val="28"/>
                <w:szCs w:val="28"/>
                <w:lang w:val="en-US" w:eastAsia="zh-CN"/>
              </w:rPr>
              <w:t>24.69</w:t>
            </w:r>
            <w:r>
              <w:rPr>
                <w:rFonts w:hint="eastAsia" w:ascii="仿宋_GB2312" w:hAnsi="仿宋_GB2312" w:eastAsia="仿宋_GB2312" w:cs="仿宋_GB2312"/>
                <w:bCs/>
                <w:color w:val="auto"/>
                <w:sz w:val="28"/>
                <w:szCs w:val="28"/>
              </w:rPr>
              <w:t>万元</w:t>
            </w:r>
            <w:r>
              <w:rPr>
                <w:rFonts w:hint="eastAsia" w:ascii="仿宋_GB2312" w:hAnsi="仿宋_GB2312" w:eastAsia="仿宋_GB2312" w:cs="仿宋_GB2312"/>
                <w:bCs/>
                <w:color w:val="auto"/>
                <w:sz w:val="28"/>
                <w:szCs w:val="28"/>
                <w:lang w:eastAsia="zh-CN"/>
              </w:rPr>
              <w:t>，2022年有限电视线路设施安装费</w:t>
            </w:r>
            <w:r>
              <w:rPr>
                <w:rFonts w:hint="eastAsia" w:ascii="仿宋_GB2312" w:hAnsi="仿宋_GB2312" w:eastAsia="仿宋_GB2312" w:cs="仿宋_GB2312"/>
                <w:bCs/>
                <w:color w:val="auto"/>
                <w:sz w:val="28"/>
                <w:szCs w:val="28"/>
                <w:lang w:val="en-US" w:eastAsia="zh-CN"/>
              </w:rPr>
              <w:t>33.93万，中央广播电视节目无线覆盖数字运行维护费34.61万元</w:t>
            </w:r>
            <w:r>
              <w:rPr>
                <w:rFonts w:hint="eastAsia" w:ascii="仿宋_GB2312" w:hAnsi="仿宋_GB2312" w:eastAsia="仿宋_GB2312" w:cs="仿宋_GB2312"/>
                <w:bCs/>
                <w:color w:val="auto"/>
                <w:sz w:val="28"/>
                <w:szCs w:val="28"/>
                <w:lang w:eastAsia="zh-CN"/>
              </w:rPr>
              <w:t>，残保低保有限电视困难补助</w:t>
            </w:r>
            <w:r>
              <w:rPr>
                <w:rFonts w:hint="eastAsia" w:ascii="仿宋_GB2312" w:hAnsi="仿宋_GB2312" w:eastAsia="仿宋_GB2312" w:cs="仿宋_GB2312"/>
                <w:bCs/>
                <w:color w:val="auto"/>
                <w:sz w:val="28"/>
                <w:szCs w:val="28"/>
                <w:lang w:val="en-US" w:eastAsia="zh-CN"/>
              </w:rPr>
              <w:t>15万</w:t>
            </w:r>
            <w:r>
              <w:rPr>
                <w:rFonts w:hint="eastAsia" w:ascii="仿宋_GB2312" w:hAnsi="仿宋_GB2312" w:eastAsia="仿宋_GB2312" w:cs="仿宋_GB2312"/>
                <w:bCs/>
                <w:color w:val="auto"/>
                <w:sz w:val="28"/>
                <w:szCs w:val="28"/>
                <w:lang w:eastAsia="zh-CN"/>
              </w:rPr>
              <w:t>，22020年文化旅游提升工程第一批预算内基建资金</w:t>
            </w:r>
            <w:r>
              <w:rPr>
                <w:rFonts w:hint="eastAsia" w:ascii="仿宋_GB2312" w:hAnsi="仿宋_GB2312" w:eastAsia="仿宋_GB2312" w:cs="仿宋_GB2312"/>
                <w:bCs/>
                <w:color w:val="auto"/>
                <w:sz w:val="28"/>
                <w:szCs w:val="28"/>
                <w:lang w:val="en-US" w:eastAsia="zh-CN"/>
              </w:rPr>
              <w:t>27万</w:t>
            </w:r>
            <w:r>
              <w:rPr>
                <w:rFonts w:hint="eastAsia" w:ascii="仿宋_GB2312" w:hAnsi="仿宋_GB2312" w:eastAsia="仿宋_GB2312" w:cs="仿宋_GB2312"/>
                <w:bCs/>
                <w:color w:val="auto"/>
                <w:sz w:val="28"/>
                <w:szCs w:val="28"/>
              </w:rPr>
              <w:t>。</w:t>
            </w:r>
          </w:p>
          <w:p>
            <w:pPr>
              <w:spacing w:line="360" w:lineRule="auto"/>
              <w:ind w:firstLine="560" w:firstLineChars="200"/>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3、专项资金管理情况分析</w:t>
            </w:r>
          </w:p>
          <w:p>
            <w:pPr>
              <w:pStyle w:val="2"/>
              <w:spacing w:line="360" w:lineRule="auto"/>
              <w:ind w:leftChars="0" w:firstLineChars="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项目资金全部按财政国库集中支付制度要求使用和拨付，通过财政直接支付方式拨给项目实施单位。在拨付过程中严把监督审核关，建立健全内部审批制度，财务做好项目专帐，严格实行专款专用，保证资金及时足额用到项目中。</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360" w:lineRule="auto"/>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360" w:lineRule="auto"/>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项目采取以项目实施单位为主体，部门的管理体制，项目建设严格按照区财政局的要求，对于没有达到财评的项目采取议价的方式进行实施，达到财评标准的建设项目严格按财评的要求，进行财评和公开招标程序办理，其他项目由于投资较小，未达到招投标金额标准，由项目实施单位自行组织实施。项目按照申报方案实施，有变更的按照项目管理制度经审批后再作调整实施。年终组织专业技术人员对项目进行了验收，项目任务全部完成，质量全部达标。</w:t>
            </w:r>
          </w:p>
          <w:p>
            <w:pPr>
              <w:spacing w:line="360" w:lineRule="auto"/>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w:t>
            </w:r>
          </w:p>
          <w:p>
            <w:pPr>
              <w:spacing w:line="360" w:lineRule="auto"/>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按照项目资金管理制度要求，对项目实施和资金使用分配方案坚持集体决策。对项目制订工作方案，明确完成的具体时间，开展项目规划设计、部署工作，认真落实建设任务。</w:t>
            </w:r>
          </w:p>
          <w:p>
            <w:pPr>
              <w:numPr>
                <w:ilvl w:val="0"/>
                <w:numId w:val="4"/>
              </w:num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部门（单位）整体支出绩效情况</w:t>
            </w:r>
          </w:p>
          <w:p>
            <w:pPr>
              <w:spacing w:line="360" w:lineRule="auto"/>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202</w:t>
            </w:r>
            <w:r>
              <w:rPr>
                <w:rFonts w:hint="eastAsia" w:ascii="仿宋_GB2312" w:hAnsi="仿宋_GB2312" w:eastAsia="仿宋_GB2312" w:cs="仿宋_GB2312"/>
                <w:bCs/>
                <w:sz w:val="28"/>
                <w:szCs w:val="28"/>
                <w:lang w:val="en-US" w:eastAsia="zh-CN"/>
              </w:rPr>
              <w:t>2</w:t>
            </w:r>
            <w:r>
              <w:rPr>
                <w:rFonts w:hint="eastAsia" w:ascii="仿宋_GB2312" w:hAnsi="仿宋_GB2312" w:eastAsia="仿宋_GB2312" w:cs="仿宋_GB2312"/>
                <w:bCs/>
                <w:sz w:val="28"/>
                <w:szCs w:val="28"/>
              </w:rPr>
              <w:t>年，</w:t>
            </w:r>
            <w:r>
              <w:rPr>
                <w:rFonts w:hint="eastAsia" w:ascii="仿宋_GB2312" w:hAnsi="仿宋_GB2312" w:eastAsia="仿宋_GB2312" w:cs="仿宋_GB2312"/>
                <w:bCs/>
                <w:sz w:val="28"/>
                <w:szCs w:val="28"/>
                <w:lang w:eastAsia="zh-CN"/>
              </w:rPr>
              <w:t>君山区</w:t>
            </w:r>
            <w:r>
              <w:rPr>
                <w:rFonts w:hint="eastAsia" w:ascii="仿宋_GB2312" w:hAnsi="仿宋_GB2312" w:eastAsia="仿宋_GB2312" w:cs="仿宋_GB2312"/>
                <w:bCs/>
                <w:sz w:val="28"/>
                <w:szCs w:val="28"/>
              </w:rPr>
              <w:t>融媒体中心在</w:t>
            </w:r>
            <w:r>
              <w:rPr>
                <w:rFonts w:hint="eastAsia" w:ascii="仿宋_GB2312" w:hAnsi="仿宋_GB2312" w:eastAsia="仿宋_GB2312" w:cs="仿宋_GB2312"/>
                <w:bCs/>
                <w:sz w:val="28"/>
                <w:szCs w:val="28"/>
                <w:lang w:eastAsia="zh-CN"/>
              </w:rPr>
              <w:t>区</w:t>
            </w:r>
            <w:r>
              <w:rPr>
                <w:rFonts w:hint="eastAsia" w:ascii="仿宋_GB2312" w:hAnsi="仿宋_GB2312" w:eastAsia="仿宋_GB2312" w:cs="仿宋_GB2312"/>
                <w:bCs/>
                <w:sz w:val="28"/>
                <w:szCs w:val="28"/>
              </w:rPr>
              <w:t>委、</w:t>
            </w:r>
            <w:r>
              <w:rPr>
                <w:rFonts w:hint="eastAsia" w:ascii="仿宋_GB2312" w:hAnsi="仿宋_GB2312" w:eastAsia="仿宋_GB2312" w:cs="仿宋_GB2312"/>
                <w:bCs/>
                <w:sz w:val="28"/>
                <w:szCs w:val="28"/>
                <w:lang w:eastAsia="zh-CN"/>
              </w:rPr>
              <w:t>区</w:t>
            </w:r>
            <w:r>
              <w:rPr>
                <w:rFonts w:hint="eastAsia" w:ascii="仿宋_GB2312" w:hAnsi="仿宋_GB2312" w:eastAsia="仿宋_GB2312" w:cs="仿宋_GB2312"/>
                <w:bCs/>
                <w:sz w:val="28"/>
                <w:szCs w:val="28"/>
              </w:rPr>
              <w:t>政府的坚强领导下，在</w:t>
            </w:r>
            <w:r>
              <w:rPr>
                <w:rFonts w:hint="eastAsia" w:ascii="仿宋_GB2312" w:hAnsi="仿宋_GB2312" w:eastAsia="仿宋_GB2312" w:cs="仿宋_GB2312"/>
                <w:bCs/>
                <w:sz w:val="28"/>
                <w:szCs w:val="28"/>
                <w:lang w:val="en-US" w:eastAsia="zh-CN"/>
              </w:rPr>
              <w:t>区</w:t>
            </w:r>
            <w:r>
              <w:rPr>
                <w:rFonts w:hint="eastAsia" w:ascii="仿宋_GB2312" w:hAnsi="仿宋_GB2312" w:eastAsia="仿宋_GB2312" w:cs="仿宋_GB2312"/>
                <w:bCs/>
                <w:sz w:val="28"/>
                <w:szCs w:val="28"/>
              </w:rPr>
              <w:t>委宣传部的直接管理和正确指导下，坚持以习近平新时代中国特色社会主义思想为指导，全面贯彻</w:t>
            </w:r>
            <w:r>
              <w:rPr>
                <w:rFonts w:hint="eastAsia" w:ascii="仿宋_GB2312" w:hAnsi="仿宋_GB2312" w:eastAsia="仿宋_GB2312" w:cs="仿宋_GB2312"/>
                <w:bCs/>
                <w:sz w:val="28"/>
                <w:szCs w:val="28"/>
                <w:lang w:eastAsia="zh-CN"/>
              </w:rPr>
              <w:t>落实</w:t>
            </w:r>
            <w:r>
              <w:rPr>
                <w:rFonts w:hint="eastAsia" w:ascii="仿宋_GB2312" w:hAnsi="仿宋_GB2312" w:eastAsia="仿宋_GB2312" w:cs="仿宋_GB2312"/>
                <w:bCs/>
                <w:sz w:val="28"/>
                <w:szCs w:val="28"/>
              </w:rPr>
              <w:t>党的</w:t>
            </w:r>
            <w:r>
              <w:rPr>
                <w:rFonts w:hint="eastAsia" w:ascii="仿宋_GB2312" w:hAnsi="仿宋_GB2312" w:eastAsia="仿宋_GB2312" w:cs="仿宋_GB2312"/>
                <w:bCs/>
                <w:sz w:val="28"/>
                <w:szCs w:val="28"/>
                <w:lang w:eastAsia="zh-CN"/>
              </w:rPr>
              <w:t>二十大</w:t>
            </w:r>
            <w:r>
              <w:rPr>
                <w:rFonts w:hint="eastAsia" w:ascii="仿宋_GB2312" w:hAnsi="仿宋_GB2312" w:eastAsia="仿宋_GB2312" w:cs="仿宋_GB2312"/>
                <w:bCs/>
                <w:sz w:val="28"/>
                <w:szCs w:val="28"/>
              </w:rPr>
              <w:t>精神，</w:t>
            </w:r>
            <w:r>
              <w:rPr>
                <w:rFonts w:hint="eastAsia" w:ascii="仿宋_GB2312" w:hAnsi="仿宋_GB2312" w:eastAsia="仿宋_GB2312" w:cs="仿宋_GB2312"/>
                <w:bCs/>
                <w:sz w:val="28"/>
                <w:szCs w:val="28"/>
                <w:lang w:val="en-US" w:eastAsia="zh-CN"/>
              </w:rPr>
              <w:t>坚持宣传抓导向、播出保安全、事业谋发展的理念，凝心聚力、砥砺奋进，各项工作取得了扎实成效。</w:t>
            </w:r>
          </w:p>
          <w:p>
            <w:pPr>
              <w:spacing w:line="360" w:lineRule="auto"/>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根据考核评分细则，本单位严格按照国家的相关财务管理制度规定，财务制度健全，会计核算规范，依照计划管理使用，整体支出对保障政府办工作的正常运行、为全区发展大局服务发挥了重要保障作用。按照部门整体支出绩效评价指标体系对照打分得出结果为97分。</w:t>
            </w:r>
          </w:p>
          <w:p>
            <w:pPr>
              <w:numPr>
                <w:ilvl w:val="0"/>
                <w:numId w:val="4"/>
              </w:numPr>
              <w:spacing w:line="560" w:lineRule="exact"/>
              <w:ind w:left="0" w:leftChars="0" w:firstLine="560" w:firstLineChars="200"/>
              <w:rPr>
                <w:rFonts w:hint="eastAsia" w:ascii="黑体" w:hAnsi="黑体" w:eastAsia="黑体" w:cs="黑体"/>
                <w:bCs/>
                <w:sz w:val="28"/>
                <w:szCs w:val="28"/>
              </w:rPr>
            </w:pPr>
            <w:r>
              <w:rPr>
                <w:rFonts w:hint="eastAsia" w:ascii="黑体" w:hAnsi="黑体" w:eastAsia="黑体" w:cs="黑体"/>
                <w:bCs/>
                <w:sz w:val="28"/>
                <w:szCs w:val="28"/>
              </w:rPr>
              <w:t>存在的主要问题</w:t>
            </w:r>
          </w:p>
          <w:p>
            <w:pPr>
              <w:spacing w:line="360" w:lineRule="auto"/>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2022年工作还存在着一些不足，主要是以下几个方面：</w:t>
            </w:r>
          </w:p>
          <w:p>
            <w:pPr>
              <w:numPr>
                <w:ilvl w:val="0"/>
                <w:numId w:val="5"/>
              </w:numPr>
              <w:spacing w:line="360" w:lineRule="auto"/>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媒体深度融合认识不足、学习和工作主动性不够；</w:t>
            </w:r>
          </w:p>
          <w:p>
            <w:pPr>
              <w:numPr>
                <w:ilvl w:val="0"/>
                <w:numId w:val="5"/>
              </w:numPr>
              <w:spacing w:line="360" w:lineRule="auto"/>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宣传力量尚显薄弱、平台影响力不够强；</w:t>
            </w:r>
          </w:p>
          <w:p>
            <w:pPr>
              <w:numPr>
                <w:ilvl w:val="0"/>
                <w:numId w:val="5"/>
              </w:numPr>
              <w:spacing w:line="360" w:lineRule="auto"/>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队伍能力水平参差不齐，主动策划、创新意识不强；</w:t>
            </w:r>
          </w:p>
          <w:p>
            <w:pPr>
              <w:numPr>
                <w:ilvl w:val="0"/>
                <w:numId w:val="5"/>
              </w:numPr>
              <w:spacing w:line="360" w:lineRule="auto"/>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宣传机制和激励机制不够完善，无法有效调动工作积极性。</w:t>
            </w:r>
          </w:p>
          <w:p>
            <w:pPr>
              <w:numPr>
                <w:ilvl w:val="0"/>
                <w:numId w:val="4"/>
              </w:numPr>
              <w:spacing w:line="560" w:lineRule="exact"/>
              <w:ind w:left="0" w:leftChars="0" w:firstLine="560" w:firstLineChars="200"/>
              <w:rPr>
                <w:rFonts w:hint="eastAsia" w:ascii="黑体" w:hAnsi="黑体" w:eastAsia="黑体" w:cs="黑体"/>
                <w:bCs/>
                <w:sz w:val="28"/>
                <w:szCs w:val="28"/>
              </w:rPr>
            </w:pPr>
            <w:r>
              <w:rPr>
                <w:rFonts w:hint="eastAsia" w:ascii="黑体" w:hAnsi="黑体" w:eastAsia="黑体" w:cs="黑体"/>
                <w:bCs/>
                <w:sz w:val="28"/>
                <w:szCs w:val="28"/>
              </w:rPr>
              <w:t>改进措施和有关建议</w:t>
            </w:r>
          </w:p>
          <w:p>
            <w:pPr>
              <w:numPr>
                <w:ilvl w:val="0"/>
                <w:numId w:val="6"/>
              </w:numPr>
              <w:spacing w:line="360" w:lineRule="auto"/>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巩固意识形态阵地。</w:t>
            </w:r>
          </w:p>
          <w:p>
            <w:pPr>
              <w:numPr>
                <w:ilvl w:val="0"/>
                <w:numId w:val="6"/>
              </w:numPr>
              <w:spacing w:line="360" w:lineRule="auto"/>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加强主流舆论引导。</w:t>
            </w:r>
          </w:p>
          <w:p>
            <w:pPr>
              <w:numPr>
                <w:ilvl w:val="0"/>
                <w:numId w:val="0"/>
              </w:numPr>
              <w:spacing w:line="360" w:lineRule="auto"/>
              <w:ind w:firstLine="560" w:firstLineChars="200"/>
              <w:rPr>
                <w:rFonts w:eastAsia="楷体_GB2312"/>
                <w:bCs/>
                <w:sz w:val="28"/>
                <w:szCs w:val="28"/>
              </w:rPr>
            </w:pPr>
            <w:r>
              <w:rPr>
                <w:rFonts w:hint="eastAsia" w:ascii="仿宋_GB2312" w:hAnsi="仿宋_GB2312" w:eastAsia="仿宋_GB2312" w:cs="仿宋_GB2312"/>
                <w:bCs/>
                <w:sz w:val="28"/>
                <w:szCs w:val="28"/>
                <w:lang w:val="en-US" w:eastAsia="zh-CN"/>
              </w:rPr>
              <w:t>3、持续加强队伍建设。</w:t>
            </w:r>
          </w:p>
        </w:tc>
      </w:tr>
    </w:tbl>
    <w:p/>
    <w:p>
      <w:pPr>
        <w:rPr>
          <w:rFonts w:ascii="黑体" w:hAnsi="黑体" w:eastAsia="黑体"/>
          <w:sz w:val="32"/>
          <w:szCs w:val="32"/>
        </w:rPr>
      </w:pPr>
      <w:r>
        <w:rPr>
          <w:rFonts w:hint="eastAsia" w:ascii="黑体" w:hAnsi="黑体" w:eastAsia="黑体"/>
          <w:sz w:val="32"/>
          <w:szCs w:val="32"/>
        </w:rPr>
        <w:t>附件4-1</w:t>
      </w:r>
    </w:p>
    <w:p>
      <w:pPr>
        <w:spacing w:before="312" w:beforeLines="100" w:after="312" w:afterLines="100"/>
        <w:jc w:val="center"/>
        <w:rPr>
          <w:rFonts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7"/>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eastAsia="zh-CN"/>
              </w:rPr>
            </w:pPr>
            <w:r>
              <w:rPr>
                <w:rFonts w:hint="eastAsia" w:ascii="仿宋_GB2312" w:hAnsi="宋体" w:eastAsia="仿宋_GB2312" w:cs="宋体"/>
                <w:color w:val="000000"/>
                <w:kern w:val="0"/>
                <w:sz w:val="18"/>
                <w:szCs w:val="18"/>
                <w:lang w:eastAsia="zh-CN"/>
              </w:rPr>
              <w:t>需进一步完善管理制度</w:t>
            </w: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bl>
    <w:p/>
    <w:p>
      <w:pPr>
        <w:pStyle w:val="2"/>
      </w:pPr>
    </w:p>
    <w:p>
      <w:pPr>
        <w:pStyle w:val="2"/>
      </w:pPr>
    </w:p>
    <w:tbl>
      <w:tblPr>
        <w:tblStyle w:val="7"/>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76"/>
        <w:gridCol w:w="939"/>
        <w:gridCol w:w="1389"/>
        <w:gridCol w:w="4171"/>
        <w:gridCol w:w="619"/>
        <w:gridCol w:w="720"/>
        <w:gridCol w:w="10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没有定期进行资产盘点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6</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没有生态指标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97</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pPr>
        <w:pStyle w:val="2"/>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altName w:val="方正仿宋_GBK"/>
    <w:panose1 w:val="02010609030101010101"/>
    <w:charset w:val="86"/>
    <w:family w:val="auto"/>
    <w:pitch w:val="default"/>
    <w:sig w:usb0="00000000" w:usb1="00000000" w:usb2="00000000" w:usb3="00000000" w:csb0="00040000" w:csb1="00000000"/>
  </w:font>
  <w:font w:name="楷体_GB2312">
    <w:altName w:val="方正楷体_GBK"/>
    <w:panose1 w:val="00000000000000000000"/>
    <w:charset w:val="86"/>
    <w:family w:val="auto"/>
    <w:pitch w:val="default"/>
    <w:sig w:usb0="00000000" w:usb1="00000000" w:usb2="0000001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48" w:wrap="around" w:vAnchor="text" w:hAnchor="margin" w:xAlign="outside" w:y="7"/>
      <w:rPr>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6"/>
                            <w:rPr>
                              <w:rStyle w:val="9"/>
                            </w:rPr>
                          </w:pPr>
                          <w:r>
                            <w:rPr>
                              <w:rStyle w:val="9"/>
                              <w:rFonts w:hint="eastAsia"/>
                            </w:rPr>
                            <w:t xml:space="preserve">— </w:t>
                          </w:r>
                          <w:r>
                            <w:fldChar w:fldCharType="begin"/>
                          </w:r>
                          <w:r>
                            <w:rPr>
                              <w:rStyle w:val="9"/>
                            </w:rPr>
                            <w:instrText xml:space="preserve">PAGE  </w:instrText>
                          </w:r>
                          <w:r>
                            <w:fldChar w:fldCharType="separate"/>
                          </w:r>
                          <w:r>
                            <w:rPr>
                              <w:rStyle w:val="9"/>
                            </w:rPr>
                            <w:t>4</w:t>
                          </w:r>
                          <w:r>
                            <w:fldChar w:fldCharType="end"/>
                          </w:r>
                          <w:r>
                            <w:rPr>
                              <w:rStyle w:val="9"/>
                              <w:rFonts w:hint="eastAsia"/>
                            </w:rPr>
                            <w:t xml:space="preserve"> —</w:t>
                          </w:r>
                        </w:p>
                      </w:txbxContent>
                    </wps:txbx>
                    <wps:bodyPr wrap="none" lIns="0" tIns="0" rIns="0" bIns="0" upright="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WAAAAZHJzL1BLAQIU&#10;ABQAAAAIAIdO4kDOqXm5zwAAAAUBAAAPAAAAAAAAAAEAIAAAADgAAABkcnMvZG93bnJldi54bWxQ&#10;SwECFAAUAAAACACHTuJA0WrDzrEBAABRAwAADgAAAAAAAAABACAAAAA0AQAAZHJzL2Uyb0RvYy54&#10;bWxQSwUGAAAAAAYABgBZAQAAVwUAAAAA&#10;">
              <v:fill on="f" focussize="0,0"/>
              <v:stroke on="f"/>
              <v:imagedata o:title=""/>
              <o:lock v:ext="edit" aspectratio="f"/>
              <v:textbox inset="0mm,0mm,0mm,0mm" style="mso-fit-shape-to-text:t;">
                <w:txbxContent>
                  <w:p>
                    <w:pPr>
                      <w:pStyle w:val="6"/>
                      <w:rPr>
                        <w:rStyle w:val="9"/>
                      </w:rPr>
                    </w:pPr>
                    <w:r>
                      <w:rPr>
                        <w:rStyle w:val="9"/>
                        <w:rFonts w:hint="eastAsia"/>
                      </w:rPr>
                      <w:t xml:space="preserve">— </w:t>
                    </w:r>
                    <w:r>
                      <w:fldChar w:fldCharType="begin"/>
                    </w:r>
                    <w:r>
                      <w:rPr>
                        <w:rStyle w:val="9"/>
                      </w:rPr>
                      <w:instrText xml:space="preserve">PAGE  </w:instrText>
                    </w:r>
                    <w:r>
                      <w:fldChar w:fldCharType="separate"/>
                    </w:r>
                    <w:r>
                      <w:rPr>
                        <w:rStyle w:val="9"/>
                      </w:rPr>
                      <w:t>4</w:t>
                    </w:r>
                    <w:r>
                      <w:fldChar w:fldCharType="end"/>
                    </w:r>
                    <w:r>
                      <w:rPr>
                        <w:rStyle w:val="9"/>
                        <w:rFonts w:hint="eastAsia"/>
                      </w:rPr>
                      <w:t xml:space="preserve"> —</w:t>
                    </w:r>
                  </w:p>
                </w:txbxContent>
              </v:textbox>
            </v:shape>
          </w:pict>
        </mc:Fallback>
      </mc:AlternateConten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9367C03"/>
    <w:multiLevelType w:val="singleLevel"/>
    <w:tmpl w:val="D9367C03"/>
    <w:lvl w:ilvl="0" w:tentative="0">
      <w:start w:val="1"/>
      <w:numFmt w:val="chineseCounting"/>
      <w:suff w:val="nothing"/>
      <w:lvlText w:val="（%1）"/>
      <w:lvlJc w:val="left"/>
      <w:rPr>
        <w:rFonts w:hint="eastAsia"/>
      </w:rPr>
    </w:lvl>
  </w:abstractNum>
  <w:abstractNum w:abstractNumId="1">
    <w:nsid w:val="15A6FD1F"/>
    <w:multiLevelType w:val="singleLevel"/>
    <w:tmpl w:val="15A6FD1F"/>
    <w:lvl w:ilvl="0" w:tentative="0">
      <w:start w:val="1"/>
      <w:numFmt w:val="decimal"/>
      <w:suff w:val="nothing"/>
      <w:lvlText w:val="%1、"/>
      <w:lvlJc w:val="left"/>
    </w:lvl>
  </w:abstractNum>
  <w:abstractNum w:abstractNumId="2">
    <w:nsid w:val="29A010E4"/>
    <w:multiLevelType w:val="multilevel"/>
    <w:tmpl w:val="29A010E4"/>
    <w:lvl w:ilvl="0" w:tentative="0">
      <w:start w:val="1"/>
      <w:numFmt w:val="decimal"/>
      <w:lvlText w:val="%1、"/>
      <w:lvlJc w:val="left"/>
      <w:pPr>
        <w:ind w:left="1010" w:hanging="45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3">
    <w:nsid w:val="2AC3CECA"/>
    <w:multiLevelType w:val="singleLevel"/>
    <w:tmpl w:val="2AC3CECA"/>
    <w:lvl w:ilvl="0" w:tentative="0">
      <w:start w:val="4"/>
      <w:numFmt w:val="chineseCounting"/>
      <w:suff w:val="nothing"/>
      <w:lvlText w:val="%1、"/>
      <w:lvlJc w:val="left"/>
      <w:rPr>
        <w:rFonts w:hint="eastAsia"/>
      </w:rPr>
    </w:lvl>
  </w:abstractNum>
  <w:abstractNum w:abstractNumId="4">
    <w:nsid w:val="366DA1D3"/>
    <w:multiLevelType w:val="singleLevel"/>
    <w:tmpl w:val="366DA1D3"/>
    <w:lvl w:ilvl="0" w:tentative="0">
      <w:start w:val="2"/>
      <w:numFmt w:val="chineseCounting"/>
      <w:suff w:val="nothing"/>
      <w:lvlText w:val="（%1）"/>
      <w:lvlJc w:val="left"/>
      <w:rPr>
        <w:rFonts w:hint="eastAsia"/>
      </w:rPr>
    </w:lvl>
  </w:abstractNum>
  <w:abstractNum w:abstractNumId="5">
    <w:nsid w:val="42B0DEBF"/>
    <w:multiLevelType w:val="singleLevel"/>
    <w:tmpl w:val="42B0DEBF"/>
    <w:lvl w:ilvl="0" w:tentative="0">
      <w:start w:val="1"/>
      <w:numFmt w:val="decimal"/>
      <w:suff w:val="nothing"/>
      <w:lvlText w:val="%1、"/>
      <w:lvlJc w:val="left"/>
    </w:lvl>
  </w:abstractNum>
  <w:num w:numId="1">
    <w:abstractNumId w:val="0"/>
  </w:num>
  <w:num w:numId="2">
    <w:abstractNumId w:val="4"/>
  </w:num>
  <w:num w:numId="3">
    <w:abstractNumId w:val="2"/>
  </w:num>
  <w:num w:numId="4">
    <w:abstractNumId w:val="3"/>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FmZDEyYWVjYTdhNjExMjkwZGMzMmRlNmVjZTBhNTAifQ=="/>
  </w:docVars>
  <w:rsids>
    <w:rsidRoot w:val="420C2750"/>
    <w:rsid w:val="00CF7901"/>
    <w:rsid w:val="02DA4313"/>
    <w:rsid w:val="03B014C2"/>
    <w:rsid w:val="0C2932DD"/>
    <w:rsid w:val="1EFA43BE"/>
    <w:rsid w:val="251820C4"/>
    <w:rsid w:val="420C2750"/>
    <w:rsid w:val="53893756"/>
    <w:rsid w:val="FE4F07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99"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spacing w:before="100" w:beforeAutospacing="1" w:after="0"/>
      <w:ind w:left="0" w:firstLine="420" w:firstLineChars="200"/>
    </w:pPr>
    <w:rPr>
      <w:rFonts w:ascii="Calibri" w:hAnsi="Calibri"/>
    </w:rPr>
  </w:style>
  <w:style w:type="paragraph" w:styleId="3">
    <w:name w:val="Body Text Indent"/>
    <w:basedOn w:val="1"/>
    <w:qFormat/>
    <w:uiPriority w:val="0"/>
    <w:pPr>
      <w:spacing w:after="120"/>
      <w:ind w:left="420" w:leftChars="200"/>
    </w:pPr>
    <w:rPr>
      <w:rFonts w:eastAsia="宋体" w:cs="Times New Roman"/>
    </w:rPr>
  </w:style>
  <w:style w:type="paragraph" w:styleId="4">
    <w:name w:val="Body Text"/>
    <w:basedOn w:val="1"/>
    <w:next w:val="5"/>
    <w:qFormat/>
    <w:uiPriority w:val="99"/>
    <w:pPr>
      <w:spacing w:after="120"/>
    </w:pPr>
  </w:style>
  <w:style w:type="paragraph" w:styleId="5">
    <w:name w:val="toc 5"/>
    <w:basedOn w:val="1"/>
    <w:next w:val="1"/>
    <w:qFormat/>
    <w:uiPriority w:val="99"/>
    <w:pPr>
      <w:ind w:left="1680" w:leftChars="800"/>
    </w:pPr>
  </w:style>
  <w:style w:type="paragraph" w:styleId="6">
    <w:name w:val="footer"/>
    <w:basedOn w:val="1"/>
    <w:qFormat/>
    <w:uiPriority w:val="0"/>
    <w:pPr>
      <w:tabs>
        <w:tab w:val="center" w:pos="4153"/>
        <w:tab w:val="right" w:pos="8306"/>
      </w:tabs>
      <w:snapToGrid w:val="0"/>
      <w:jc w:val="left"/>
    </w:pPr>
    <w:rPr>
      <w:kern w:val="0"/>
      <w:sz w:val="18"/>
      <w:szCs w:val="18"/>
    </w:rPr>
  </w:style>
  <w:style w:type="character" w:customStyle="1" w:styleId="9">
    <w:name w:val="page number"/>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5898</Words>
  <Characters>6375</Characters>
  <Lines>0</Lines>
  <Paragraphs>0</Paragraphs>
  <TotalTime>7</TotalTime>
  <ScaleCrop>false</ScaleCrop>
  <LinksUpToDate>false</LinksUpToDate>
  <CharactersWithSpaces>6877</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2023-06-25T16:22:00Z</dcterms:created>
  <dc:creator>Administrator</dc:creator>
  <cp:lastModifiedBy>yyadmin</cp:lastModifiedBy>
  <dcterms:modified xsi:type="dcterms:W3CDTF">2023-09-22T08:05:38Z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y fmtid="{D5CDD505-2E9C-101B-9397-08002B2CF9AE}" pid="3" name="ICV">
    <vt:lpwstr>564F8FC2756B48D5979F1931DB7264B8_13</vt:lpwstr>
  </property>
</Properties>
</file>