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</w:t>
      </w:r>
      <w:r>
        <w:rPr>
          <w:rFonts w:hint="eastAsia" w:eastAsia="方正小标宋简体"/>
          <w:bCs/>
          <w:sz w:val="44"/>
          <w:szCs w:val="44"/>
          <w:lang w:eastAsia="zh-CN"/>
        </w:rPr>
        <w:t>区</w:t>
      </w:r>
      <w:r>
        <w:rPr>
          <w:rFonts w:hint="eastAsia" w:eastAsia="方正小标宋简体"/>
          <w:bCs/>
          <w:sz w:val="44"/>
          <w:szCs w:val="44"/>
        </w:rPr>
        <w:t>财政支出项目绩效评价自评报告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</w:t>
      </w:r>
      <w:r>
        <w:rPr>
          <w:rFonts w:hint="eastAsia" w:eastAsia="仿宋_GB2312"/>
          <w:sz w:val="32"/>
          <w:szCs w:val="32"/>
          <w:lang w:eastAsia="zh-CN"/>
        </w:rPr>
        <w:t>☑</w:t>
      </w:r>
    </w:p>
    <w:p>
      <w:pPr>
        <w:spacing w:before="156" w:beforeLines="50" w:line="760" w:lineRule="exact"/>
        <w:ind w:firstLine="480" w:firstLineChars="150"/>
        <w:rPr>
          <w:rFonts w:hint="default" w:eastAsia="仿宋_GB2312"/>
          <w:sz w:val="32"/>
          <w:u w:val="single"/>
          <w:lang w:val="en-US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农村安全饮水水厂管护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u w:val="single"/>
          <w:lang w:eastAsia="zh-CN"/>
        </w:rPr>
        <w:t>君山区</w:t>
      </w:r>
      <w:r>
        <w:rPr>
          <w:rFonts w:hint="eastAsia" w:eastAsia="仿宋_GB2312"/>
          <w:sz w:val="32"/>
          <w:u w:val="single"/>
          <w:lang w:val="en-US" w:eastAsia="zh-CN"/>
        </w:rPr>
        <w:t>农村饮水安全工程供水管理</w:t>
      </w:r>
      <w:r>
        <w:rPr>
          <w:rFonts w:hint="eastAsia" w:eastAsia="仿宋_GB2312"/>
          <w:sz w:val="32"/>
          <w:u w:val="single"/>
          <w:lang w:eastAsia="zh-CN"/>
        </w:rPr>
        <w:t>中心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u w:val="single"/>
          <w:lang w:eastAsia="zh-CN"/>
        </w:rPr>
        <w:t>君山区水利局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hint="eastAsia" w:eastAsia="仿宋_GB2312"/>
          <w:sz w:val="32"/>
          <w:lang w:val="en-US" w:eastAsia="zh-CN"/>
        </w:rPr>
        <w:t>2023</w:t>
      </w:r>
      <w:r>
        <w:rPr>
          <w:rFonts w:hint="eastAsia" w:eastAsia="仿宋_GB2312"/>
          <w:sz w:val="32"/>
        </w:rPr>
        <w:t xml:space="preserve"> 年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岳阳</w:t>
      </w:r>
      <w:r>
        <w:rPr>
          <w:rFonts w:hint="eastAsia" w:eastAsia="仿宋_GB2312"/>
          <w:sz w:val="32"/>
          <w:lang w:eastAsia="zh-CN"/>
        </w:rPr>
        <w:t>区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945"/>
        <w:gridCol w:w="1395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周进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13974015008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岳阳市君山区柳林洲街道水利局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>
            <w:pPr>
              <w:ind w:firstLine="1190" w:firstLineChars="496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年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月起至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年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2022年度水厂维修养护资金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80,000.00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2022年度水厂维修养护资金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80,000.00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2022年度水厂维修养护资金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140,000.00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2022年度水厂维修养护资金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80,000.00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2022年度水厂维修养护资金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120,000.00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500000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我区现有5个千吨万人农村安全饮水集中供水工程，设计供水规模24965吨/天，农村实际供水人口16.858万人，自来水通村率100%，农村人口自来水使用率97.3%。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实际收财政专项拨款50万，实际支出50万元，达到预期目标。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指标1;完成</w:t>
            </w:r>
            <w:r>
              <w:rPr>
                <w:rFonts w:ascii="仿宋_GB2312" w:hAnsi="仿宋_GB2312"/>
              </w:rPr>
              <w:t>我区</w:t>
            </w:r>
            <w:r>
              <w:rPr>
                <w:rFonts w:hint="eastAsia" w:ascii="仿宋_GB2312" w:hAnsi="仿宋_GB2312" w:eastAsiaTheme="minorEastAsia"/>
              </w:rPr>
              <w:t>5个千吨万人农村供水工程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Theme="minorEastAsia"/>
                <w:lang w:val="en-US" w:eastAsia="zh-CN"/>
              </w:rPr>
              <w:t>指标2：</w:t>
            </w:r>
            <w:r>
              <w:rPr>
                <w:rFonts w:hint="eastAsia" w:ascii="仿宋_GB2312" w:hAnsi="仿宋_GB2312" w:eastAsiaTheme="minorEastAsia"/>
              </w:rPr>
              <w:t>5个水厂维修护全部完成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Theme="minorEastAsia"/>
                <w:lang w:val="en-US" w:eastAsia="zh-CN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Theme="minorEastAsia"/>
              </w:rPr>
              <w:t>共计完成设备维修27台次、管网维修565处、管网抢修2340米及全年消毒、检测工作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指标1：</w:t>
            </w:r>
            <w:r>
              <w:rPr>
                <w:rFonts w:hint="eastAsia" w:ascii="仿宋_GB2312" w:hAnsi="仿宋_GB2312" w:eastAsiaTheme="minorEastAsia"/>
              </w:rPr>
              <w:t>农村供水工程2022全年度水质合格率100%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1：</w:t>
            </w:r>
            <w:r>
              <w:rPr>
                <w:rFonts w:ascii="仿宋_GB2312" w:hAnsi="仿宋_GB2312"/>
              </w:rPr>
              <w:t>提高了农村供水保障水平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指标</w:t>
            </w:r>
            <w:r>
              <w:rPr>
                <w:rFonts w:hint="eastAsia" w:eastAsia="仿宋_GB2312"/>
                <w:sz w:val="24"/>
                <w:lang w:val="en-US" w:eastAsia="zh-CN"/>
              </w:rPr>
              <w:t>1：成本控制情况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节约成本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成本控制在预算范围之内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指标1：</w:t>
            </w:r>
            <w:r>
              <w:rPr>
                <w:rFonts w:ascii="仿宋_GB2312" w:hAnsi="仿宋_GB2312"/>
              </w:rPr>
              <w:t>农村饮水安全供水工程维修养护受益人口</w:t>
            </w:r>
            <w:r>
              <w:rPr>
                <w:rFonts w:hint="eastAsia" w:eastAsiaTheme="minorEastAsia"/>
              </w:rPr>
              <w:t>8</w:t>
            </w:r>
            <w:r>
              <w:t>.</w:t>
            </w:r>
            <w:r>
              <w:rPr>
                <w:rFonts w:hint="eastAsia" w:eastAsiaTheme="minorEastAsia"/>
              </w:rPr>
              <w:t>3</w:t>
            </w:r>
            <w:r>
              <w:t>8</w:t>
            </w:r>
            <w:r>
              <w:rPr>
                <w:rFonts w:ascii="仿宋_GB2312" w:hAnsi="仿宋_GB2312"/>
              </w:rPr>
              <w:t>万人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指标1：保护垸内人民群众财产安全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指标1：保护生态环境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可持续影响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无持续影响指标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指标1：社会公众满意度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90%以上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社会公众满意度达93%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吴朝军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局长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君山区水利局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吴朝军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聂 毅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副局长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君山区水利局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聂 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陈 力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计财股长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君山区水利局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陈 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exact"/>
          <w:jc w:val="center"/>
        </w:trPr>
        <w:tc>
          <w:tcPr>
            <w:tcW w:w="9582" w:type="dxa"/>
            <w:gridSpan w:val="14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张雪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15675944553</w:t>
      </w:r>
    </w:p>
    <w:tbl>
      <w:tblPr>
        <w:tblStyle w:val="6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hd w:val="clear" w:color="auto" w:fill="FFFFFF"/>
              <w:snapToGrid w:val="0"/>
              <w:spacing w:line="600" w:lineRule="exact"/>
              <w:ind w:firstLine="300" w:firstLineChars="100"/>
              <w:outlineLvl w:val="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（一）</w:t>
            </w: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项目单位基本情况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firstLine="480" w:firstLineChars="200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下辖各类性质的二级机构</w:t>
            </w:r>
            <w:r>
              <w:rPr>
                <w:rFonts w:hint="eastAsia" w:ascii="宋体"/>
                <w:sz w:val="24"/>
                <w:lang w:val="en-US" w:eastAsia="zh-CN"/>
              </w:rPr>
              <w:t>8</w:t>
            </w:r>
            <w:r>
              <w:rPr>
                <w:rFonts w:hint="eastAsia" w:ascii="宋体"/>
                <w:sz w:val="24"/>
              </w:rPr>
              <w:t>家，管理着235公里防洪大堤，58公里流经区域河流，51座穿堤建筑物，29座外排机埠</w:t>
            </w:r>
            <w:r>
              <w:rPr>
                <w:rFonts w:hint="eastAsia" w:ascii="宋体"/>
                <w:sz w:val="24"/>
                <w:lang w:eastAsia="zh-CN"/>
              </w:rPr>
              <w:t>。</w:t>
            </w:r>
            <w:r>
              <w:rPr>
                <w:rFonts w:hint="eastAsia" w:ascii="宋体"/>
                <w:sz w:val="24"/>
              </w:rPr>
              <w:t>主要职责（与本项目相关的职责）： 负责生活、生产经营和生态环境用水的统筹兼顾和保障；负责防治水旱灾害，承担区防汛抗旱指挥部的日常工作；负责节约用水工作、组织、指导水利工程设施、水域及其岸线的管理与保护；负责防治水土流失工作</w:t>
            </w:r>
            <w:r>
              <w:rPr>
                <w:rFonts w:hint="eastAsia" w:ascii="宋体"/>
                <w:sz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项目年度预算绩效目标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我区现有5个千吨万人农村安全饮水集中供水工程，设计供水规模24965吨/天，农村实际供水人口16.858万人，自来水通村率100%，农村人口自来水使用率97.3%。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snapToGrid w:val="0"/>
              <w:spacing w:line="600" w:lineRule="exact"/>
              <w:ind w:firstLine="300" w:firstLineChars="100"/>
              <w:outlineLvl w:val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（二）</w:t>
            </w: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项目资金安排落实情况。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根据年度预算安排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农村饮水安全管护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经费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50万元，实际到位资金50万元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2、项目资金（主要是指财政资金）实际使用情况。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项目资金实际支出见项目支出明细表，截止20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年12月，共计支出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万元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3、项目资金管理情况。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项目资金的管理情况较好，制定了《水利局二级机构财务管理办法》、《水利局二级机构预算管理办法》、《水利局二级机构账务代管管理办法》等管理规定，并严格执行；，按时间和项目实施进程分次、分批拨付；项目资金的使用、监管，通过局会计集中核算中心对二级机构财务代管进行，保证足额、规范地使用。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snapToGrid w:val="0"/>
              <w:spacing w:line="600" w:lineRule="exact"/>
              <w:ind w:firstLine="300" w:firstLineChars="100"/>
              <w:outlineLvl w:val="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（三）</w:t>
            </w:r>
            <w:r>
              <w:rPr>
                <w:rFonts w:hint="eastAsia" w:eastAsia="仿宋_GB2312"/>
                <w:sz w:val="30"/>
                <w:szCs w:val="30"/>
              </w:rPr>
              <w:t>项目组织实施情况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项目实施年初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由区水旱灾害防御事务中心制定备汛及应急处险等</w:t>
            </w:r>
            <w:r>
              <w:rPr>
                <w:rFonts w:hint="eastAsia" w:ascii="宋体" w:hAnsi="宋体" w:cs="宋体"/>
                <w:sz w:val="24"/>
              </w:rPr>
              <w:t>项目及资金计划，交由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相应</w:t>
            </w:r>
            <w:r>
              <w:rPr>
                <w:rFonts w:hint="eastAsia" w:ascii="宋体" w:hAnsi="宋体" w:cs="宋体"/>
                <w:sz w:val="24"/>
              </w:rPr>
              <w:t>堤防、电排所属二级机构负责实施，由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区水旱灾害防御事务中心及工程股</w:t>
            </w:r>
            <w:r>
              <w:rPr>
                <w:rFonts w:hint="eastAsia" w:ascii="宋体" w:hAnsi="宋体" w:cs="宋体"/>
                <w:sz w:val="24"/>
              </w:rPr>
              <w:t>负责日常的检查、监督、完成项目的验收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snapToGrid w:val="0"/>
              <w:spacing w:line="600" w:lineRule="exact"/>
              <w:ind w:leftChars="0" w:firstLine="300" w:firstLineChars="100"/>
              <w:outlineLvl w:val="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（四）</w:t>
            </w:r>
            <w:r>
              <w:rPr>
                <w:rFonts w:hint="eastAsia" w:eastAsia="仿宋_GB2312"/>
                <w:sz w:val="30"/>
                <w:szCs w:val="30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水利局成立由局主要负责人、分管财务、排灌、工程等工作的负责人及具体经办人组成单位评价组 ，采用单位绩效自评的评价方式，对项目绩效目标及实施计划完成情况进行了综合评价，基本达到预期目标，区农村供水工程维修养护资金为50万，用于我区5个千吨万人农村供水工程。主要内容为用于农村供水工程的设备维修、管网维修、抢修、管护，日常水质消毒、水质检测。主要目标为保障我区农村供水工程的正常运行，确保水质合格，确保人民群众饮水安全。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snapToGrid w:val="0"/>
              <w:spacing w:line="600" w:lineRule="exact"/>
              <w:ind w:leftChars="0" w:firstLine="480" w:firstLineChars="200"/>
              <w:outlineLvl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综合评价指标量化考评9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 w:val="24"/>
              </w:rPr>
              <w:t>分，达到优秀水平。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adjustRightInd w:val="0"/>
              <w:snapToGrid w:val="0"/>
              <w:spacing w:line="600" w:lineRule="exact"/>
              <w:ind w:leftChars="0" w:firstLine="300" w:firstLineChars="1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（五）</w:t>
            </w:r>
            <w:r>
              <w:rPr>
                <w:rFonts w:hint="eastAsia" w:eastAsia="仿宋_GB2312"/>
                <w:sz w:val="30"/>
                <w:szCs w:val="30"/>
              </w:rPr>
              <w:t>项目主要绩效情况分析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adjustRightInd w:val="0"/>
              <w:snapToGrid w:val="0"/>
              <w:spacing w:line="600" w:lineRule="exact"/>
              <w:ind w:leftChars="0"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项目的经济性分析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项目确定由财政预算安排，水利局本着节约的原则，通过预算进行控制，情况较好，保证项目具体实施。</w:t>
            </w:r>
          </w:p>
          <w:p>
            <w:pPr>
              <w:shd w:val="clear" w:color="auto" w:fill="FFFFFF"/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项目的效率性分析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水利局主要是通过制定项目实施计划；下达资金、经费预算，按时间及项目实施进度下拨资金；具体责任部门进行日常的监督、检查、验收，确保项目实施按时、按质量要求完成。</w:t>
            </w:r>
          </w:p>
          <w:p>
            <w:pPr>
              <w:shd w:val="clear" w:color="auto" w:fill="FFFFFF"/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项目的有效性分析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项目实施完成，基本上能保证项目预期目标，保证堤防防汛安全，保证水库堤坝安全，保证电排正常运转、排灌自如。</w:t>
            </w:r>
          </w:p>
          <w:p>
            <w:pPr>
              <w:shd w:val="clear" w:color="auto" w:fill="FFFFFF"/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项目的可持续性分析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本项目属于年度常规性项目，随着时间推移，设备老化，天气异常变化，自然环境影响对项目实施要求越来越高，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项目设备设施维修维护成本增加，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资金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需求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量越来越多，管理措施要求越来越高。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300" w:firstLineChars="100"/>
              <w:outlineLvl w:val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（六）</w:t>
            </w:r>
            <w:r>
              <w:rPr>
                <w:rFonts w:hint="eastAsia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主要做法是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根据财政预算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及防汛、备汛的实际需要来确定具体的实施项目和标准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，具体分管部门负责项目计划的监督、检查、验收，财务部门负责项目资金按计划、进度的申报、拨付、监管。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存在的问题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是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一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项目资金预算总体规模无法达到部门标准的要求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；二是防汛抗旱不确定因素太多，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我们将积极争取财政的支持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力度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，进一步加强和完善项目管理，努力控制成本，确保项目的正常实施和预期目标的完成。</w:t>
            </w:r>
          </w:p>
          <w:p>
            <w:pPr>
              <w:spacing w:line="560" w:lineRule="exact"/>
              <w:ind w:firstLine="300" w:firstLineChars="1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shd w:val="clear" w:color="auto" w:fill="FFFFFF"/>
              <w:snapToGrid w:val="0"/>
              <w:spacing w:line="600" w:lineRule="exact"/>
              <w:ind w:firstLine="4800" w:firstLineChars="2000"/>
              <w:outlineLvl w:val="0"/>
              <w:rPr>
                <w:rFonts w:hint="eastAsia" w:ascii="宋体" w:hAnsi="宋体" w:eastAsia="宋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君山区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农村饮水安全工程供水管理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中心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                                   20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55A5A"/>
    <w:multiLevelType w:val="singleLevel"/>
    <w:tmpl w:val="FB355A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mFhNjliNzA4OTAwNWRhNmFmMGNiYTRjMzFjNDMifQ=="/>
  </w:docVars>
  <w:rsids>
    <w:rsidRoot w:val="675C0E9D"/>
    <w:rsid w:val="01972F94"/>
    <w:rsid w:val="02010AAD"/>
    <w:rsid w:val="04CA2062"/>
    <w:rsid w:val="072354D2"/>
    <w:rsid w:val="07FE5818"/>
    <w:rsid w:val="09D94BBC"/>
    <w:rsid w:val="0C477D7F"/>
    <w:rsid w:val="0DA0063A"/>
    <w:rsid w:val="0F7A457C"/>
    <w:rsid w:val="0F8A5038"/>
    <w:rsid w:val="0F9948A9"/>
    <w:rsid w:val="0FB621F4"/>
    <w:rsid w:val="0FBF683B"/>
    <w:rsid w:val="12222C2B"/>
    <w:rsid w:val="12B634DD"/>
    <w:rsid w:val="12B745E9"/>
    <w:rsid w:val="150F4DFD"/>
    <w:rsid w:val="15AC2FD3"/>
    <w:rsid w:val="16232E85"/>
    <w:rsid w:val="16313D50"/>
    <w:rsid w:val="167366DA"/>
    <w:rsid w:val="17494455"/>
    <w:rsid w:val="18FA2289"/>
    <w:rsid w:val="1A0A1C2A"/>
    <w:rsid w:val="1BB56523"/>
    <w:rsid w:val="1C48618D"/>
    <w:rsid w:val="1D826EA4"/>
    <w:rsid w:val="1DD30B80"/>
    <w:rsid w:val="1E2F757C"/>
    <w:rsid w:val="1E4F5A7B"/>
    <w:rsid w:val="23EA1A3F"/>
    <w:rsid w:val="241F789D"/>
    <w:rsid w:val="243B63AE"/>
    <w:rsid w:val="24A253A0"/>
    <w:rsid w:val="256372CB"/>
    <w:rsid w:val="25764F60"/>
    <w:rsid w:val="26902BA9"/>
    <w:rsid w:val="26A362D9"/>
    <w:rsid w:val="293B363F"/>
    <w:rsid w:val="2CA6784F"/>
    <w:rsid w:val="2D916B3D"/>
    <w:rsid w:val="2DE52EE4"/>
    <w:rsid w:val="2E4C4BE3"/>
    <w:rsid w:val="2EAC10BE"/>
    <w:rsid w:val="30704081"/>
    <w:rsid w:val="310228C2"/>
    <w:rsid w:val="34714AB3"/>
    <w:rsid w:val="351C2974"/>
    <w:rsid w:val="36621FEA"/>
    <w:rsid w:val="36897802"/>
    <w:rsid w:val="37657060"/>
    <w:rsid w:val="385201EA"/>
    <w:rsid w:val="38694DAF"/>
    <w:rsid w:val="389D39E0"/>
    <w:rsid w:val="3AF74B4D"/>
    <w:rsid w:val="3BEF7729"/>
    <w:rsid w:val="3C887922"/>
    <w:rsid w:val="3CB55102"/>
    <w:rsid w:val="3E133491"/>
    <w:rsid w:val="3E6932E5"/>
    <w:rsid w:val="3EBF71AD"/>
    <w:rsid w:val="41C063B4"/>
    <w:rsid w:val="41C63689"/>
    <w:rsid w:val="42433156"/>
    <w:rsid w:val="424E557E"/>
    <w:rsid w:val="447657EA"/>
    <w:rsid w:val="45E008F9"/>
    <w:rsid w:val="49C10AC1"/>
    <w:rsid w:val="4B2B62A7"/>
    <w:rsid w:val="4B703257"/>
    <w:rsid w:val="4ED35C3F"/>
    <w:rsid w:val="4F36042E"/>
    <w:rsid w:val="50272D6A"/>
    <w:rsid w:val="50D81916"/>
    <w:rsid w:val="51E31E4D"/>
    <w:rsid w:val="52307DBA"/>
    <w:rsid w:val="523D34A5"/>
    <w:rsid w:val="5293109C"/>
    <w:rsid w:val="52E80032"/>
    <w:rsid w:val="54CE35AD"/>
    <w:rsid w:val="54F2351D"/>
    <w:rsid w:val="556C1D7A"/>
    <w:rsid w:val="55CC3CAD"/>
    <w:rsid w:val="566857C9"/>
    <w:rsid w:val="57CB3304"/>
    <w:rsid w:val="58270B05"/>
    <w:rsid w:val="5B146AFE"/>
    <w:rsid w:val="5BD16807"/>
    <w:rsid w:val="5C500CBE"/>
    <w:rsid w:val="5E3E6E0B"/>
    <w:rsid w:val="5E4248EB"/>
    <w:rsid w:val="5F00501B"/>
    <w:rsid w:val="621F1A03"/>
    <w:rsid w:val="62280673"/>
    <w:rsid w:val="629F190B"/>
    <w:rsid w:val="62B22C70"/>
    <w:rsid w:val="62F45FC0"/>
    <w:rsid w:val="63FF2724"/>
    <w:rsid w:val="64E03AE8"/>
    <w:rsid w:val="654E0916"/>
    <w:rsid w:val="65D55FCC"/>
    <w:rsid w:val="675C0E9D"/>
    <w:rsid w:val="69285876"/>
    <w:rsid w:val="6B2B063B"/>
    <w:rsid w:val="6B6D06D3"/>
    <w:rsid w:val="6C496C32"/>
    <w:rsid w:val="6CFB6812"/>
    <w:rsid w:val="6D535020"/>
    <w:rsid w:val="6E5272D9"/>
    <w:rsid w:val="70206770"/>
    <w:rsid w:val="720524EE"/>
    <w:rsid w:val="7237679E"/>
    <w:rsid w:val="7492793D"/>
    <w:rsid w:val="75AC6745"/>
    <w:rsid w:val="765E796F"/>
    <w:rsid w:val="76C33D92"/>
    <w:rsid w:val="7A282DB6"/>
    <w:rsid w:val="7A597BD4"/>
    <w:rsid w:val="7A9769F1"/>
    <w:rsid w:val="7ACC67AC"/>
    <w:rsid w:val="7AE25765"/>
    <w:rsid w:val="7B0553F3"/>
    <w:rsid w:val="7B55484B"/>
    <w:rsid w:val="7D845464"/>
    <w:rsid w:val="7E463D53"/>
    <w:rsid w:val="7E8F3DCE"/>
    <w:rsid w:val="7F995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afterLines="0"/>
      <w:ind w:firstLine="420" w:firstLineChars="100"/>
    </w:pPr>
    <w:rPr>
      <w:sz w:val="21"/>
      <w:szCs w:val="21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4">
    <w:name w:val="正文首行缩进1"/>
    <w:basedOn w:val="1"/>
    <w:qFormat/>
    <w:uiPriority w:val="0"/>
    <w:pPr>
      <w:adjustRightInd w:val="0"/>
      <w:spacing w:line="300" w:lineRule="atLeast"/>
      <w:ind w:firstLine="539"/>
      <w:textAlignment w:val="baseline"/>
    </w:pPr>
    <w:rPr>
      <w:rFonts w:ascii="宋体" w:eastAsia="宋体"/>
      <w:kern w:val="0"/>
      <w:sz w:val="24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2487</Words>
  <Characters>2708</Characters>
  <Lines>0</Lines>
  <Paragraphs>0</Paragraphs>
  <TotalTime>3</TotalTime>
  <ScaleCrop>false</ScaleCrop>
  <LinksUpToDate>false</LinksUpToDate>
  <CharactersWithSpaces>3336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2018-05-23T03:37:00Z</dcterms:created>
  <dc:creator>Administrator</dc:creator>
  <cp:lastModifiedBy>ZQ</cp:lastModifiedBy>
  <cp:lastPrinted>2023-07-18T10:36:50Z</cp:lastPrinted>
  <dcterms:modified xsi:type="dcterms:W3CDTF">2023-07-18T10:37:19Z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44332DAB08184E21883366ACD7787668</vt:lpwstr>
  </property>
</Properties>
</file>