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岳阳区财政支出项目绩效评价自评报告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防汛备汛经费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君山区水旱灾害防御事务中心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君山区水利局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pStyle w:val="2"/>
      </w:pPr>
    </w:p>
    <w:p>
      <w:pPr>
        <w:spacing w:line="348" w:lineRule="auto"/>
        <w:jc w:val="center"/>
        <w:rPr>
          <w:rFonts w:eastAsia="仿宋_GB2312"/>
          <w:sz w:val="32"/>
        </w:rPr>
      </w:pPr>
      <w:r>
        <w:rPr>
          <w:rFonts w:hint="eastAsia" w:eastAsia="仿宋_GB2312"/>
          <w:sz w:val="32"/>
        </w:rPr>
        <w:t>报告日期： 2023 年7月5日</w:t>
      </w:r>
    </w:p>
    <w:p>
      <w:pPr>
        <w:spacing w:line="348" w:lineRule="auto"/>
        <w:jc w:val="center"/>
        <w:rPr>
          <w:rFonts w:eastAsia="仿宋_GB2312"/>
          <w:sz w:val="32"/>
        </w:rPr>
      </w:pPr>
      <w:r>
        <w:rPr>
          <w:rFonts w:hint="eastAsia" w:eastAsia="仿宋_GB2312"/>
          <w:sz w:val="32"/>
        </w:rPr>
        <w:t>岳阳区财政局（制）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945"/>
        <w:gridCol w:w="139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eastAsia="仿宋_GB2312"/>
                <w:sz w:val="24"/>
              </w:rPr>
            </w:pPr>
            <w:r>
              <w:rPr>
                <w:rFonts w:hint="eastAsia" w:eastAsia="仿宋_GB2312"/>
                <w:sz w:val="24"/>
              </w:rPr>
              <w:t>胡峰</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jc w:val="center"/>
              <w:rPr>
                <w:rFonts w:eastAsia="仿宋_GB2312"/>
                <w:sz w:val="24"/>
              </w:rPr>
            </w:pPr>
            <w:r>
              <w:rPr>
                <w:rFonts w:hint="eastAsia" w:eastAsia="仿宋_GB2312"/>
                <w:sz w:val="24"/>
              </w:rPr>
              <w:t xml:space="preserve"> 13617308229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jc w:val="center"/>
              <w:rPr>
                <w:rFonts w:eastAsia="仿宋_GB2312"/>
                <w:sz w:val="24"/>
              </w:rPr>
            </w:pPr>
            <w:r>
              <w:rPr>
                <w:rFonts w:hint="eastAsia" w:eastAsia="仿宋_GB2312"/>
                <w:sz w:val="24"/>
              </w:rPr>
              <w:t>岳阳市君山区柳林洲街道水利局</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r>
              <w:rPr>
                <w:rFonts w:hint="eastAsia" w:eastAsia="仿宋_GB2312"/>
                <w:sz w:val="24"/>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2022年 1月起至  2022年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180</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180</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4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159.68</w:t>
            </w:r>
          </w:p>
        </w:tc>
        <w:tc>
          <w:tcPr>
            <w:tcW w:w="139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45" w:type="dxa"/>
            <w:tcBorders>
              <w:bottom w:val="single" w:color="auto" w:sz="4" w:space="0"/>
            </w:tcBorders>
            <w:vAlign w:val="center"/>
          </w:tcPr>
          <w:p>
            <w:pPr>
              <w:rPr>
                <w:rFonts w:eastAsia="仿宋_GB2312"/>
                <w:spacing w:val="-6"/>
                <w:sz w:val="24"/>
              </w:rPr>
            </w:pPr>
          </w:p>
        </w:tc>
        <w:tc>
          <w:tcPr>
            <w:tcW w:w="139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区财政</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县区区财政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180</w:t>
            </w:r>
          </w:p>
        </w:tc>
        <w:tc>
          <w:tcPr>
            <w:tcW w:w="1800" w:type="dxa"/>
            <w:tcBorders>
              <w:bottom w:val="single" w:color="auto" w:sz="4" w:space="0"/>
            </w:tcBorders>
            <w:vAlign w:val="center"/>
          </w:tcPr>
          <w:p>
            <w:pPr>
              <w:rPr>
                <w:rFonts w:eastAsia="仿宋_GB2312"/>
                <w:sz w:val="24"/>
              </w:rPr>
            </w:pPr>
            <w:r>
              <w:rPr>
                <w:rFonts w:hint="eastAsia" w:eastAsia="仿宋_GB2312"/>
                <w:sz w:val="24"/>
              </w:rPr>
              <w:t>县区区财政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180</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县区区财政</w:t>
            </w:r>
          </w:p>
        </w:tc>
        <w:tc>
          <w:tcPr>
            <w:tcW w:w="945" w:type="dxa"/>
            <w:tcBorders>
              <w:bottom w:val="single" w:color="auto" w:sz="4" w:space="0"/>
            </w:tcBorders>
            <w:vAlign w:val="center"/>
          </w:tcPr>
          <w:p>
            <w:pPr>
              <w:rPr>
                <w:rFonts w:eastAsia="仿宋_GB2312"/>
                <w:sz w:val="24"/>
              </w:rPr>
            </w:pPr>
            <w:r>
              <w:rPr>
                <w:rFonts w:hint="eastAsia" w:eastAsia="仿宋_GB2312"/>
                <w:sz w:val="24"/>
              </w:rPr>
              <w:t>159.68</w:t>
            </w:r>
          </w:p>
        </w:tc>
        <w:tc>
          <w:tcPr>
            <w:tcW w:w="1395" w:type="dxa"/>
            <w:tcBorders>
              <w:bottom w:val="single" w:color="auto" w:sz="4" w:space="0"/>
            </w:tcBorders>
            <w:vAlign w:val="center"/>
          </w:tcPr>
          <w:p>
            <w:pPr>
              <w:rPr>
                <w:rFonts w:eastAsia="仿宋_GB2312"/>
                <w:sz w:val="24"/>
              </w:rPr>
            </w:pPr>
            <w:r>
              <w:rPr>
                <w:rFonts w:hint="eastAsia" w:eastAsia="仿宋_GB2312"/>
                <w:sz w:val="24"/>
              </w:rPr>
              <w:t>县区区财政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建设西垸预防性试验及抗旱设备维护费</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100,000.00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2022.7  48#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防御中心技术服务费</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49,320.00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2022.8   14#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君山区钱南垸防汛项目工程款</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39,800.00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2022.9 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水旱应急演练经费</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50,000.00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2022.11  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气象服务费</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98,000.00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2022.12  59#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钱北垸钱口电排出水渠整修及防汛仓库维修</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186,292.91</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2022.7  51#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建设垸电排防汛资金拔付</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178,000.00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2022.6  21#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钱粮湖电排防汛资金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129,000.00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2022.11  5#</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防汛安全隐患资金</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200,000.00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2022.6  5#</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君山垸电排防汛备汛维修资金</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226,400.00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2022.7  16#</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建设垸防汛项目资金</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140,000.00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2022.9  3#</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付君山垸电排预内防汛资金</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30,000.00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2022.11  30#</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付君山垸水委会预内防汛资金</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70,000.00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2022.11  28#</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钱南垸防汛资金</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50,000.00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2022.6  3#</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气象服务费</w:t>
            </w:r>
          </w:p>
        </w:tc>
        <w:tc>
          <w:tcPr>
            <w:tcW w:w="1822" w:type="dxa"/>
            <w:gridSpan w:val="2"/>
            <w:tcBorders>
              <w:bottom w:val="single" w:color="auto" w:sz="4" w:space="0"/>
            </w:tcBorders>
            <w:vAlign w:val="center"/>
          </w:tcPr>
          <w:p>
            <w:pPr>
              <w:widowControl/>
              <w:jc w:val="right"/>
              <w:textAlignment w:val="center"/>
              <w:rPr>
                <w:rFonts w:eastAsia="仿宋_GB2312"/>
                <w:bCs/>
                <w:sz w:val="24"/>
              </w:rPr>
            </w:pPr>
            <w:r>
              <w:rPr>
                <w:rFonts w:ascii="宋体" w:hAnsi="宋体" w:cs="宋体"/>
                <w:color w:val="000000"/>
                <w:kern w:val="0"/>
                <w:sz w:val="18"/>
                <w:szCs w:val="18"/>
              </w:rPr>
              <w:t>50,000.00</w:t>
            </w:r>
          </w:p>
        </w:tc>
        <w:tc>
          <w:tcPr>
            <w:tcW w:w="2342" w:type="dxa"/>
            <w:gridSpan w:val="5"/>
            <w:tcBorders>
              <w:bottom w:val="single" w:color="auto" w:sz="4" w:space="0"/>
            </w:tcBorders>
            <w:vAlign w:val="center"/>
          </w:tcPr>
          <w:p>
            <w:pPr>
              <w:widowControl/>
              <w:jc w:val="left"/>
              <w:textAlignment w:val="center"/>
              <w:rPr>
                <w:rFonts w:eastAsia="仿宋_GB2312"/>
                <w:bCs/>
                <w:sz w:val="24"/>
              </w:rPr>
            </w:pPr>
            <w:r>
              <w:rPr>
                <w:rFonts w:ascii="宋体" w:hAnsi="宋体" w:cs="宋体"/>
                <w:color w:val="000000"/>
                <w:kern w:val="0"/>
                <w:sz w:val="18"/>
                <w:szCs w:val="18"/>
              </w:rPr>
              <w:t>2022.12  59#</w:t>
            </w: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1596812.94</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hint="eastAsia" w:eastAsia="仿宋_GB2312"/>
                <w:b/>
                <w:sz w:val="24"/>
                <w:lang w:eastAsia="zh-CN"/>
              </w:rPr>
            </w:pPr>
            <w:r>
              <w:rPr>
                <w:rFonts w:hint="eastAsia" w:eastAsia="仿宋_GB2312"/>
                <w:b/>
                <w:sz w:val="24"/>
              </w:rPr>
              <w:t>结余部分</w:t>
            </w:r>
            <w:r>
              <w:rPr>
                <w:rFonts w:hint="eastAsia" w:eastAsia="仿宋_GB2312"/>
                <w:b/>
                <w:sz w:val="24"/>
                <w:lang w:val="en-US" w:eastAsia="zh-CN"/>
              </w:rPr>
              <w:t>下</w:t>
            </w:r>
            <w:r>
              <w:rPr>
                <w:rFonts w:hint="eastAsia" w:eastAsia="仿宋_GB2312"/>
                <w:b/>
                <w:sz w:val="24"/>
              </w:rPr>
              <w:t>年</w:t>
            </w:r>
            <w:r>
              <w:rPr>
                <w:rFonts w:hint="eastAsia" w:eastAsia="仿宋_GB2312"/>
                <w:b/>
                <w:sz w:val="24"/>
                <w:lang w:val="en-US" w:eastAsia="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  期 目 标</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针对今年防汛抗旱工作面临的新情况、新要求、新定位，结合雨水工情变化，组织开展各类防汛抗旱方案预案修订工作。组织修订区抗旱应急水源工程应急调度预案、区人饮工程抗旱应急供水预案、38座水库调度规程及防汛应急预案。并督促在建涉水工程编制度汛应急预案，拟于4月中旬对预案进行审查，为防汛抢险提供了科学依据和技术支撑。</w:t>
            </w:r>
          </w:p>
          <w:p>
            <w:pPr>
              <w:spacing w:line="400" w:lineRule="exact"/>
              <w:jc w:val="center"/>
              <w:rPr>
                <w:rFonts w:eastAsia="仿宋_GB2312"/>
                <w:sz w:val="24"/>
              </w:rPr>
            </w:pPr>
            <w:r>
              <w:rPr>
                <w:rFonts w:hint="eastAsia" w:eastAsia="仿宋_GB2312"/>
                <w:sz w:val="24"/>
              </w:rPr>
              <w:t>按照省市安排部署，完成良心堡、采桑湖、西北、东北、白浪平、太阳等6座小（1）型水库水雨情监测和视频监控系统的建设。并委托技术单位对已有的防汛视频会商系统、雨水工情监测系统、雨量测量站及水位测量站等设备进行了维修养护，确保雨水工情信息及时准确。江堤、湖堤、河堤不溃垸.，工农业生产损失降到最低程度。</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实际收财政专项拨款180万，</w:t>
            </w:r>
            <w:r>
              <w:rPr>
                <w:rFonts w:hint="eastAsia" w:eastAsia="仿宋_GB2312"/>
                <w:sz w:val="24"/>
                <w:lang w:val="en-US" w:eastAsia="zh-CN"/>
              </w:rPr>
              <w:t>当年</w:t>
            </w:r>
            <w:r>
              <w:rPr>
                <w:rFonts w:hint="eastAsia" w:eastAsia="仿宋_GB2312"/>
                <w:sz w:val="24"/>
              </w:rPr>
              <w:t>实际支出159.68万元，</w:t>
            </w:r>
            <w:r>
              <w:rPr>
                <w:rFonts w:hint="eastAsia" w:eastAsia="仿宋_GB2312"/>
                <w:sz w:val="24"/>
                <w:lang w:val="en-US" w:eastAsia="zh-CN"/>
              </w:rPr>
              <w:t>当年</w:t>
            </w:r>
            <w:r>
              <w:rPr>
                <w:rFonts w:hint="eastAsia" w:eastAsia="仿宋_GB2312"/>
                <w:sz w:val="24"/>
              </w:rPr>
              <w:t>结余20.32万元</w:t>
            </w:r>
            <w:r>
              <w:rPr>
                <w:rFonts w:hint="eastAsia" w:eastAsia="仿宋_GB2312"/>
                <w:sz w:val="24"/>
                <w:lang w:val="en-US" w:eastAsia="zh-CN"/>
              </w:rPr>
              <w:t>下年度已完成支付</w:t>
            </w:r>
            <w:r>
              <w:rPr>
                <w:rFonts w:hint="eastAsia" w:eastAsia="仿宋_GB2312"/>
                <w:sz w:val="24"/>
              </w:rPr>
              <w:t>，达到预期目标。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指标1;巡堤一天3次</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指标2：排渍口应急检测次数28次</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指标1：防止出现险情</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0险情</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指标1：按时完成各项指标</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指标1：成本控制情况</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节约执法成本</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成本控制在预算范围之内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指标1：降低周围水旱灾害损失</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指标1：保护垸内人民群众财产安全</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指标1：保护生态环境</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可持续影响</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无持续影响指标</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指标1：社会公众满意度</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90%以上</w:t>
            </w:r>
          </w:p>
        </w:tc>
        <w:tc>
          <w:tcPr>
            <w:tcW w:w="303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社会公众满意度达93%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bookmarkStart w:id="0" w:name="_GoBack" w:colFirst="5" w:colLast="7"/>
            <w:r>
              <w:rPr>
                <w:rFonts w:hint="eastAsia" w:eastAsia="仿宋_GB2312"/>
                <w:sz w:val="24"/>
                <w:lang w:val="en-US" w:eastAsia="zh-CN"/>
              </w:rPr>
              <w:t>吴朝军</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局长</w:t>
            </w:r>
          </w:p>
        </w:tc>
        <w:tc>
          <w:tcPr>
            <w:tcW w:w="1950" w:type="dxa"/>
            <w:gridSpan w:val="4"/>
            <w:vAlign w:val="center"/>
          </w:tcPr>
          <w:p>
            <w:pPr>
              <w:jc w:val="center"/>
              <w:rPr>
                <w:rFonts w:hint="default" w:eastAsia="仿宋_GB2312"/>
                <w:sz w:val="24"/>
                <w:lang w:val="en-US" w:eastAsia="zh-CN"/>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吴朝军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聂 毅</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副局长</w:t>
            </w:r>
          </w:p>
        </w:tc>
        <w:tc>
          <w:tcPr>
            <w:tcW w:w="1950" w:type="dxa"/>
            <w:gridSpan w:val="4"/>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聂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陈 力</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计财股长</w:t>
            </w:r>
          </w:p>
        </w:tc>
        <w:tc>
          <w:tcPr>
            <w:tcW w:w="1950" w:type="dxa"/>
            <w:gridSpan w:val="4"/>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陈 力</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张雪</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15675944553</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（一）项目基本概况</w:t>
            </w:r>
          </w:p>
          <w:p>
            <w:pPr>
              <w:widowControl/>
              <w:spacing w:line="480" w:lineRule="auto"/>
              <w:ind w:firstLine="480" w:firstLineChars="200"/>
              <w:rPr>
                <w:rFonts w:ascii="仿宋_GB2312" w:eastAsia="仿宋_GB2312"/>
                <w:color w:val="000000"/>
                <w:sz w:val="32"/>
                <w:szCs w:val="32"/>
              </w:rPr>
            </w:pPr>
            <w:r>
              <w:rPr>
                <w:rFonts w:hint="eastAsia" w:ascii="宋体" w:hAnsi="宋体" w:cs="宋体"/>
                <w:color w:val="000000"/>
                <w:sz w:val="24"/>
              </w:rPr>
              <w:t>1、项目单位基本情况</w:t>
            </w:r>
            <w:r>
              <w:rPr>
                <w:rFonts w:hint="eastAsia" w:ascii="仿宋_GB2312" w:eastAsia="仿宋_GB2312"/>
                <w:color w:val="000000"/>
                <w:sz w:val="32"/>
                <w:szCs w:val="32"/>
              </w:rPr>
              <w:t>。</w:t>
            </w:r>
          </w:p>
          <w:p>
            <w:pPr>
              <w:widowControl/>
              <w:spacing w:line="480" w:lineRule="auto"/>
              <w:ind w:firstLine="480" w:firstLineChars="200"/>
              <w:rPr>
                <w:rFonts w:ascii="宋体"/>
                <w:sz w:val="24"/>
              </w:rPr>
            </w:pPr>
            <w:r>
              <w:rPr>
                <w:rFonts w:hint="eastAsia" w:ascii="宋体"/>
                <w:sz w:val="24"/>
              </w:rPr>
              <w:t>下辖各类性质的二级机构8家，管理着235公里防洪大堤，58公里流经区域河流，51座穿堤建筑物，29座外排机埠。主要职责（与本项目相关的职责）： 负责生活、生产经营和生态环境用水的统筹兼顾和保障；负责防治水旱灾害，承担区防汛抗旱指挥部的日常工作；负责节约用水工作、组织、指导水利工程设施、水域及其岸线的管理与保护；负责防治水土流失工作。</w:t>
            </w:r>
          </w:p>
          <w:p>
            <w:pPr>
              <w:widowControl/>
              <w:spacing w:line="480" w:lineRule="auto"/>
              <w:ind w:firstLine="480" w:firstLineChars="200"/>
              <w:rPr>
                <w:rFonts w:ascii="宋体" w:hAnsi="宋体" w:cs="宋体"/>
                <w:color w:val="000000"/>
                <w:sz w:val="24"/>
              </w:rPr>
            </w:pPr>
            <w:r>
              <w:rPr>
                <w:rFonts w:hint="eastAsia" w:ascii="宋体" w:hAnsi="宋体" w:cs="宋体"/>
                <w:color w:val="000000"/>
                <w:sz w:val="24"/>
              </w:rPr>
              <w:t>2、项目年度预算绩效目标。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lang w:val="en-US" w:eastAsia="zh-CN"/>
              </w:rPr>
            </w:pPr>
            <w:r>
              <w:rPr>
                <w:rFonts w:hint="eastAsia" w:ascii="宋体"/>
                <w:sz w:val="24"/>
                <w:lang w:val="en-US" w:eastAsia="zh-CN"/>
              </w:rPr>
              <w:t>针对今年防汛抗旱工作面临的新情况、新要求、新定位，结合雨水工情变化，组织开展各类防汛抗旱方案预案修订工作。组织修订区抗旱应急水源工程应急调度预案、区人饮工程抗旱应急供水预案、38座水库调度规程及防汛应急预案。并督促在建涉水工程编制度汛应急预案，拟于4月中旬对预案进行审查，为防汛抢险提供了科学依据和技术支撑。按照省市安排部署，完成良心堡、采桑湖、西北、东北、白浪平、太阳等6座小（1）型水库水雨情监测和视频监控系统的建设。并委托技术单位对已有的防汛视频会商系统、雨水工情监测系统、雨量测量站及水位测量站等设备进行了维修养护，确保雨水工情信息及时准确。江堤、湖堤、河堤不溃垸.，工农业生产损失降到最低程度。堤防保证安全度汛；水库遇设计暴雨不垮坝；电排保证排灌运行自如；垸内三日降雨200毫米不渍田；遇中等程度干旱，生活、生产、生态用水不受大的影响，发生严重干旱时，生活用水有保障，工农业生产损失降到最低。</w:t>
            </w:r>
          </w:p>
          <w:p>
            <w:pPr>
              <w:shd w:val="clear" w:color="auto" w:fill="FFFFFF"/>
              <w:snapToGrid w:val="0"/>
              <w:spacing w:line="600" w:lineRule="exact"/>
              <w:ind w:firstLine="300" w:firstLineChars="100"/>
              <w:outlineLvl w:val="0"/>
              <w:rPr>
                <w:rFonts w:ascii="宋体" w:hAnsi="宋体" w:cs="宋体"/>
                <w:bCs/>
                <w:color w:val="000000"/>
                <w:sz w:val="24"/>
              </w:rPr>
            </w:pPr>
            <w:r>
              <w:rPr>
                <w:rFonts w:hint="eastAsia" w:eastAsia="仿宋_GB2312"/>
                <w:sz w:val="30"/>
                <w:szCs w:val="30"/>
              </w:rPr>
              <w:t>（二）项目资金使用及管理情况</w:t>
            </w:r>
            <w:r>
              <w:rPr>
                <w:rFonts w:hint="eastAsia" w:ascii="宋体" w:hAnsi="宋体" w:cs="宋体"/>
                <w:bCs/>
                <w:color w:val="000000"/>
                <w:sz w:val="24"/>
              </w:rPr>
              <w:t xml:space="preserve"> </w:t>
            </w:r>
          </w:p>
          <w:p>
            <w:pPr>
              <w:numPr>
                <w:ilvl w:val="0"/>
                <w:numId w:val="1"/>
              </w:num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项目资金安排落实情况。</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根据年度预算安排防汛</w:t>
            </w:r>
            <w:r>
              <w:rPr>
                <w:rFonts w:hint="eastAsia" w:ascii="宋体" w:hAnsi="宋体" w:cs="宋体"/>
                <w:bCs/>
                <w:color w:val="000000"/>
                <w:sz w:val="24"/>
                <w:lang w:val="en-US" w:eastAsia="zh-CN"/>
              </w:rPr>
              <w:t>备汛</w:t>
            </w:r>
            <w:r>
              <w:rPr>
                <w:rFonts w:hint="eastAsia" w:ascii="宋体" w:hAnsi="宋体" w:cs="宋体"/>
                <w:bCs/>
                <w:color w:val="000000"/>
                <w:sz w:val="24"/>
              </w:rPr>
              <w:t>经费180万元，实际到位资金180万元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2、项目资金（主要是指财政资金）实际使用情况。</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项目资金实际支出见项目支出明细表，截止2022年12月，共计支出159.68万元，结余20.32万元,结余资金2023年做支付结算。</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3、项目资金管理情况。</w:t>
            </w:r>
          </w:p>
          <w:p>
            <w:pPr>
              <w:shd w:val="clear" w:color="auto" w:fill="FFFFFF"/>
              <w:snapToGrid w:val="0"/>
              <w:spacing w:line="600" w:lineRule="exact"/>
              <w:ind w:firstLine="200"/>
              <w:outlineLvl w:val="0"/>
              <w:rPr>
                <w:rFonts w:ascii="宋体" w:hAnsi="宋体" w:cs="宋体"/>
                <w:bCs/>
                <w:color w:val="000000"/>
                <w:sz w:val="24"/>
              </w:rPr>
            </w:pPr>
            <w:r>
              <w:rPr>
                <w:rFonts w:hint="eastAsia" w:ascii="宋体" w:hAnsi="宋体" w:cs="宋体"/>
                <w:bCs/>
                <w:color w:val="000000"/>
                <w:sz w:val="24"/>
              </w:rPr>
              <w:t xml:space="preserve">  项目资金的管理情况较好，制定了《水利局二级机构财务管理办法》、《水利局二级机构预算管理办法》、《水利局二级机构账务代管管理办法》等管理规定，并严格执行；，按时间和项目实施进程分次、分批拨付；项目资金的使用、监管，通过局会计集中核算中心对二级机构财务代管进行，保证足额、规范地使用。</w:t>
            </w: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（三）项目组织实施情况</w:t>
            </w:r>
          </w:p>
          <w:p>
            <w:pPr>
              <w:shd w:val="clear" w:color="auto" w:fill="FFFFFF"/>
              <w:snapToGrid w:val="0"/>
              <w:spacing w:line="600" w:lineRule="exact"/>
              <w:ind w:firstLine="480" w:firstLineChars="200"/>
              <w:outlineLvl w:val="0"/>
              <w:rPr>
                <w:rFonts w:ascii="宋体" w:hAnsi="宋体" w:cs="宋体"/>
                <w:sz w:val="24"/>
              </w:rPr>
            </w:pPr>
            <w:r>
              <w:rPr>
                <w:rFonts w:hint="eastAsia" w:ascii="宋体" w:hAnsi="宋体" w:cs="宋体"/>
                <w:sz w:val="24"/>
              </w:rPr>
              <w:t>项目实施年初由区水旱灾害防御事务中心制定备汛及应急处险等项目及资金计划，交由相应堤防、电排所属二级机构负责实施，由区水旱灾害防御事务中心及工程股负责日常的检查、监督、完成项目的验收。</w:t>
            </w: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（四）综合评价情况及评价结论</w:t>
            </w:r>
          </w:p>
          <w:p>
            <w:pPr>
              <w:shd w:val="clear" w:color="auto" w:fill="FFFFFF"/>
              <w:snapToGrid w:val="0"/>
              <w:spacing w:line="600" w:lineRule="exact"/>
              <w:ind w:firstLine="480" w:firstLineChars="200"/>
              <w:outlineLvl w:val="0"/>
              <w:rPr>
                <w:rFonts w:ascii="宋体" w:hAnsi="宋体" w:cs="宋体"/>
                <w:bCs/>
                <w:sz w:val="24"/>
              </w:rPr>
            </w:pPr>
            <w:r>
              <w:rPr>
                <w:rFonts w:hint="eastAsia" w:ascii="宋体" w:hAnsi="宋体" w:cs="宋体"/>
                <w:sz w:val="24"/>
              </w:rPr>
              <w:t>水利局成立由局主要负责人、分管财务、排灌、工程等工作的负责人及具体经办人组成单位评价组 ，采用单位绩效自评的评价方式，对项目绩效目标及实施计划完成情况进行了综合评价，基本达到预期目标，</w:t>
            </w:r>
            <w:r>
              <w:rPr>
                <w:rFonts w:hint="eastAsia" w:ascii="宋体" w:hAnsi="宋体" w:cs="宋体"/>
                <w:bCs/>
                <w:sz w:val="24"/>
              </w:rPr>
              <w:t>堤防保证安全度汛；水库遇设计暴雨不垮坝；电排保证排灌自如；垸内三日降雨200毫米不渍田；遇中等程度干旱，生活、生产、生态用水不受大的影响，发生严重干旱时，生活用水有保障，工农业生产损失降到最低。综合评价指标量化考评96分，达到优秀水平。</w:t>
            </w:r>
          </w:p>
          <w:p>
            <w:pPr>
              <w:shd w:val="clear" w:color="auto" w:fill="FFFFFF"/>
              <w:adjustRightInd w:val="0"/>
              <w:snapToGrid w:val="0"/>
              <w:spacing w:line="600" w:lineRule="exact"/>
              <w:ind w:firstLine="300" w:firstLineChars="100"/>
              <w:rPr>
                <w:rFonts w:eastAsia="仿宋_GB2312"/>
                <w:sz w:val="30"/>
                <w:szCs w:val="30"/>
              </w:rPr>
            </w:pPr>
            <w:r>
              <w:rPr>
                <w:rFonts w:hint="eastAsia" w:eastAsia="仿宋_GB2312"/>
                <w:sz w:val="30"/>
                <w:szCs w:val="30"/>
              </w:rPr>
              <w:t>（五）项目主要绩效情况分析</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1、项目的经济性分析。项目确定由财政预算安排，水利局本着节约的原则，通过预算进行控制，情况较好，保证项目具体实施。</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2、项目的效率性分析。水利局主要是通过制定项目实施计划；下达资金、经费预算，按时间及项目实施进度下拨资金；具体责任部门进行日常的监督、检查、验收，确保项目实施按时、按质量要求完成。</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3、项目的有效性分析。项目实施完成，基本上能保证项目预期目标，保证堤防防汛安全，保证水库堤坝安全，保证电排正常运转、排灌自如。</w:t>
            </w:r>
          </w:p>
          <w:p>
            <w:pPr>
              <w:shd w:val="clear" w:color="auto" w:fill="FFFFFF"/>
              <w:adjustRightInd w:val="0"/>
              <w:snapToGrid w:val="0"/>
              <w:spacing w:line="600" w:lineRule="exact"/>
              <w:ind w:firstLine="480" w:firstLineChars="200"/>
              <w:rPr>
                <w:rFonts w:ascii="宋体" w:hAnsi="宋体" w:cs="宋体"/>
                <w:bCs/>
                <w:sz w:val="24"/>
              </w:rPr>
            </w:pPr>
            <w:r>
              <w:rPr>
                <w:rFonts w:hint="eastAsia" w:ascii="宋体" w:hAnsi="宋体" w:cs="宋体"/>
                <w:bCs/>
                <w:color w:val="000000"/>
                <w:sz w:val="24"/>
              </w:rPr>
              <w:t>4、项目的可持续性分析。本项目属于年度常规性项目，随着时间推移，设备老化，天气异常变化，自然环境影响对项目实施要求越来越高，项目设备设施维修维护成本增加，资金需求量越来越多，管理措施要求越来越高。</w:t>
            </w:r>
          </w:p>
          <w:p>
            <w:pPr>
              <w:shd w:val="clear" w:color="auto" w:fill="FFFFFF"/>
              <w:snapToGrid w:val="0"/>
              <w:spacing w:line="600" w:lineRule="exact"/>
              <w:ind w:firstLine="300" w:firstLineChars="100"/>
              <w:outlineLvl w:val="0"/>
              <w:rPr>
                <w:rFonts w:ascii="宋体" w:hAnsi="宋体" w:cs="宋体"/>
                <w:bCs/>
                <w:color w:val="000000"/>
                <w:sz w:val="24"/>
              </w:rPr>
            </w:pPr>
            <w:r>
              <w:rPr>
                <w:rFonts w:hint="eastAsia" w:eastAsia="仿宋_GB2312"/>
                <w:sz w:val="30"/>
                <w:szCs w:val="30"/>
              </w:rPr>
              <w:t>（六）主要经验及做法、存在问题和建议</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主要做法是根据财政预算及防汛、备汛的实际需要来确定具体的实施项目和标准，具体分管部门负责项目计划的监督、检查、验收，财务部门负责项目资金按计划、进度的申报、拨付、监管。</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存在的问题主要是一项目资金预算总体规模无法达到部门标准的要求；二是防汛抗旱不确定因素太多，我们将积极争取财政的支持力度，进一步加强和完善项目管理，努力控制成本，确保项目的正常实施和预期目标的完成。</w:t>
            </w:r>
          </w:p>
          <w:p>
            <w:pPr>
              <w:spacing w:line="560" w:lineRule="exact"/>
              <w:ind w:firstLine="300" w:firstLineChars="100"/>
              <w:rPr>
                <w:rFonts w:eastAsia="仿宋_GB2312"/>
                <w:sz w:val="30"/>
                <w:szCs w:val="30"/>
              </w:rPr>
            </w:pPr>
            <w:r>
              <w:rPr>
                <w:rFonts w:hint="eastAsia" w:eastAsia="仿宋_GB2312"/>
                <w:sz w:val="30"/>
                <w:szCs w:val="30"/>
              </w:rPr>
              <w:t>（七）附件</w:t>
            </w:r>
          </w:p>
          <w:p>
            <w:pPr>
              <w:rPr>
                <w:rFonts w:eastAsia="楷体_GB2312"/>
                <w:bCs/>
                <w:sz w:val="28"/>
                <w:szCs w:val="28"/>
              </w:rPr>
            </w:pPr>
          </w:p>
          <w:p>
            <w:pPr>
              <w:rPr>
                <w:rFonts w:eastAsia="楷体_GB2312"/>
                <w:bCs/>
                <w:sz w:val="28"/>
                <w:szCs w:val="28"/>
              </w:rPr>
            </w:pPr>
          </w:p>
          <w:p>
            <w:pPr>
              <w:rPr>
                <w:rFonts w:eastAsia="楷体_GB2312"/>
                <w:bCs/>
                <w:sz w:val="28"/>
                <w:szCs w:val="28"/>
              </w:rPr>
            </w:pPr>
          </w:p>
          <w:p>
            <w:pPr>
              <w:shd w:val="clear" w:color="auto" w:fill="FFFFFF"/>
              <w:snapToGrid w:val="0"/>
              <w:spacing w:line="600" w:lineRule="exact"/>
              <w:ind w:firstLine="5280" w:firstLineChars="2200"/>
              <w:outlineLvl w:val="0"/>
              <w:rPr>
                <w:rFonts w:ascii="宋体" w:hAnsi="宋体" w:cs="宋体"/>
                <w:bCs/>
                <w:color w:val="000000"/>
                <w:sz w:val="24"/>
              </w:rPr>
            </w:pPr>
            <w:r>
              <w:rPr>
                <w:rFonts w:hint="eastAsia" w:ascii="宋体" w:hAnsi="宋体" w:cs="宋体"/>
                <w:bCs/>
                <w:color w:val="000000"/>
                <w:sz w:val="24"/>
              </w:rPr>
              <w:t>君山区水旱灾害防御事务中心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2023年7月5日</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55A5A"/>
    <w:multiLevelType w:val="singleLevel"/>
    <w:tmpl w:val="FB355A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mMmFhNjliNzA4OTAwNWRhNmFmMGNiYTRjMzFjNDMifQ=="/>
  </w:docVars>
  <w:rsids>
    <w:rsidRoot w:val="675C0E9D"/>
    <w:rsid w:val="002F05D1"/>
    <w:rsid w:val="006C1793"/>
    <w:rsid w:val="00713EE8"/>
    <w:rsid w:val="0083353F"/>
    <w:rsid w:val="00A23ECD"/>
    <w:rsid w:val="00D42276"/>
    <w:rsid w:val="01737CE5"/>
    <w:rsid w:val="01972F94"/>
    <w:rsid w:val="02010AAD"/>
    <w:rsid w:val="04CA2062"/>
    <w:rsid w:val="072354D2"/>
    <w:rsid w:val="07FE5818"/>
    <w:rsid w:val="09D94BBC"/>
    <w:rsid w:val="0C477D7F"/>
    <w:rsid w:val="0DA0063A"/>
    <w:rsid w:val="0F7A457C"/>
    <w:rsid w:val="0F8A5038"/>
    <w:rsid w:val="0F9948A9"/>
    <w:rsid w:val="0FB621F4"/>
    <w:rsid w:val="0FBF683B"/>
    <w:rsid w:val="12222C2B"/>
    <w:rsid w:val="12B634DD"/>
    <w:rsid w:val="12B745E9"/>
    <w:rsid w:val="150F4DFD"/>
    <w:rsid w:val="15AC2FD3"/>
    <w:rsid w:val="16232E85"/>
    <w:rsid w:val="16313D50"/>
    <w:rsid w:val="167366DA"/>
    <w:rsid w:val="17494455"/>
    <w:rsid w:val="18FA2289"/>
    <w:rsid w:val="1A0A1C2A"/>
    <w:rsid w:val="1BB56523"/>
    <w:rsid w:val="1C48618D"/>
    <w:rsid w:val="1D826EA4"/>
    <w:rsid w:val="1DD30B80"/>
    <w:rsid w:val="1E2F757C"/>
    <w:rsid w:val="1E4F5A7B"/>
    <w:rsid w:val="23EA1A3F"/>
    <w:rsid w:val="241F789D"/>
    <w:rsid w:val="243B63AE"/>
    <w:rsid w:val="24A253A0"/>
    <w:rsid w:val="256372CB"/>
    <w:rsid w:val="2573499C"/>
    <w:rsid w:val="25764F60"/>
    <w:rsid w:val="26902BA9"/>
    <w:rsid w:val="26A362D9"/>
    <w:rsid w:val="293B363F"/>
    <w:rsid w:val="2CA6784F"/>
    <w:rsid w:val="2D916B3D"/>
    <w:rsid w:val="2DE52EE4"/>
    <w:rsid w:val="2EAC10BE"/>
    <w:rsid w:val="3000719D"/>
    <w:rsid w:val="30704081"/>
    <w:rsid w:val="310228C2"/>
    <w:rsid w:val="345230CF"/>
    <w:rsid w:val="34714AB3"/>
    <w:rsid w:val="351C2974"/>
    <w:rsid w:val="36621FEA"/>
    <w:rsid w:val="36897802"/>
    <w:rsid w:val="37657060"/>
    <w:rsid w:val="385201EA"/>
    <w:rsid w:val="38694DAF"/>
    <w:rsid w:val="389D39E0"/>
    <w:rsid w:val="3AC23405"/>
    <w:rsid w:val="3AF74B4D"/>
    <w:rsid w:val="3BEF7729"/>
    <w:rsid w:val="3C887922"/>
    <w:rsid w:val="3CB55102"/>
    <w:rsid w:val="3E133491"/>
    <w:rsid w:val="3E6932E5"/>
    <w:rsid w:val="41BA3807"/>
    <w:rsid w:val="41C063B4"/>
    <w:rsid w:val="41C63689"/>
    <w:rsid w:val="42433156"/>
    <w:rsid w:val="45E008F9"/>
    <w:rsid w:val="49C10AC1"/>
    <w:rsid w:val="49EA681E"/>
    <w:rsid w:val="4B2B62A7"/>
    <w:rsid w:val="4B703257"/>
    <w:rsid w:val="4BAC0A2C"/>
    <w:rsid w:val="4ED35C3F"/>
    <w:rsid w:val="4F36042E"/>
    <w:rsid w:val="50272D6A"/>
    <w:rsid w:val="50D81916"/>
    <w:rsid w:val="52307DBA"/>
    <w:rsid w:val="523D34A5"/>
    <w:rsid w:val="5293109C"/>
    <w:rsid w:val="52E80032"/>
    <w:rsid w:val="545C72AB"/>
    <w:rsid w:val="54F2351D"/>
    <w:rsid w:val="556C1D7A"/>
    <w:rsid w:val="55CC3CAD"/>
    <w:rsid w:val="566857C9"/>
    <w:rsid w:val="57CB3304"/>
    <w:rsid w:val="58270B05"/>
    <w:rsid w:val="59A35DAD"/>
    <w:rsid w:val="5B146AFE"/>
    <w:rsid w:val="5BD16807"/>
    <w:rsid w:val="5C500CBE"/>
    <w:rsid w:val="5C5D258E"/>
    <w:rsid w:val="5E3E6E0B"/>
    <w:rsid w:val="5E4248EB"/>
    <w:rsid w:val="5F00501B"/>
    <w:rsid w:val="621F1A03"/>
    <w:rsid w:val="62280673"/>
    <w:rsid w:val="62F45FC0"/>
    <w:rsid w:val="64E03AE8"/>
    <w:rsid w:val="65D55FCC"/>
    <w:rsid w:val="675C0E9D"/>
    <w:rsid w:val="69C33B46"/>
    <w:rsid w:val="6B2B063B"/>
    <w:rsid w:val="6B6D06D3"/>
    <w:rsid w:val="6BE37F83"/>
    <w:rsid w:val="6C496C32"/>
    <w:rsid w:val="6CFB6812"/>
    <w:rsid w:val="6D535020"/>
    <w:rsid w:val="6E5272D9"/>
    <w:rsid w:val="70206770"/>
    <w:rsid w:val="70AA4145"/>
    <w:rsid w:val="720524EE"/>
    <w:rsid w:val="7237679E"/>
    <w:rsid w:val="75AC6745"/>
    <w:rsid w:val="765E796F"/>
    <w:rsid w:val="76C33D92"/>
    <w:rsid w:val="7A597BD4"/>
    <w:rsid w:val="7A9769F1"/>
    <w:rsid w:val="7ACC67AC"/>
    <w:rsid w:val="7AE25765"/>
    <w:rsid w:val="7B0553F3"/>
    <w:rsid w:val="7B55484B"/>
    <w:rsid w:val="7D845464"/>
    <w:rsid w:val="7E463D53"/>
    <w:rsid w:val="7E8F3DCE"/>
    <w:rsid w:val="7F995D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1"/>
      <w:szCs w:val="21"/>
    </w:rPr>
  </w:style>
  <w:style w:type="paragraph" w:styleId="3">
    <w:name w:val="Body Text"/>
    <w:basedOn w:val="1"/>
    <w:next w:val="4"/>
    <w:qFormat/>
    <w:uiPriority w:val="1"/>
    <w:rPr>
      <w:rFonts w:ascii="宋体" w:hAnsi="宋体" w:cs="宋体"/>
      <w:sz w:val="32"/>
      <w:szCs w:val="32"/>
      <w:lang w:val="zh-CN" w:bidi="zh-CN"/>
    </w:rPr>
  </w:style>
  <w:style w:type="paragraph" w:customStyle="1" w:styleId="4">
    <w:name w:val="正文首行缩进1"/>
    <w:basedOn w:val="1"/>
    <w:qFormat/>
    <w:uiPriority w:val="0"/>
    <w:pPr>
      <w:adjustRightInd w:val="0"/>
      <w:spacing w:line="300" w:lineRule="atLeast"/>
      <w:ind w:firstLine="539"/>
      <w:textAlignment w:val="baseline"/>
    </w:pPr>
    <w:rPr>
      <w:rFonts w:ascii="宋体"/>
      <w:kern w:val="0"/>
      <w:sz w:val="24"/>
      <w:szCs w:val="20"/>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Char"/>
    <w:basedOn w:val="9"/>
    <w:link w:val="6"/>
    <w:uiPriority w:val="0"/>
    <w:rPr>
      <w:kern w:val="2"/>
      <w:sz w:val="18"/>
      <w:szCs w:val="18"/>
    </w:rPr>
  </w:style>
  <w:style w:type="character" w:customStyle="1" w:styleId="11">
    <w:name w:val="页脚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9</Pages>
  <Words>3138</Words>
  <Characters>3511</Characters>
  <Lines>11</Lines>
  <Paragraphs>8</Paragraphs>
  <TotalTime>0</TotalTime>
  <ScaleCrop>false</ScaleCrop>
  <LinksUpToDate>false</LinksUpToDate>
  <CharactersWithSpaces>4174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2018-05-23T03:37:00Z</dcterms:created>
  <dc:creator>Administrator</dc:creator>
  <cp:lastModifiedBy>ZQ</cp:lastModifiedBy>
  <cp:lastPrinted>2023-07-18T10:31:00Z</cp:lastPrinted>
  <dcterms:modified xsi:type="dcterms:W3CDTF">2023-07-18T10:38:48Z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44332DAB08184E21883366ACD7787668</vt:lpwstr>
  </property>
</Properties>
</file>