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岳阳区财政支出项目绩效评价自评报告</w:t>
      </w:r>
    </w:p>
    <w:p>
      <w:pPr>
        <w:rPr>
          <w:rFonts w:eastAsia="仿宋_GB2312"/>
          <w:b/>
          <w:sz w:val="32"/>
        </w:rPr>
      </w:pP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水利建设资金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君山区水旱灾害防御事务中心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君山区水利局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2023年 7月5日</w:t>
      </w:r>
    </w:p>
    <w:p>
      <w:pPr>
        <w:spacing w:line="348" w:lineRule="auto"/>
        <w:jc w:val="center"/>
        <w:rPr>
          <w:rFonts w:eastAsia="仿宋_GB2312"/>
          <w:sz w:val="32"/>
        </w:rPr>
      </w:pPr>
      <w:r>
        <w:rPr>
          <w:rFonts w:hint="eastAsia" w:eastAsia="仿宋_GB2312"/>
          <w:sz w:val="32"/>
        </w:rPr>
        <w:t>岳阳区财政局（制）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4"/>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945"/>
        <w:gridCol w:w="1395"/>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jc w:val="center"/>
              <w:rPr>
                <w:rFonts w:eastAsia="仿宋_GB2312"/>
                <w:sz w:val="24"/>
              </w:rPr>
            </w:pPr>
            <w:r>
              <w:rPr>
                <w:rFonts w:hint="eastAsia" w:eastAsia="仿宋_GB2312"/>
                <w:sz w:val="24"/>
              </w:rPr>
              <w:t>胡峰</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jc w:val="center"/>
              <w:rPr>
                <w:rFonts w:eastAsia="仿宋_GB2312"/>
                <w:sz w:val="24"/>
              </w:rPr>
            </w:pPr>
            <w:r>
              <w:rPr>
                <w:rFonts w:hint="eastAsia"/>
              </w:rPr>
              <w:t xml:space="preserve"> 13617308229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jc w:val="center"/>
              <w:rPr>
                <w:rFonts w:eastAsia="仿宋_GB2312"/>
                <w:sz w:val="24"/>
              </w:rPr>
            </w:pPr>
            <w:r>
              <w:rPr>
                <w:rFonts w:hint="eastAsia" w:eastAsia="仿宋_GB2312"/>
                <w:sz w:val="24"/>
              </w:rPr>
              <w:t>岳阳市君山区柳林洲街道水利局</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jc w:val="center"/>
              <w:rPr>
                <w:rFonts w:eastAsia="仿宋_GB2312"/>
                <w:sz w:val="24"/>
              </w:rPr>
            </w:pPr>
            <w:r>
              <w:rPr>
                <w:rFonts w:hint="eastAsia" w:eastAsia="仿宋_GB2312"/>
                <w:sz w:val="24"/>
              </w:rPr>
              <w:t>414005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rPr>
              <w:t>2022年1 月起至  2022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108</w:t>
            </w: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108</w:t>
            </w: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945"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91.11</w:t>
            </w:r>
          </w:p>
        </w:tc>
        <w:tc>
          <w:tcPr>
            <w:tcW w:w="1395"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16.89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945" w:type="dxa"/>
            <w:tcBorders>
              <w:bottom w:val="single" w:color="auto" w:sz="4" w:space="0"/>
            </w:tcBorders>
            <w:vAlign w:val="center"/>
          </w:tcPr>
          <w:p>
            <w:pPr>
              <w:rPr>
                <w:rFonts w:eastAsia="仿宋_GB2312"/>
                <w:spacing w:val="-6"/>
                <w:sz w:val="24"/>
              </w:rPr>
            </w:pPr>
          </w:p>
        </w:tc>
        <w:tc>
          <w:tcPr>
            <w:tcW w:w="1395"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945" w:type="dxa"/>
            <w:tcBorders>
              <w:bottom w:val="single" w:color="auto" w:sz="4" w:space="0"/>
            </w:tcBorders>
            <w:vAlign w:val="center"/>
          </w:tcPr>
          <w:p>
            <w:pPr>
              <w:rPr>
                <w:rFonts w:eastAsia="仿宋_GB2312"/>
                <w:sz w:val="24"/>
              </w:rPr>
            </w:pPr>
          </w:p>
        </w:tc>
        <w:tc>
          <w:tcPr>
            <w:tcW w:w="1395"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区财政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区财政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区财政</w:t>
            </w:r>
          </w:p>
        </w:tc>
        <w:tc>
          <w:tcPr>
            <w:tcW w:w="945" w:type="dxa"/>
            <w:tcBorders>
              <w:bottom w:val="single" w:color="auto" w:sz="4" w:space="0"/>
            </w:tcBorders>
            <w:vAlign w:val="center"/>
          </w:tcPr>
          <w:p>
            <w:pPr>
              <w:rPr>
                <w:rFonts w:eastAsia="仿宋_GB2312"/>
                <w:sz w:val="24"/>
              </w:rPr>
            </w:pPr>
          </w:p>
        </w:tc>
        <w:tc>
          <w:tcPr>
            <w:tcW w:w="1395" w:type="dxa"/>
            <w:tcBorders>
              <w:bottom w:val="single" w:color="auto" w:sz="4" w:space="0"/>
            </w:tcBorders>
            <w:vAlign w:val="center"/>
          </w:tcPr>
          <w:p>
            <w:pPr>
              <w:rPr>
                <w:rFonts w:eastAsia="仿宋_GB2312"/>
                <w:sz w:val="24"/>
              </w:rPr>
            </w:pPr>
            <w:r>
              <w:rPr>
                <w:rFonts w:hint="eastAsia" w:eastAsia="仿宋_GB2312"/>
                <w:sz w:val="24"/>
              </w:rPr>
              <w:t>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县区区财政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108</w:t>
            </w:r>
          </w:p>
        </w:tc>
        <w:tc>
          <w:tcPr>
            <w:tcW w:w="1800" w:type="dxa"/>
            <w:tcBorders>
              <w:bottom w:val="single" w:color="auto" w:sz="4" w:space="0"/>
            </w:tcBorders>
            <w:vAlign w:val="center"/>
          </w:tcPr>
          <w:p>
            <w:pPr>
              <w:rPr>
                <w:rFonts w:eastAsia="仿宋_GB2312"/>
                <w:sz w:val="24"/>
              </w:rPr>
            </w:pPr>
            <w:r>
              <w:rPr>
                <w:rFonts w:hint="eastAsia" w:eastAsia="仿宋_GB2312"/>
                <w:sz w:val="24"/>
              </w:rPr>
              <w:t>县区区财政</w:t>
            </w:r>
          </w:p>
        </w:tc>
        <w:tc>
          <w:tcPr>
            <w:tcW w:w="720" w:type="dxa"/>
            <w:gridSpan w:val="3"/>
            <w:tcBorders>
              <w:bottom w:val="single" w:color="auto" w:sz="4" w:space="0"/>
            </w:tcBorders>
            <w:vAlign w:val="center"/>
          </w:tcPr>
          <w:p>
            <w:pPr>
              <w:rPr>
                <w:rFonts w:eastAsia="仿宋_GB2312"/>
                <w:sz w:val="24"/>
              </w:rPr>
            </w:pPr>
            <w:r>
              <w:rPr>
                <w:rFonts w:hint="eastAsia" w:eastAsia="仿宋_GB2312"/>
                <w:sz w:val="24"/>
              </w:rPr>
              <w:t>108</w:t>
            </w: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县区区财政</w:t>
            </w:r>
          </w:p>
        </w:tc>
        <w:tc>
          <w:tcPr>
            <w:tcW w:w="945" w:type="dxa"/>
            <w:tcBorders>
              <w:bottom w:val="single" w:color="auto" w:sz="4" w:space="0"/>
            </w:tcBorders>
            <w:vAlign w:val="center"/>
          </w:tcPr>
          <w:p>
            <w:pPr>
              <w:rPr>
                <w:rFonts w:eastAsia="仿宋_GB2312"/>
                <w:sz w:val="24"/>
              </w:rPr>
            </w:pPr>
            <w:r>
              <w:rPr>
                <w:rFonts w:hint="eastAsia" w:eastAsia="仿宋_GB2312"/>
                <w:sz w:val="24"/>
              </w:rPr>
              <w:t>91.11</w:t>
            </w:r>
          </w:p>
        </w:tc>
        <w:tc>
          <w:tcPr>
            <w:tcW w:w="1395" w:type="dxa"/>
            <w:tcBorders>
              <w:bottom w:val="single" w:color="auto" w:sz="4" w:space="0"/>
            </w:tcBorders>
            <w:vAlign w:val="center"/>
          </w:tcPr>
          <w:p>
            <w:pPr>
              <w:rPr>
                <w:rFonts w:eastAsia="仿宋_GB2312"/>
                <w:sz w:val="24"/>
              </w:rPr>
            </w:pPr>
            <w:r>
              <w:rPr>
                <w:rFonts w:hint="eastAsia" w:eastAsia="仿宋_GB2312"/>
                <w:sz w:val="24"/>
              </w:rPr>
              <w:t>县区区财政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16.89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945" w:type="dxa"/>
            <w:tcBorders>
              <w:bottom w:val="single" w:color="auto" w:sz="4" w:space="0"/>
            </w:tcBorders>
            <w:vAlign w:val="center"/>
          </w:tcPr>
          <w:p>
            <w:pPr>
              <w:rPr>
                <w:rFonts w:eastAsia="仿宋_GB2312"/>
                <w:sz w:val="24"/>
              </w:rPr>
            </w:pPr>
          </w:p>
        </w:tc>
        <w:tc>
          <w:tcPr>
            <w:tcW w:w="1395"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付钱南垸水委会预内水利建设资金</w:t>
            </w:r>
          </w:p>
        </w:tc>
        <w:tc>
          <w:tcPr>
            <w:tcW w:w="1822" w:type="dxa"/>
            <w:gridSpan w:val="2"/>
            <w:tcBorders>
              <w:bottom w:val="single" w:color="auto" w:sz="4" w:space="0"/>
            </w:tcBorders>
            <w:vAlign w:val="center"/>
          </w:tcPr>
          <w:p>
            <w:pPr>
              <w:widowControl/>
              <w:jc w:val="right"/>
              <w:textAlignment w:val="center"/>
              <w:rPr>
                <w:rFonts w:eastAsia="仿宋_GB2312"/>
                <w:sz w:val="24"/>
              </w:rPr>
            </w:pPr>
            <w:r>
              <w:rPr>
                <w:rFonts w:ascii="宋体" w:hAnsi="宋体" w:cs="宋体"/>
                <w:color w:val="000000"/>
                <w:kern w:val="0"/>
                <w:sz w:val="18"/>
                <w:szCs w:val="18"/>
              </w:rPr>
              <w:t>90,000.00</w:t>
            </w:r>
          </w:p>
        </w:tc>
        <w:tc>
          <w:tcPr>
            <w:tcW w:w="2342" w:type="dxa"/>
            <w:gridSpan w:val="5"/>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11-42#</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建设垸沟渠安全隐患整修款</w:t>
            </w:r>
          </w:p>
        </w:tc>
        <w:tc>
          <w:tcPr>
            <w:tcW w:w="1822" w:type="dxa"/>
            <w:gridSpan w:val="2"/>
            <w:tcBorders>
              <w:bottom w:val="single" w:color="auto" w:sz="4" w:space="0"/>
            </w:tcBorders>
            <w:vAlign w:val="center"/>
          </w:tcPr>
          <w:p>
            <w:pPr>
              <w:widowControl/>
              <w:jc w:val="right"/>
              <w:textAlignment w:val="center"/>
              <w:rPr>
                <w:rFonts w:eastAsia="仿宋_GB2312"/>
                <w:sz w:val="24"/>
              </w:rPr>
            </w:pPr>
            <w:r>
              <w:rPr>
                <w:rFonts w:ascii="宋体" w:hAnsi="宋体" w:cs="宋体"/>
                <w:color w:val="000000"/>
                <w:kern w:val="0"/>
                <w:sz w:val="18"/>
                <w:szCs w:val="18"/>
              </w:rPr>
              <w:t>180,000.00</w:t>
            </w:r>
          </w:p>
        </w:tc>
        <w:tc>
          <w:tcPr>
            <w:tcW w:w="2342" w:type="dxa"/>
            <w:gridSpan w:val="5"/>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12-44#</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付钱北垸预内水利建设资金</w:t>
            </w:r>
          </w:p>
        </w:tc>
        <w:tc>
          <w:tcPr>
            <w:tcW w:w="1822" w:type="dxa"/>
            <w:gridSpan w:val="2"/>
            <w:tcBorders>
              <w:bottom w:val="single" w:color="auto" w:sz="4" w:space="0"/>
            </w:tcBorders>
            <w:vAlign w:val="center"/>
          </w:tcPr>
          <w:p>
            <w:pPr>
              <w:widowControl/>
              <w:jc w:val="right"/>
              <w:textAlignment w:val="center"/>
              <w:rPr>
                <w:rFonts w:eastAsia="仿宋_GB2312"/>
                <w:sz w:val="24"/>
              </w:rPr>
            </w:pPr>
            <w:r>
              <w:rPr>
                <w:rFonts w:ascii="宋体" w:hAnsi="宋体" w:cs="宋体"/>
                <w:color w:val="000000"/>
                <w:kern w:val="0"/>
                <w:sz w:val="18"/>
                <w:szCs w:val="18"/>
              </w:rPr>
              <w:t>92,000.00</w:t>
            </w:r>
          </w:p>
        </w:tc>
        <w:tc>
          <w:tcPr>
            <w:tcW w:w="2342" w:type="dxa"/>
            <w:gridSpan w:val="5"/>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11-36#</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2022年度水利建设资金</w:t>
            </w:r>
          </w:p>
        </w:tc>
        <w:tc>
          <w:tcPr>
            <w:tcW w:w="1822" w:type="dxa"/>
            <w:gridSpan w:val="2"/>
            <w:tcBorders>
              <w:bottom w:val="single" w:color="auto" w:sz="4" w:space="0"/>
            </w:tcBorders>
            <w:vAlign w:val="center"/>
          </w:tcPr>
          <w:p>
            <w:pPr>
              <w:widowControl/>
              <w:jc w:val="right"/>
              <w:textAlignment w:val="center"/>
              <w:rPr>
                <w:rFonts w:eastAsia="仿宋_GB2312"/>
                <w:sz w:val="24"/>
              </w:rPr>
            </w:pPr>
            <w:r>
              <w:rPr>
                <w:rFonts w:ascii="宋体" w:hAnsi="宋体" w:cs="宋体"/>
                <w:color w:val="000000"/>
                <w:kern w:val="0"/>
                <w:sz w:val="18"/>
                <w:szCs w:val="18"/>
              </w:rPr>
              <w:t>49,880.34</w:t>
            </w:r>
          </w:p>
        </w:tc>
        <w:tc>
          <w:tcPr>
            <w:tcW w:w="2342" w:type="dxa"/>
            <w:gridSpan w:val="5"/>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11-10#</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水闸管理与保护范围技术服务费</w:t>
            </w:r>
          </w:p>
        </w:tc>
        <w:tc>
          <w:tcPr>
            <w:tcW w:w="1822" w:type="dxa"/>
            <w:gridSpan w:val="2"/>
            <w:tcBorders>
              <w:bottom w:val="single" w:color="auto" w:sz="4" w:space="0"/>
            </w:tcBorders>
            <w:vAlign w:val="center"/>
          </w:tcPr>
          <w:p>
            <w:pPr>
              <w:widowControl/>
              <w:jc w:val="right"/>
              <w:textAlignment w:val="center"/>
              <w:rPr>
                <w:rFonts w:eastAsia="仿宋_GB2312"/>
                <w:sz w:val="24"/>
              </w:rPr>
            </w:pPr>
            <w:r>
              <w:rPr>
                <w:rFonts w:ascii="宋体" w:hAnsi="宋体" w:cs="宋体"/>
                <w:color w:val="000000"/>
                <w:kern w:val="0"/>
                <w:sz w:val="18"/>
                <w:szCs w:val="18"/>
              </w:rPr>
              <w:t>50,000.00</w:t>
            </w:r>
          </w:p>
        </w:tc>
        <w:tc>
          <w:tcPr>
            <w:tcW w:w="2342" w:type="dxa"/>
            <w:gridSpan w:val="5"/>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12-56#</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付建设垸电排预内水利建设资金</w:t>
            </w:r>
          </w:p>
        </w:tc>
        <w:tc>
          <w:tcPr>
            <w:tcW w:w="1822" w:type="dxa"/>
            <w:gridSpan w:val="2"/>
            <w:tcBorders>
              <w:bottom w:val="single" w:color="auto" w:sz="4" w:space="0"/>
            </w:tcBorders>
            <w:vAlign w:val="center"/>
          </w:tcPr>
          <w:p>
            <w:pPr>
              <w:widowControl/>
              <w:jc w:val="right"/>
              <w:textAlignment w:val="center"/>
              <w:rPr>
                <w:rFonts w:eastAsia="仿宋_GB2312"/>
                <w:sz w:val="24"/>
              </w:rPr>
            </w:pPr>
            <w:r>
              <w:rPr>
                <w:rFonts w:ascii="宋体" w:hAnsi="宋体" w:cs="宋体"/>
                <w:color w:val="000000"/>
                <w:kern w:val="0"/>
                <w:sz w:val="18"/>
                <w:szCs w:val="18"/>
              </w:rPr>
              <w:t>89,878.65</w:t>
            </w:r>
          </w:p>
        </w:tc>
        <w:tc>
          <w:tcPr>
            <w:tcW w:w="2342" w:type="dxa"/>
            <w:gridSpan w:val="5"/>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11-40#</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付君山垸水委会预内水利建设资金</w:t>
            </w:r>
          </w:p>
        </w:tc>
        <w:tc>
          <w:tcPr>
            <w:tcW w:w="1822" w:type="dxa"/>
            <w:gridSpan w:val="2"/>
            <w:tcBorders>
              <w:bottom w:val="single" w:color="auto" w:sz="4" w:space="0"/>
            </w:tcBorders>
            <w:vAlign w:val="center"/>
          </w:tcPr>
          <w:p>
            <w:pPr>
              <w:widowControl/>
              <w:jc w:val="right"/>
              <w:textAlignment w:val="center"/>
              <w:rPr>
                <w:rFonts w:eastAsia="仿宋_GB2312"/>
                <w:sz w:val="24"/>
              </w:rPr>
            </w:pPr>
            <w:r>
              <w:rPr>
                <w:rFonts w:ascii="宋体" w:hAnsi="宋体" w:cs="宋体"/>
                <w:color w:val="000000"/>
                <w:kern w:val="0"/>
                <w:sz w:val="18"/>
                <w:szCs w:val="18"/>
              </w:rPr>
              <w:t>90,000.00</w:t>
            </w:r>
          </w:p>
        </w:tc>
        <w:tc>
          <w:tcPr>
            <w:tcW w:w="2342" w:type="dxa"/>
            <w:gridSpan w:val="5"/>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11-27#</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建设西垸水利建设资金</w:t>
            </w:r>
          </w:p>
        </w:tc>
        <w:tc>
          <w:tcPr>
            <w:tcW w:w="1822" w:type="dxa"/>
            <w:gridSpan w:val="2"/>
            <w:tcBorders>
              <w:bottom w:val="single" w:color="auto" w:sz="4" w:space="0"/>
            </w:tcBorders>
            <w:vAlign w:val="center"/>
          </w:tcPr>
          <w:p>
            <w:pPr>
              <w:widowControl/>
              <w:jc w:val="right"/>
              <w:textAlignment w:val="center"/>
              <w:rPr>
                <w:rFonts w:eastAsia="仿宋_GB2312"/>
                <w:sz w:val="24"/>
              </w:rPr>
            </w:pPr>
            <w:r>
              <w:rPr>
                <w:rFonts w:ascii="宋体" w:hAnsi="宋体" w:cs="宋体"/>
                <w:color w:val="000000"/>
                <w:kern w:val="0"/>
                <w:sz w:val="18"/>
                <w:szCs w:val="18"/>
              </w:rPr>
              <w:t>90,000.00</w:t>
            </w:r>
          </w:p>
        </w:tc>
        <w:tc>
          <w:tcPr>
            <w:tcW w:w="2342" w:type="dxa"/>
            <w:gridSpan w:val="5"/>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12-51#</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建管中心预内水利建设资金</w:t>
            </w:r>
          </w:p>
        </w:tc>
        <w:tc>
          <w:tcPr>
            <w:tcW w:w="1822" w:type="dxa"/>
            <w:gridSpan w:val="2"/>
            <w:tcBorders>
              <w:bottom w:val="single" w:color="auto" w:sz="4" w:space="0"/>
            </w:tcBorders>
            <w:vAlign w:val="center"/>
          </w:tcPr>
          <w:p>
            <w:pPr>
              <w:widowControl/>
              <w:jc w:val="right"/>
              <w:textAlignment w:val="center"/>
              <w:rPr>
                <w:rFonts w:eastAsia="仿宋_GB2312"/>
                <w:sz w:val="24"/>
              </w:rPr>
            </w:pPr>
            <w:r>
              <w:rPr>
                <w:rFonts w:ascii="宋体" w:hAnsi="宋体" w:cs="宋体"/>
                <w:color w:val="000000"/>
                <w:kern w:val="0"/>
                <w:sz w:val="18"/>
                <w:szCs w:val="18"/>
              </w:rPr>
              <w:t>179,300.00</w:t>
            </w:r>
          </w:p>
        </w:tc>
        <w:tc>
          <w:tcPr>
            <w:tcW w:w="2342" w:type="dxa"/>
            <w:gridSpan w:val="5"/>
            <w:tcBorders>
              <w:bottom w:val="single" w:color="auto" w:sz="4" w:space="0"/>
            </w:tcBorders>
            <w:vAlign w:val="center"/>
          </w:tcPr>
          <w:p>
            <w:pPr>
              <w:widowControl/>
              <w:jc w:val="left"/>
              <w:textAlignment w:val="center"/>
              <w:rPr>
                <w:rFonts w:eastAsia="仿宋_GB2312"/>
                <w:sz w:val="24"/>
              </w:rPr>
            </w:pPr>
            <w:r>
              <w:rPr>
                <w:rFonts w:ascii="宋体" w:hAnsi="宋体" w:cs="宋体"/>
                <w:color w:val="000000"/>
                <w:kern w:val="0"/>
                <w:sz w:val="18"/>
                <w:szCs w:val="18"/>
              </w:rPr>
              <w:t>11-31#</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eastAsia="仿宋_GB2312"/>
                <w:b/>
                <w:sz w:val="24"/>
              </w:rPr>
            </w:pPr>
            <w:r>
              <w:rPr>
                <w:rFonts w:hint="eastAsia" w:eastAsia="仿宋_GB2312"/>
                <w:b/>
                <w:sz w:val="24"/>
              </w:rPr>
              <w:t>911058.99</w:t>
            </w: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rPr>
              <w:t>结余部分待下年结算</w:t>
            </w:r>
            <w:r>
              <w:rPr>
                <w:rFonts w:hint="eastAsia" w:eastAsia="仿宋_GB2312"/>
                <w:b/>
                <w:sz w:val="24"/>
                <w:lang w:val="en-US" w:eastAsia="zh-CN"/>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预  期 目 标</w:t>
            </w:r>
          </w:p>
        </w:tc>
        <w:tc>
          <w:tcPr>
            <w:tcW w:w="3036" w:type="dxa"/>
            <w:gridSpan w:val="3"/>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ind w:firstLine="422" w:firstLineChars="200"/>
              <w:jc w:val="left"/>
              <w:rPr>
                <w:rFonts w:eastAsia="仿宋_GB2312"/>
                <w:b/>
                <w:sz w:val="24"/>
                <w:highlight w:val="yellow"/>
              </w:rPr>
            </w:pPr>
            <w:r>
              <w:rPr>
                <w:rFonts w:hint="eastAsia" w:ascii="仿宋_GB2312" w:hAnsi="仿宋_GB2312" w:eastAsia="仿宋_GB2312" w:cs="仿宋_GB2312"/>
                <w:b/>
                <w:bCs/>
                <w:kern w:val="0"/>
                <w:szCs w:val="21"/>
              </w:rPr>
              <w:t>1、对全区</w:t>
            </w:r>
            <w:r>
              <w:rPr>
                <w:rFonts w:hint="eastAsia" w:ascii="仿宋" w:hAnsi="仿宋" w:eastAsia="仿宋" w:cs="仿宋"/>
                <w:b/>
                <w:bCs/>
                <w:szCs w:val="21"/>
              </w:rPr>
              <w:t>水库、堤防、岸线、穿堤涵闸、电排、垸内节制闸及在建涉水工程等水利设施</w:t>
            </w:r>
            <w:r>
              <w:rPr>
                <w:rFonts w:hint="eastAsia" w:ascii="仿宋" w:hAnsi="仿宋" w:eastAsia="仿宋" w:cs="仿宋"/>
                <w:b/>
                <w:bCs/>
                <w:szCs w:val="21"/>
                <w:shd w:val="clear" w:color="auto" w:fill="FFFFFF"/>
              </w:rPr>
              <w:t>进行了安全隐患大</w:t>
            </w:r>
            <w:r>
              <w:rPr>
                <w:rFonts w:hint="eastAsia" w:ascii="仿宋" w:hAnsi="仿宋" w:eastAsia="仿宋" w:cs="仿宋"/>
                <w:b/>
                <w:bCs/>
                <w:szCs w:val="21"/>
              </w:rPr>
              <w:t>检</w:t>
            </w:r>
            <w:r>
              <w:rPr>
                <w:rFonts w:hint="eastAsia" w:ascii="仿宋" w:hAnsi="仿宋" w:eastAsia="仿宋" w:cs="仿宋"/>
                <w:b/>
                <w:bCs/>
                <w:szCs w:val="21"/>
                <w:shd w:val="clear" w:color="auto" w:fill="FFFFFF"/>
              </w:rPr>
              <w:t>查，</w:t>
            </w:r>
            <w:r>
              <w:rPr>
                <w:rFonts w:hint="eastAsia" w:ascii="仿宋_GB2312" w:hAnsi="仿宋_GB2312" w:eastAsia="仿宋_GB2312" w:cs="仿宋_GB2312"/>
                <w:b/>
                <w:bCs/>
                <w:kern w:val="0"/>
                <w:szCs w:val="21"/>
              </w:rPr>
              <w:t>并</w:t>
            </w:r>
            <w:r>
              <w:rPr>
                <w:rFonts w:hint="eastAsia" w:ascii="仿宋" w:hAnsi="仿宋" w:eastAsia="仿宋" w:cs="仿宋"/>
                <w:b/>
                <w:bCs/>
                <w:szCs w:val="21"/>
                <w:shd w:val="clear" w:color="auto" w:fill="FFFFFF"/>
              </w:rPr>
              <w:t>逐处逐项</w:t>
            </w:r>
            <w:r>
              <w:rPr>
                <w:rFonts w:hint="eastAsia" w:ascii="仿宋" w:hAnsi="仿宋" w:eastAsia="仿宋" w:cs="仿宋"/>
                <w:b/>
                <w:bCs/>
                <w:szCs w:val="21"/>
              </w:rPr>
              <w:t>建立了台账，</w:t>
            </w:r>
            <w:r>
              <w:rPr>
                <w:rFonts w:hint="eastAsia" w:ascii="仿宋" w:hAnsi="仿宋" w:eastAsia="仿宋" w:cs="仿宋"/>
                <w:b/>
                <w:bCs/>
                <w:szCs w:val="21"/>
                <w:shd w:val="clear" w:color="auto" w:fill="FFFFFF"/>
              </w:rPr>
              <w:t>明确了整改责任人、整改措施及整改时限，落实专人跟踪核验督办。2、</w:t>
            </w:r>
            <w:r>
              <w:rPr>
                <w:rFonts w:hint="eastAsia" w:ascii="仿宋_GB2312" w:hAnsi="仿宋_GB2312" w:eastAsia="仿宋_GB2312" w:cs="仿宋_GB2312"/>
                <w:b/>
                <w:bCs/>
                <w:szCs w:val="21"/>
              </w:rPr>
              <w:t>全面加快在建涉水工程建设进度，确保安全度汛，开展对在建工程督查，要求各施工单位在保质保量的前提下，抢抓有利天气，倒排工期，增加作业力量，全力以赴赶进度，确保主汛前完成工程建设。3、确保2022-2023年度水利冬春修工程基本完工。</w:t>
            </w:r>
          </w:p>
        </w:tc>
        <w:tc>
          <w:tcPr>
            <w:tcW w:w="3036" w:type="dxa"/>
            <w:gridSpan w:val="3"/>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实际收财政专项拨款108万元，</w:t>
            </w:r>
            <w:r>
              <w:rPr>
                <w:rFonts w:hint="eastAsia" w:eastAsia="仿宋_GB2312"/>
                <w:b/>
                <w:sz w:val="24"/>
                <w:lang w:val="en-US" w:eastAsia="zh-CN"/>
              </w:rPr>
              <w:t>当年</w:t>
            </w:r>
            <w:r>
              <w:rPr>
                <w:rFonts w:hint="eastAsia" w:eastAsia="仿宋_GB2312"/>
                <w:b/>
                <w:sz w:val="24"/>
              </w:rPr>
              <w:t>实际支出91.11万元，</w:t>
            </w:r>
            <w:r>
              <w:rPr>
                <w:rFonts w:hint="eastAsia" w:eastAsia="仿宋_GB2312"/>
                <w:b/>
                <w:sz w:val="24"/>
                <w:lang w:val="en-US" w:eastAsia="zh-CN"/>
              </w:rPr>
              <w:t>当年</w:t>
            </w:r>
            <w:r>
              <w:rPr>
                <w:rFonts w:hint="eastAsia" w:eastAsia="仿宋_GB2312"/>
                <w:b/>
                <w:sz w:val="24"/>
              </w:rPr>
              <w:t>结余16.89万元</w:t>
            </w:r>
            <w:r>
              <w:rPr>
                <w:rFonts w:hint="eastAsia" w:eastAsia="仿宋_GB2312"/>
                <w:b/>
                <w:sz w:val="24"/>
                <w:lang w:val="en-US" w:eastAsia="zh-CN"/>
              </w:rPr>
              <w:t>下年度已完成支付</w:t>
            </w:r>
            <w:r>
              <w:rPr>
                <w:rFonts w:hint="eastAsia" w:eastAsia="仿宋_GB2312"/>
                <w:b/>
                <w:sz w:val="24"/>
              </w:rPr>
              <w:t>。达到预期目标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三级指标</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指标1：治理薄弱环节处/发现薄弱环节处</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指标2：排渍口应急检测次数28次</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指标1：合格工程数量/总工程量</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指标1：水利建设资金具体工作</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指标1：根据预算安排水利建设支出108万元</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Align w:val="center"/>
          </w:tcPr>
          <w:p>
            <w:pPr>
              <w:spacing w:line="360" w:lineRule="exact"/>
              <w:jc w:val="center"/>
              <w:rPr>
                <w:rFonts w:eastAsia="仿宋_GB2312"/>
                <w:sz w:val="24"/>
              </w:rPr>
            </w:pPr>
            <w:r>
              <w:rPr>
                <w:rFonts w:hint="eastAsia" w:eastAsia="仿宋_GB2312"/>
                <w:sz w:val="24"/>
              </w:rPr>
              <w:t>经济效益指标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指标1：根据每年汛期隐患安全影响保守估计减少1000万元</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社会效益指标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指标1：通过水利设施修复消除安全隐患</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生态效益指标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指标1：水利设施修复应充分考虑对周围水生态环境的影响。</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完成100%</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指标1：服务对象满意度</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95%以上</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eastAsia="仿宋_GB2312"/>
                <w:sz w:val="24"/>
              </w:rPr>
            </w:pPr>
            <w:r>
              <w:rPr>
                <w:rFonts w:hint="eastAsia" w:eastAsia="仿宋_GB2312"/>
                <w:sz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eastAsia="仿宋_GB2312"/>
                <w:sz w:val="24"/>
              </w:rPr>
            </w:pPr>
            <w:r>
              <w:rPr>
                <w:rFonts w:hint="eastAsia" w:eastAsia="仿宋_GB2312"/>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default" w:eastAsia="仿宋_GB2312"/>
                <w:sz w:val="24"/>
                <w:lang w:val="en-US" w:eastAsia="zh-CN"/>
              </w:rPr>
            </w:pPr>
            <w:r>
              <w:rPr>
                <w:rFonts w:hint="eastAsia" w:eastAsia="仿宋_GB2312"/>
                <w:sz w:val="24"/>
                <w:lang w:val="en-US" w:eastAsia="zh-CN"/>
              </w:rPr>
              <w:t>吴朝军</w:t>
            </w:r>
          </w:p>
        </w:tc>
        <w:tc>
          <w:tcPr>
            <w:tcW w:w="2332" w:type="dxa"/>
            <w:gridSpan w:val="4"/>
            <w:vAlign w:val="center"/>
          </w:tcPr>
          <w:p>
            <w:pPr>
              <w:jc w:val="center"/>
              <w:rPr>
                <w:rFonts w:hint="eastAsia" w:eastAsia="仿宋_GB2312"/>
                <w:sz w:val="24"/>
                <w:lang w:val="en-US" w:eastAsia="zh-CN"/>
              </w:rPr>
            </w:pPr>
            <w:r>
              <w:rPr>
                <w:rFonts w:hint="eastAsia" w:eastAsia="仿宋_GB2312"/>
                <w:sz w:val="24"/>
                <w:lang w:val="en-US" w:eastAsia="zh-CN"/>
              </w:rPr>
              <w:t>局长</w:t>
            </w:r>
          </w:p>
        </w:tc>
        <w:tc>
          <w:tcPr>
            <w:tcW w:w="1950" w:type="dxa"/>
            <w:gridSpan w:val="4"/>
            <w:vAlign w:val="center"/>
          </w:tcPr>
          <w:p>
            <w:pPr>
              <w:jc w:val="center"/>
              <w:rPr>
                <w:rFonts w:hint="default" w:eastAsia="仿宋_GB2312"/>
                <w:sz w:val="24"/>
                <w:lang w:val="en-US" w:eastAsia="zh-CN"/>
              </w:rPr>
            </w:pPr>
            <w:r>
              <w:rPr>
                <w:rFonts w:hint="eastAsia" w:eastAsia="仿宋_GB2312"/>
                <w:sz w:val="24"/>
                <w:lang w:val="en-US" w:eastAsia="zh-CN"/>
              </w:rPr>
              <w:t>君山区水利局</w:t>
            </w:r>
          </w:p>
        </w:tc>
        <w:tc>
          <w:tcPr>
            <w:tcW w:w="3036" w:type="dxa"/>
            <w:gridSpan w:val="3"/>
            <w:vAlign w:val="center"/>
          </w:tcPr>
          <w:p>
            <w:pPr>
              <w:jc w:val="center"/>
              <w:rPr>
                <w:rFonts w:eastAsia="仿宋_GB2312"/>
                <w:sz w:val="24"/>
              </w:rPr>
            </w:pPr>
            <w:r>
              <w:rPr>
                <w:rFonts w:hint="eastAsia" w:eastAsia="仿宋_GB2312"/>
                <w:sz w:val="24"/>
                <w:lang w:val="en-US" w:eastAsia="zh-CN"/>
              </w:rPr>
              <w:t>吴朝军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default" w:eastAsia="仿宋_GB2312"/>
                <w:sz w:val="24"/>
                <w:lang w:val="en-US" w:eastAsia="zh-CN"/>
              </w:rPr>
            </w:pPr>
            <w:r>
              <w:rPr>
                <w:rFonts w:hint="eastAsia" w:eastAsia="仿宋_GB2312"/>
                <w:sz w:val="24"/>
                <w:lang w:val="en-US" w:eastAsia="zh-CN"/>
              </w:rPr>
              <w:t>聂 毅</w:t>
            </w:r>
          </w:p>
        </w:tc>
        <w:tc>
          <w:tcPr>
            <w:tcW w:w="2332" w:type="dxa"/>
            <w:gridSpan w:val="4"/>
            <w:vAlign w:val="center"/>
          </w:tcPr>
          <w:p>
            <w:pPr>
              <w:jc w:val="center"/>
              <w:rPr>
                <w:rFonts w:hint="default" w:eastAsia="仿宋_GB2312"/>
                <w:sz w:val="24"/>
                <w:lang w:val="en-US" w:eastAsia="zh-CN"/>
              </w:rPr>
            </w:pPr>
            <w:r>
              <w:rPr>
                <w:rFonts w:hint="eastAsia" w:eastAsia="仿宋_GB2312"/>
                <w:sz w:val="24"/>
                <w:lang w:val="en-US" w:eastAsia="zh-CN"/>
              </w:rPr>
              <w:t>副局长</w:t>
            </w:r>
          </w:p>
        </w:tc>
        <w:tc>
          <w:tcPr>
            <w:tcW w:w="1950" w:type="dxa"/>
            <w:gridSpan w:val="4"/>
            <w:vAlign w:val="center"/>
          </w:tcPr>
          <w:p>
            <w:pPr>
              <w:jc w:val="center"/>
              <w:rPr>
                <w:rFonts w:eastAsia="仿宋_GB2312"/>
                <w:sz w:val="24"/>
              </w:rPr>
            </w:pPr>
            <w:r>
              <w:rPr>
                <w:rFonts w:hint="eastAsia" w:eastAsia="仿宋_GB2312"/>
                <w:sz w:val="24"/>
                <w:lang w:val="en-US" w:eastAsia="zh-CN"/>
              </w:rPr>
              <w:t>君山区水利局</w:t>
            </w:r>
          </w:p>
        </w:tc>
        <w:tc>
          <w:tcPr>
            <w:tcW w:w="3036" w:type="dxa"/>
            <w:gridSpan w:val="3"/>
            <w:vAlign w:val="center"/>
          </w:tcPr>
          <w:p>
            <w:pPr>
              <w:jc w:val="center"/>
              <w:rPr>
                <w:rFonts w:eastAsia="仿宋_GB2312"/>
                <w:sz w:val="24"/>
              </w:rPr>
            </w:pPr>
            <w:r>
              <w:rPr>
                <w:rFonts w:hint="eastAsia" w:eastAsia="仿宋_GB2312"/>
                <w:sz w:val="24"/>
                <w:lang w:val="en-US" w:eastAsia="zh-CN"/>
              </w:rPr>
              <w:t>聂 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default" w:eastAsia="仿宋_GB2312"/>
                <w:sz w:val="24"/>
                <w:lang w:val="en-US" w:eastAsia="zh-CN"/>
              </w:rPr>
            </w:pPr>
            <w:r>
              <w:rPr>
                <w:rFonts w:hint="eastAsia" w:eastAsia="仿宋_GB2312"/>
                <w:sz w:val="24"/>
                <w:lang w:val="en-US" w:eastAsia="zh-CN"/>
              </w:rPr>
              <w:t>陈 力</w:t>
            </w:r>
          </w:p>
        </w:tc>
        <w:tc>
          <w:tcPr>
            <w:tcW w:w="2332" w:type="dxa"/>
            <w:gridSpan w:val="4"/>
            <w:vAlign w:val="center"/>
          </w:tcPr>
          <w:p>
            <w:pPr>
              <w:jc w:val="center"/>
              <w:rPr>
                <w:rFonts w:hint="default" w:eastAsia="仿宋_GB2312"/>
                <w:sz w:val="24"/>
                <w:lang w:val="en-US" w:eastAsia="zh-CN"/>
              </w:rPr>
            </w:pPr>
            <w:r>
              <w:rPr>
                <w:rFonts w:hint="eastAsia" w:eastAsia="仿宋_GB2312"/>
                <w:sz w:val="24"/>
                <w:lang w:val="en-US" w:eastAsia="zh-CN"/>
              </w:rPr>
              <w:t>计财股长</w:t>
            </w:r>
          </w:p>
        </w:tc>
        <w:tc>
          <w:tcPr>
            <w:tcW w:w="1950" w:type="dxa"/>
            <w:gridSpan w:val="4"/>
            <w:vAlign w:val="center"/>
          </w:tcPr>
          <w:p>
            <w:pPr>
              <w:jc w:val="center"/>
              <w:rPr>
                <w:rFonts w:eastAsia="仿宋_GB2312"/>
                <w:sz w:val="24"/>
              </w:rPr>
            </w:pPr>
            <w:r>
              <w:rPr>
                <w:rFonts w:hint="eastAsia" w:eastAsia="仿宋_GB2312"/>
                <w:sz w:val="24"/>
                <w:lang w:val="en-US" w:eastAsia="zh-CN"/>
              </w:rPr>
              <w:t>君山区水利局</w:t>
            </w:r>
          </w:p>
        </w:tc>
        <w:tc>
          <w:tcPr>
            <w:tcW w:w="3036" w:type="dxa"/>
            <w:gridSpan w:val="3"/>
            <w:vAlign w:val="center"/>
          </w:tcPr>
          <w:p>
            <w:pPr>
              <w:jc w:val="center"/>
              <w:rPr>
                <w:rFonts w:eastAsia="仿宋_GB2312"/>
                <w:sz w:val="24"/>
              </w:rPr>
            </w:pPr>
            <w:r>
              <w:rPr>
                <w:rFonts w:hint="eastAsia" w:eastAsia="仿宋_GB2312"/>
                <w:sz w:val="24"/>
                <w:lang w:val="en-US" w:eastAsia="zh-CN"/>
              </w:rPr>
              <w:t>陈 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ind w:firstLine="6240" w:firstLineChars="2600"/>
              <w:rPr>
                <w:rFonts w:eastAsia="仿宋_GB2312"/>
                <w:sz w:val="24"/>
              </w:rPr>
            </w:pPr>
            <w:r>
              <w:rPr>
                <w:rFonts w:hint="eastAsia" w:eastAsia="仿宋_GB2312"/>
                <w:sz w:val="24"/>
              </w:rPr>
              <w:t>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ind w:firstLine="6000" w:firstLineChars="2500"/>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张雪</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15675944553</w:t>
      </w:r>
    </w:p>
    <w:tbl>
      <w:tblPr>
        <w:tblStyle w:val="4"/>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hd w:val="clear" w:color="auto" w:fill="FFFFFF"/>
              <w:snapToGrid w:val="0"/>
              <w:spacing w:line="600" w:lineRule="exact"/>
              <w:ind w:firstLine="300" w:firstLineChars="100"/>
              <w:outlineLvl w:val="0"/>
              <w:rPr>
                <w:rFonts w:eastAsia="仿宋_GB2312"/>
                <w:sz w:val="30"/>
                <w:szCs w:val="30"/>
              </w:rPr>
            </w:pPr>
            <w:r>
              <w:rPr>
                <w:rFonts w:hint="eastAsia" w:eastAsia="仿宋_GB2312"/>
                <w:sz w:val="30"/>
                <w:szCs w:val="30"/>
              </w:rPr>
              <w:t>（一）项目基本概况</w:t>
            </w:r>
          </w:p>
          <w:p>
            <w:pPr>
              <w:widowControl/>
              <w:spacing w:line="480" w:lineRule="auto"/>
              <w:ind w:firstLine="480" w:firstLineChars="200"/>
              <w:rPr>
                <w:rFonts w:ascii="仿宋_GB2312" w:eastAsia="仿宋_GB2312"/>
                <w:color w:val="000000"/>
                <w:sz w:val="32"/>
                <w:szCs w:val="32"/>
              </w:rPr>
            </w:pPr>
            <w:r>
              <w:rPr>
                <w:rFonts w:hint="eastAsia" w:ascii="宋体" w:hAnsi="宋体" w:cs="宋体"/>
                <w:color w:val="000000"/>
                <w:sz w:val="24"/>
              </w:rPr>
              <w:t>1、项目单位基本情况</w:t>
            </w:r>
            <w:r>
              <w:rPr>
                <w:rFonts w:hint="eastAsia" w:ascii="仿宋_GB2312" w:eastAsia="仿宋_GB2312"/>
                <w:color w:val="000000"/>
                <w:sz w:val="32"/>
                <w:szCs w:val="32"/>
              </w:rPr>
              <w:t>。</w:t>
            </w:r>
          </w:p>
          <w:p>
            <w:pPr>
              <w:widowControl/>
              <w:spacing w:line="480" w:lineRule="auto"/>
              <w:ind w:firstLine="480" w:firstLineChars="200"/>
              <w:rPr>
                <w:rFonts w:ascii="宋体"/>
                <w:sz w:val="24"/>
              </w:rPr>
            </w:pPr>
            <w:r>
              <w:rPr>
                <w:rFonts w:hint="eastAsia" w:ascii="宋体"/>
                <w:sz w:val="24"/>
              </w:rPr>
              <w:t>下辖各类性质的二级机构8家，管理着235公里防洪大堤，58公里流经区域河流，51座穿堤建筑物，29座外排机埠。主要职责（与本项目相关的职责）： 负责生活、生产经营和生态环境用水的统筹兼顾和保障；负责防治水旱灾害，承担区防汛抗旱指挥部的日常工作；负责节约用水工作、组织、指导水利工程设施、水域及其岸线的管理与保护；负责防治水土流失工作。</w:t>
            </w:r>
          </w:p>
          <w:p>
            <w:pPr>
              <w:widowControl/>
              <w:spacing w:line="480" w:lineRule="auto"/>
              <w:ind w:firstLine="480" w:firstLineChars="200"/>
              <w:rPr>
                <w:rFonts w:ascii="宋体" w:hAnsi="宋体" w:cs="宋体"/>
                <w:color w:val="000000"/>
                <w:sz w:val="24"/>
              </w:rPr>
            </w:pPr>
            <w:r>
              <w:rPr>
                <w:rFonts w:hint="eastAsia" w:ascii="宋体" w:hAnsi="宋体" w:cs="宋体"/>
                <w:color w:val="000000"/>
                <w:sz w:val="24"/>
              </w:rPr>
              <w:t>2、项目年度预算绩效目标。</w:t>
            </w:r>
          </w:p>
          <w:p>
            <w:pPr>
              <w:widowControl/>
              <w:spacing w:line="480" w:lineRule="auto"/>
              <w:ind w:firstLine="480" w:firstLineChars="200"/>
              <w:rPr>
                <w:rFonts w:ascii="宋体" w:hAnsi="宋体" w:cs="宋体"/>
                <w:bCs/>
                <w:color w:val="000000"/>
                <w:sz w:val="24"/>
              </w:rPr>
            </w:pPr>
            <w:r>
              <w:rPr>
                <w:rFonts w:hint="eastAsia" w:ascii="宋体" w:hAnsi="宋体" w:cs="宋体"/>
                <w:kern w:val="0"/>
                <w:sz w:val="24"/>
              </w:rPr>
              <w:t>对全区</w:t>
            </w:r>
            <w:r>
              <w:rPr>
                <w:rFonts w:hint="eastAsia" w:ascii="宋体" w:hAnsi="宋体" w:cs="宋体"/>
                <w:sz w:val="24"/>
              </w:rPr>
              <w:t>水库、堤防、岸线、穿堤涵闸、电排、垸内节制闸及在建涉水工程等水利设施</w:t>
            </w:r>
            <w:r>
              <w:rPr>
                <w:rFonts w:hint="eastAsia" w:ascii="宋体" w:hAnsi="宋体" w:cs="宋体"/>
                <w:sz w:val="24"/>
                <w:shd w:val="clear" w:color="auto" w:fill="FFFFFF"/>
              </w:rPr>
              <w:t>进行了安全隐患大</w:t>
            </w:r>
            <w:r>
              <w:rPr>
                <w:rFonts w:hint="eastAsia" w:ascii="宋体" w:hAnsi="宋体" w:cs="宋体"/>
                <w:sz w:val="24"/>
              </w:rPr>
              <w:t>检</w:t>
            </w:r>
            <w:r>
              <w:rPr>
                <w:rFonts w:hint="eastAsia" w:ascii="宋体" w:hAnsi="宋体" w:cs="宋体"/>
                <w:sz w:val="24"/>
                <w:shd w:val="clear" w:color="auto" w:fill="FFFFFF"/>
              </w:rPr>
              <w:t>查，</w:t>
            </w:r>
            <w:r>
              <w:rPr>
                <w:rFonts w:hint="eastAsia" w:ascii="宋体" w:hAnsi="宋体" w:cs="宋体"/>
                <w:kern w:val="0"/>
                <w:sz w:val="24"/>
              </w:rPr>
              <w:t>并</w:t>
            </w:r>
            <w:r>
              <w:rPr>
                <w:rFonts w:hint="eastAsia" w:ascii="宋体" w:hAnsi="宋体" w:cs="宋体"/>
                <w:sz w:val="24"/>
                <w:shd w:val="clear" w:color="auto" w:fill="FFFFFF"/>
              </w:rPr>
              <w:t>逐处逐项</w:t>
            </w:r>
            <w:r>
              <w:rPr>
                <w:rFonts w:hint="eastAsia" w:ascii="宋体" w:hAnsi="宋体" w:cs="宋体"/>
                <w:sz w:val="24"/>
              </w:rPr>
              <w:t>建立了台账，</w:t>
            </w:r>
            <w:r>
              <w:rPr>
                <w:rFonts w:hint="eastAsia" w:ascii="宋体" w:hAnsi="宋体" w:cs="宋体"/>
                <w:sz w:val="24"/>
                <w:shd w:val="clear" w:color="auto" w:fill="FFFFFF"/>
              </w:rPr>
              <w:t>明确了整改责任人、整改措施及整改时限，落实专人跟踪核验督办。</w:t>
            </w:r>
            <w:r>
              <w:rPr>
                <w:rFonts w:hint="eastAsia" w:ascii="宋体" w:hAnsi="宋体" w:cs="宋体"/>
                <w:sz w:val="24"/>
              </w:rPr>
              <w:t>全面加快在建涉水工程建设进度，确保安全度汛，开展对在建工程督查，要求各施工单位在保质保量的前提下，抢抓有利天气，倒排工期，增加作业力量，全力以赴赶进度，确保主汛前完成工程建设。确保2020-2021年度水利冬春修工程基本完工，牛奶铺泵站和松木水库朝天口工程实现回填，钱粮湖垸分洪闸工程连接堤核心区回填至设计高程、28扇闸门安装。</w:t>
            </w:r>
          </w:p>
          <w:p>
            <w:pPr>
              <w:shd w:val="clear" w:color="auto" w:fill="FFFFFF"/>
              <w:snapToGrid w:val="0"/>
              <w:spacing w:line="600" w:lineRule="exact"/>
              <w:ind w:firstLine="300" w:firstLineChars="100"/>
              <w:outlineLvl w:val="0"/>
              <w:rPr>
                <w:rFonts w:ascii="宋体" w:hAnsi="宋体" w:cs="宋体"/>
                <w:bCs/>
                <w:color w:val="000000"/>
                <w:sz w:val="24"/>
              </w:rPr>
            </w:pPr>
            <w:r>
              <w:rPr>
                <w:rFonts w:hint="eastAsia" w:eastAsia="仿宋_GB2312"/>
                <w:sz w:val="30"/>
                <w:szCs w:val="30"/>
              </w:rPr>
              <w:t>（二）项目资金使用及管理情况</w:t>
            </w:r>
            <w:r>
              <w:rPr>
                <w:rFonts w:hint="eastAsia" w:ascii="宋体" w:hAnsi="宋体" w:cs="宋体"/>
                <w:bCs/>
                <w:color w:val="000000"/>
                <w:sz w:val="24"/>
              </w:rPr>
              <w:t xml:space="preserve"> </w:t>
            </w:r>
          </w:p>
          <w:p>
            <w:pPr>
              <w:numPr>
                <w:ilvl w:val="0"/>
                <w:numId w:val="1"/>
              </w:num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项目资金安排落实情况。</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根据年度预算安排</w:t>
            </w:r>
            <w:r>
              <w:rPr>
                <w:rFonts w:hint="eastAsia" w:ascii="宋体" w:hAnsi="宋体" w:cs="宋体"/>
                <w:bCs/>
                <w:color w:val="000000"/>
                <w:sz w:val="24"/>
                <w:lang w:val="en-US" w:eastAsia="zh-CN"/>
              </w:rPr>
              <w:t>水利建设</w:t>
            </w:r>
            <w:r>
              <w:rPr>
                <w:rFonts w:hint="eastAsia" w:ascii="宋体" w:hAnsi="宋体" w:cs="宋体"/>
                <w:bCs/>
                <w:color w:val="000000"/>
                <w:sz w:val="24"/>
              </w:rPr>
              <w:t>经费108万元，实际到位资金108万元</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 xml:space="preserve"> 2、项目资金（主要是指财政资金）实际使用情况。</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项目资金实际支出见项目支出明细表，截止2022年12月，共计支出91.11万元，结余16.89万元，结余资金待2023年做支付结算。</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 xml:space="preserve"> 3、项目资金管理情况。</w:t>
            </w:r>
          </w:p>
          <w:p>
            <w:pPr>
              <w:shd w:val="clear" w:color="auto" w:fill="FFFFFF"/>
              <w:snapToGrid w:val="0"/>
              <w:spacing w:line="600" w:lineRule="exact"/>
              <w:ind w:firstLine="200"/>
              <w:outlineLvl w:val="0"/>
              <w:rPr>
                <w:rFonts w:ascii="宋体" w:hAnsi="宋体" w:cs="宋体"/>
                <w:bCs/>
                <w:color w:val="000000"/>
                <w:sz w:val="24"/>
              </w:rPr>
            </w:pPr>
            <w:r>
              <w:rPr>
                <w:rFonts w:hint="eastAsia" w:ascii="宋体" w:hAnsi="宋体" w:cs="宋体"/>
                <w:bCs/>
                <w:color w:val="000000"/>
                <w:sz w:val="24"/>
              </w:rPr>
              <w:t xml:space="preserve">  项目资金的管理情况较好，制定了《水利局二级机构财务管理办法》、《水利局二级机构预算管理办法》、《水利局二级机构账务代管管理办法》等管理规定，并严格执行；，按时间和项目实施进程分次、分批拨付；项目资金的使用、监管，通过局会计集中核算中心对二级机构财务代管进行，保证足额、规范地使用。</w:t>
            </w:r>
          </w:p>
          <w:p>
            <w:pPr>
              <w:shd w:val="clear" w:color="auto" w:fill="FFFFFF"/>
              <w:snapToGrid w:val="0"/>
              <w:spacing w:line="600" w:lineRule="exact"/>
              <w:ind w:firstLine="300" w:firstLineChars="100"/>
              <w:outlineLvl w:val="0"/>
              <w:rPr>
                <w:rFonts w:eastAsia="仿宋_GB2312"/>
                <w:sz w:val="30"/>
                <w:szCs w:val="30"/>
              </w:rPr>
            </w:pPr>
            <w:r>
              <w:rPr>
                <w:rFonts w:hint="eastAsia" w:eastAsia="仿宋_GB2312"/>
                <w:sz w:val="30"/>
                <w:szCs w:val="30"/>
              </w:rPr>
              <w:t>（三）项目组织实施情况</w:t>
            </w:r>
          </w:p>
          <w:p>
            <w:pPr>
              <w:shd w:val="clear" w:color="auto" w:fill="FFFFFF"/>
              <w:snapToGrid w:val="0"/>
              <w:spacing w:line="600" w:lineRule="exact"/>
              <w:ind w:firstLine="480" w:firstLineChars="200"/>
              <w:outlineLvl w:val="0"/>
              <w:rPr>
                <w:rFonts w:ascii="宋体" w:hAnsi="宋体" w:cs="宋体"/>
                <w:sz w:val="24"/>
              </w:rPr>
            </w:pPr>
            <w:r>
              <w:rPr>
                <w:rFonts w:hint="eastAsia" w:ascii="宋体" w:hAnsi="宋体" w:cs="宋体"/>
                <w:sz w:val="24"/>
              </w:rPr>
              <w:t>项目实施年初由区水旱灾害防御事务中心制定备汛及应急处险等项目及资金计划，交由相应堤防、电排所属二级机构负责实施，由区水旱灾害防御事务中心及工程股负责日常的检查、监督、完成项目的验收。</w:t>
            </w:r>
          </w:p>
          <w:p>
            <w:pPr>
              <w:shd w:val="clear" w:color="auto" w:fill="FFFFFF"/>
              <w:snapToGrid w:val="0"/>
              <w:spacing w:line="600" w:lineRule="exact"/>
              <w:ind w:firstLine="300" w:firstLineChars="100"/>
              <w:outlineLvl w:val="0"/>
              <w:rPr>
                <w:rFonts w:eastAsia="仿宋_GB2312"/>
                <w:sz w:val="30"/>
                <w:szCs w:val="30"/>
              </w:rPr>
            </w:pPr>
            <w:r>
              <w:rPr>
                <w:rFonts w:hint="eastAsia" w:eastAsia="仿宋_GB2312"/>
                <w:sz w:val="30"/>
                <w:szCs w:val="30"/>
              </w:rPr>
              <w:t>（四）综合评价情况及评价结论</w:t>
            </w:r>
          </w:p>
          <w:p>
            <w:pPr>
              <w:shd w:val="clear" w:color="auto" w:fill="FFFFFF"/>
              <w:snapToGrid w:val="0"/>
              <w:spacing w:line="600" w:lineRule="exact"/>
              <w:ind w:firstLine="480" w:firstLineChars="200"/>
              <w:outlineLvl w:val="0"/>
              <w:rPr>
                <w:rFonts w:ascii="宋体" w:hAnsi="宋体" w:cs="宋体"/>
                <w:bCs/>
                <w:sz w:val="24"/>
              </w:rPr>
            </w:pPr>
            <w:r>
              <w:rPr>
                <w:rFonts w:hint="eastAsia" w:ascii="宋体" w:hAnsi="宋体" w:cs="宋体"/>
                <w:sz w:val="24"/>
              </w:rPr>
              <w:t>水利局成立由局主要负责人、分管财务、排灌、工程等工作的负责人及具体经办人组成单位评价组 ，采用单位绩效自评的评价方式，对项目绩效目标及实施计划完成情况进行了综合评价，基本达到预期目标，</w:t>
            </w:r>
            <w:r>
              <w:rPr>
                <w:rFonts w:hint="eastAsia" w:ascii="宋体" w:hAnsi="宋体" w:cs="宋体"/>
                <w:bCs/>
                <w:sz w:val="24"/>
              </w:rPr>
              <w:t>堤防保证安全度汛；水库遇设计暴雨不垮坝；电排保证排灌自如；垸内三日降雨200毫米不渍田；遇中等程度干旱，生活、生产、生态用水不受大的影响，发生严重干旱时，生活用水有保障，工农业生产损失降到最低。综合评价指标量化考评96分，达到优秀水平。</w:t>
            </w:r>
          </w:p>
          <w:p>
            <w:pPr>
              <w:shd w:val="clear" w:color="auto" w:fill="FFFFFF"/>
              <w:adjustRightInd w:val="0"/>
              <w:snapToGrid w:val="0"/>
              <w:spacing w:line="600" w:lineRule="exact"/>
              <w:ind w:firstLine="300" w:firstLineChars="100"/>
              <w:rPr>
                <w:rFonts w:eastAsia="仿宋_GB2312"/>
                <w:sz w:val="30"/>
                <w:szCs w:val="30"/>
              </w:rPr>
            </w:pPr>
            <w:r>
              <w:rPr>
                <w:rFonts w:hint="eastAsia" w:eastAsia="仿宋_GB2312"/>
                <w:sz w:val="30"/>
                <w:szCs w:val="30"/>
              </w:rPr>
              <w:t>（五）项目主要绩效情况分析</w:t>
            </w:r>
          </w:p>
          <w:p>
            <w:pPr>
              <w:shd w:val="clear" w:color="auto" w:fill="FFFFFF"/>
              <w:adjustRightInd w:val="0"/>
              <w:snapToGrid w:val="0"/>
              <w:spacing w:line="600" w:lineRule="exact"/>
              <w:ind w:firstLine="480" w:firstLineChars="200"/>
              <w:rPr>
                <w:rFonts w:ascii="宋体" w:hAnsi="宋体" w:cs="宋体"/>
                <w:bCs/>
                <w:color w:val="000000"/>
                <w:sz w:val="24"/>
              </w:rPr>
            </w:pPr>
            <w:r>
              <w:rPr>
                <w:rFonts w:hint="eastAsia" w:ascii="宋体" w:hAnsi="宋体" w:cs="宋体"/>
                <w:bCs/>
                <w:color w:val="000000"/>
                <w:sz w:val="24"/>
              </w:rPr>
              <w:t>1、项目的经济性分析。项目确定由财政预算安排，水利局本着节约的原则，通过预算进行控制，情况较好，保证项目具体实施。</w:t>
            </w:r>
          </w:p>
          <w:p>
            <w:pPr>
              <w:shd w:val="clear" w:color="auto" w:fill="FFFFFF"/>
              <w:adjustRightInd w:val="0"/>
              <w:snapToGrid w:val="0"/>
              <w:spacing w:line="600" w:lineRule="exact"/>
              <w:ind w:firstLine="480" w:firstLineChars="200"/>
              <w:rPr>
                <w:rFonts w:ascii="宋体" w:hAnsi="宋体" w:cs="宋体"/>
                <w:bCs/>
                <w:color w:val="000000"/>
                <w:sz w:val="24"/>
              </w:rPr>
            </w:pPr>
            <w:r>
              <w:rPr>
                <w:rFonts w:hint="eastAsia" w:ascii="宋体" w:hAnsi="宋体" w:cs="宋体"/>
                <w:bCs/>
                <w:color w:val="000000"/>
                <w:sz w:val="24"/>
              </w:rPr>
              <w:t>2、项目的效率性分析。水利局主要是通过制定项目实施计划；下达资金、经费预算，按时间及项目实施进度下拨资金；具体责任部门进行日常的监督、检查、验收，确保项目实施按时、按质量要求完成。</w:t>
            </w:r>
          </w:p>
          <w:p>
            <w:pPr>
              <w:shd w:val="clear" w:color="auto" w:fill="FFFFFF"/>
              <w:adjustRightInd w:val="0"/>
              <w:snapToGrid w:val="0"/>
              <w:spacing w:line="600" w:lineRule="exact"/>
              <w:ind w:firstLine="480" w:firstLineChars="200"/>
              <w:rPr>
                <w:rFonts w:ascii="宋体" w:hAnsi="宋体" w:cs="宋体"/>
                <w:bCs/>
                <w:color w:val="000000"/>
                <w:sz w:val="24"/>
              </w:rPr>
            </w:pPr>
            <w:bookmarkStart w:id="0" w:name="_GoBack"/>
            <w:bookmarkEnd w:id="0"/>
            <w:r>
              <w:rPr>
                <w:rFonts w:hint="eastAsia" w:ascii="宋体" w:hAnsi="宋体" w:cs="宋体"/>
                <w:bCs/>
                <w:color w:val="000000"/>
                <w:sz w:val="24"/>
              </w:rPr>
              <w:t>3、项目的有效性分析。项目实施完成，基本上能保证项目预期目标，保证堤防防汛安全，保证水库堤坝安全，保证电排正常运转、排灌自如。</w:t>
            </w:r>
          </w:p>
          <w:p>
            <w:pPr>
              <w:shd w:val="clear" w:color="auto" w:fill="FFFFFF"/>
              <w:adjustRightInd w:val="0"/>
              <w:snapToGrid w:val="0"/>
              <w:spacing w:line="600" w:lineRule="exact"/>
              <w:ind w:firstLine="480" w:firstLineChars="200"/>
              <w:rPr>
                <w:rFonts w:ascii="宋体" w:hAnsi="宋体" w:cs="宋体"/>
                <w:bCs/>
                <w:sz w:val="24"/>
              </w:rPr>
            </w:pPr>
            <w:r>
              <w:rPr>
                <w:rFonts w:hint="eastAsia" w:ascii="宋体" w:hAnsi="宋体" w:cs="宋体"/>
                <w:bCs/>
                <w:color w:val="000000"/>
                <w:sz w:val="24"/>
              </w:rPr>
              <w:t>4、项目的可持续性分析。本项目属于年度常规性项目，水利设施受时间、自然环境的变化影响较大，项目设备设施维修维护成本增加，资金需求量越来越多，管理措施要求越来越高。</w:t>
            </w:r>
          </w:p>
          <w:p>
            <w:pPr>
              <w:shd w:val="clear" w:color="auto" w:fill="FFFFFF"/>
              <w:snapToGrid w:val="0"/>
              <w:spacing w:line="600" w:lineRule="exact"/>
              <w:ind w:firstLine="300" w:firstLineChars="100"/>
              <w:outlineLvl w:val="0"/>
              <w:rPr>
                <w:rFonts w:ascii="宋体" w:hAnsi="宋体" w:cs="宋体"/>
                <w:bCs/>
                <w:color w:val="000000"/>
                <w:sz w:val="24"/>
              </w:rPr>
            </w:pPr>
            <w:r>
              <w:rPr>
                <w:rFonts w:hint="eastAsia" w:eastAsia="仿宋_GB2312"/>
                <w:sz w:val="30"/>
                <w:szCs w:val="30"/>
              </w:rPr>
              <w:t>（六）主要经验及做法、存在问题和建议</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主要做法是根据财政预算及水利设施修复的实际需要来确定具体的实施项目和标准，具体分管部门负责项目计划的监督、检查、验收，财务部门负责项目资金按计划、进度的申报、拨付、监管。</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 xml:space="preserve"> 存在的问题主要是一项目资金预算总体规模无法达到部门标准的要求；二是水利设施及水利建设不确定因素太多，我们将积极争取财政的支持力度，进一步加强和完善项目管理，努力控制成本，确保项目的正常实施和预期目标的完成。</w:t>
            </w:r>
          </w:p>
          <w:p>
            <w:pPr>
              <w:spacing w:line="560" w:lineRule="exact"/>
              <w:ind w:firstLine="300" w:firstLineChars="100"/>
              <w:rPr>
                <w:rFonts w:eastAsia="仿宋_GB2312"/>
                <w:sz w:val="30"/>
                <w:szCs w:val="30"/>
              </w:rPr>
            </w:pPr>
            <w:r>
              <w:rPr>
                <w:rFonts w:hint="eastAsia" w:eastAsia="仿宋_GB2312"/>
                <w:sz w:val="30"/>
                <w:szCs w:val="30"/>
              </w:rPr>
              <w:t>（七）附件</w:t>
            </w:r>
          </w:p>
          <w:p>
            <w:pPr>
              <w:rPr>
                <w:rFonts w:eastAsia="楷体_GB2312"/>
                <w:bCs/>
                <w:sz w:val="28"/>
                <w:szCs w:val="28"/>
              </w:rPr>
            </w:pPr>
          </w:p>
          <w:p>
            <w:pPr>
              <w:rPr>
                <w:rFonts w:eastAsia="楷体_GB2312"/>
                <w:bCs/>
                <w:sz w:val="28"/>
                <w:szCs w:val="28"/>
              </w:rPr>
            </w:pPr>
          </w:p>
          <w:p>
            <w:pPr>
              <w:rPr>
                <w:rFonts w:eastAsia="楷体_GB2312"/>
                <w:bCs/>
                <w:sz w:val="28"/>
                <w:szCs w:val="28"/>
              </w:rPr>
            </w:pPr>
          </w:p>
          <w:p>
            <w:pPr>
              <w:shd w:val="clear" w:color="auto" w:fill="FFFFFF"/>
              <w:snapToGrid w:val="0"/>
              <w:spacing w:line="600" w:lineRule="exact"/>
              <w:ind w:firstLine="5280" w:firstLineChars="2200"/>
              <w:outlineLvl w:val="0"/>
              <w:rPr>
                <w:rFonts w:ascii="宋体" w:hAnsi="宋体" w:cs="宋体"/>
                <w:bCs/>
                <w:color w:val="000000"/>
                <w:sz w:val="24"/>
              </w:rPr>
            </w:pPr>
            <w:r>
              <w:rPr>
                <w:rFonts w:hint="eastAsia" w:ascii="宋体" w:hAnsi="宋体" w:cs="宋体"/>
                <w:bCs/>
                <w:color w:val="000000"/>
                <w:sz w:val="24"/>
              </w:rPr>
              <w:t>君山区水旱灾害防御事务中心</w:t>
            </w:r>
          </w:p>
          <w:p>
            <w:pPr>
              <w:shd w:val="clear" w:color="auto" w:fill="FFFFFF"/>
              <w:snapToGrid w:val="0"/>
              <w:spacing w:line="600" w:lineRule="exact"/>
              <w:ind w:firstLine="480" w:firstLineChars="200"/>
              <w:outlineLvl w:val="0"/>
              <w:rPr>
                <w:rFonts w:ascii="宋体" w:hAnsi="宋体" w:cs="宋体"/>
                <w:bCs/>
                <w:color w:val="000000"/>
                <w:sz w:val="24"/>
              </w:rPr>
            </w:pPr>
            <w:r>
              <w:rPr>
                <w:rFonts w:hint="eastAsia" w:ascii="宋体" w:hAnsi="宋体" w:cs="宋体"/>
                <w:bCs/>
                <w:color w:val="000000"/>
                <w:sz w:val="24"/>
              </w:rPr>
              <w:t xml:space="preserve">                                             2023年7月5日</w:t>
            </w:r>
          </w:p>
          <w:p>
            <w:pPr>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55A5A"/>
    <w:multiLevelType w:val="singleLevel"/>
    <w:tmpl w:val="FB355A5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dmMmFhNjliNzA4OTAwNWRhNmFmMGNiYTRjMzFjNDMifQ=="/>
  </w:docVars>
  <w:rsids>
    <w:rsidRoot w:val="675C0E9D"/>
    <w:rsid w:val="00376EB7"/>
    <w:rsid w:val="0051453F"/>
    <w:rsid w:val="006C2277"/>
    <w:rsid w:val="00714067"/>
    <w:rsid w:val="009D40A5"/>
    <w:rsid w:val="00C26D7F"/>
    <w:rsid w:val="01972F94"/>
    <w:rsid w:val="02010AAD"/>
    <w:rsid w:val="04CA2062"/>
    <w:rsid w:val="04CE5892"/>
    <w:rsid w:val="057D6B94"/>
    <w:rsid w:val="05C542BE"/>
    <w:rsid w:val="072354D2"/>
    <w:rsid w:val="09D50B3F"/>
    <w:rsid w:val="09D94BBC"/>
    <w:rsid w:val="0C477D7F"/>
    <w:rsid w:val="0DA0063A"/>
    <w:rsid w:val="0DAA2D74"/>
    <w:rsid w:val="0F8A5038"/>
    <w:rsid w:val="0F9948A9"/>
    <w:rsid w:val="0FB621F4"/>
    <w:rsid w:val="0FBF683B"/>
    <w:rsid w:val="12222C2B"/>
    <w:rsid w:val="12B634DD"/>
    <w:rsid w:val="12B745E9"/>
    <w:rsid w:val="15AC2FD3"/>
    <w:rsid w:val="15E962B6"/>
    <w:rsid w:val="16313D50"/>
    <w:rsid w:val="167366DA"/>
    <w:rsid w:val="1733759C"/>
    <w:rsid w:val="17494455"/>
    <w:rsid w:val="18FA2289"/>
    <w:rsid w:val="1A0A1C2A"/>
    <w:rsid w:val="1BB56523"/>
    <w:rsid w:val="1C48618D"/>
    <w:rsid w:val="1D826EA4"/>
    <w:rsid w:val="1DB1061F"/>
    <w:rsid w:val="1DD30B80"/>
    <w:rsid w:val="1E2F757C"/>
    <w:rsid w:val="210C66E2"/>
    <w:rsid w:val="23391909"/>
    <w:rsid w:val="23EA1A3F"/>
    <w:rsid w:val="241F789D"/>
    <w:rsid w:val="24A253A0"/>
    <w:rsid w:val="25764F60"/>
    <w:rsid w:val="26902BA9"/>
    <w:rsid w:val="26EC66F6"/>
    <w:rsid w:val="293B363F"/>
    <w:rsid w:val="2CA6784F"/>
    <w:rsid w:val="2D916B3D"/>
    <w:rsid w:val="2DE52EE4"/>
    <w:rsid w:val="2EAC10BE"/>
    <w:rsid w:val="30704081"/>
    <w:rsid w:val="34714AB3"/>
    <w:rsid w:val="36621FEA"/>
    <w:rsid w:val="38694DAF"/>
    <w:rsid w:val="389D39E0"/>
    <w:rsid w:val="3AF74B4D"/>
    <w:rsid w:val="3C887922"/>
    <w:rsid w:val="3CB55102"/>
    <w:rsid w:val="3CC019E6"/>
    <w:rsid w:val="3E133491"/>
    <w:rsid w:val="41C063B4"/>
    <w:rsid w:val="42433156"/>
    <w:rsid w:val="48013B68"/>
    <w:rsid w:val="490411BC"/>
    <w:rsid w:val="49C10AC1"/>
    <w:rsid w:val="4B703257"/>
    <w:rsid w:val="4ED35C3F"/>
    <w:rsid w:val="50272D6A"/>
    <w:rsid w:val="50D81916"/>
    <w:rsid w:val="52307DBA"/>
    <w:rsid w:val="523D34A5"/>
    <w:rsid w:val="5293109C"/>
    <w:rsid w:val="52E80032"/>
    <w:rsid w:val="54F2351D"/>
    <w:rsid w:val="55CC3CAD"/>
    <w:rsid w:val="56273715"/>
    <w:rsid w:val="566857C9"/>
    <w:rsid w:val="56727CCF"/>
    <w:rsid w:val="56F72A7D"/>
    <w:rsid w:val="57CB3304"/>
    <w:rsid w:val="58270B05"/>
    <w:rsid w:val="5B5813FC"/>
    <w:rsid w:val="5C500CBE"/>
    <w:rsid w:val="5E3E6E0B"/>
    <w:rsid w:val="5E4248EB"/>
    <w:rsid w:val="5E80230C"/>
    <w:rsid w:val="5F00501B"/>
    <w:rsid w:val="621F1A03"/>
    <w:rsid w:val="62280673"/>
    <w:rsid w:val="62EF2367"/>
    <w:rsid w:val="62F45FC0"/>
    <w:rsid w:val="64E03AE8"/>
    <w:rsid w:val="675C0E9D"/>
    <w:rsid w:val="6B2B063B"/>
    <w:rsid w:val="6B573DAB"/>
    <w:rsid w:val="6B6D06D3"/>
    <w:rsid w:val="6D535020"/>
    <w:rsid w:val="6E5272D9"/>
    <w:rsid w:val="6F8153A7"/>
    <w:rsid w:val="70206770"/>
    <w:rsid w:val="720524EE"/>
    <w:rsid w:val="7237679E"/>
    <w:rsid w:val="72EF375D"/>
    <w:rsid w:val="730E2CC4"/>
    <w:rsid w:val="765E796F"/>
    <w:rsid w:val="76C33D92"/>
    <w:rsid w:val="77C53449"/>
    <w:rsid w:val="7A597BD4"/>
    <w:rsid w:val="7A7325E1"/>
    <w:rsid w:val="7A9769F1"/>
    <w:rsid w:val="7ACC67AC"/>
    <w:rsid w:val="7AE25765"/>
    <w:rsid w:val="7B0553F3"/>
    <w:rsid w:val="7B55484B"/>
    <w:rsid w:val="7B690EA4"/>
    <w:rsid w:val="7F995D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8</Pages>
  <Words>2830</Words>
  <Characters>3111</Characters>
  <Lines>9</Lines>
  <Paragraphs>7</Paragraphs>
  <TotalTime>2</TotalTime>
  <ScaleCrop>false</ScaleCrop>
  <LinksUpToDate>false</LinksUpToDate>
  <CharactersWithSpaces>3648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2018-05-23T03:37:00Z</dcterms:created>
  <dc:creator>Administrator</dc:creator>
  <cp:lastModifiedBy>ZQ</cp:lastModifiedBy>
  <cp:lastPrinted>2023-07-18T10:56:08Z</cp:lastPrinted>
  <dcterms:modified xsi:type="dcterms:W3CDTF">2023-07-18T11:02:57Z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44332DAB08184E21883366ACD7787668</vt:lpwstr>
  </property>
</Properties>
</file>