
<file path=[Content_Types].xml><?xml version="1.0" encoding="utf-8"?>
<Types xmlns="http://schemas.openxmlformats.org/package/2006/content-types">
  <Default Extension="xml" ContentType="application/xml"/>
  <Default Extension="rels" ContentType="application/vnd.openxmlformats-package.relationship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document.xml" ContentType="application/vnd.openxmlformats-officedocument.wordprocessingml.document.main+xml"/>
  <Override PartName="/word/footer1.xml" ContentType="application/vnd.openxmlformats-officedocument.wordprocessingml.footer+xml"/>
  <Override PartName="/customXml/itemProps1.xml" ContentType="application/vnd.openxmlformats-officedocument.customXmlProperties+xml"/>
  <Override PartName="/word/numbering.xml" ContentType="application/vnd.openxmlformats-officedocument.wordprocessingml.numbering+xml"/>
  <Override PartName="/word/footer2.xml" ContentType="application/vnd.openxmlformats-officedocument.wordprocessingml.footer+xml"/>
  <Override PartName="/word/settings.xml" ContentType="application/vnd.openxmlformats-officedocument.wordprocessingml.settings+xml"/>
  <Override PartName="/docProps/custom.xml" ContentType="application/vnd.openxmlformats-officedocument.custom-properties+xml"/>
  <Override PartName="/word/styles.xml" ContentType="application/vnd.openxmlformats-officedocument.wordprocessingml.styles+xml"/>
  <Override PartName="/docProps/app.xml" ContentType="application/vnd.openxmlformats-officedocument.extended-properties+xml"/>
</Types>
</file>

<file path=_rels/.rels><?xml version="1.0" encoding="UTF-8"?>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body>
    <w:p>
      <w:pPr>
        <w:pStyle w:val="style0"/>
        <w:spacing w:lineRule="auto" w:line="348"/>
        <w:rPr>
          <w:rFonts w:ascii="黑体" w:cs="黑体" w:eastAsia="黑体" w:hAnsi="黑体"/>
          <w:bCs/>
          <w:sz w:val="32"/>
          <w:szCs w:val="32"/>
        </w:rPr>
      </w:pPr>
      <w:r>
        <w:rPr>
          <w:rFonts w:ascii="黑体" w:cs="黑体" w:eastAsia="黑体" w:hAnsi="黑体" w:hint="eastAsia"/>
          <w:bCs/>
          <w:sz w:val="32"/>
          <w:szCs w:val="32"/>
        </w:rPr>
        <w:t>附件3-1</w:t>
      </w:r>
    </w:p>
    <w:p>
      <w:pPr>
        <w:pStyle w:val="style0"/>
        <w:spacing w:lineRule="auto" w:line="348"/>
        <w:jc w:val="center"/>
        <w:rPr>
          <w:rFonts w:eastAsia="方正小标宋简体"/>
          <w:bCs/>
          <w:sz w:val="42"/>
          <w:szCs w:val="42"/>
        </w:rPr>
      </w:pPr>
    </w:p>
    <w:p>
      <w:pPr>
        <w:pStyle w:val="style0"/>
        <w:spacing w:lineRule="exact" w:line="800"/>
        <w:jc w:val="center"/>
        <w:rPr>
          <w:rFonts w:eastAsia="方正小标宋简体"/>
          <w:bCs/>
          <w:sz w:val="46"/>
          <w:szCs w:val="46"/>
        </w:rPr>
      </w:pPr>
      <w:r>
        <w:rPr>
          <w:rFonts w:eastAsia="方正小标宋简体" w:hint="eastAsia"/>
          <w:bCs/>
          <w:sz w:val="46"/>
          <w:szCs w:val="46"/>
        </w:rPr>
        <w:t>君山区20</w:t>
      </w:r>
      <w:r>
        <w:rPr>
          <w:rFonts w:eastAsia="方正小标宋简体" w:hint="eastAsia"/>
          <w:bCs/>
          <w:sz w:val="46"/>
          <w:szCs w:val="46"/>
          <w:lang w:val="en-US" w:eastAsia="zh-CN"/>
        </w:rPr>
        <w:t>22</w:t>
      </w:r>
      <w:r>
        <w:rPr>
          <w:rFonts w:eastAsia="方正小标宋简体" w:hint="eastAsia"/>
          <w:bCs/>
          <w:sz w:val="46"/>
          <w:szCs w:val="46"/>
        </w:rPr>
        <w:t>年度部门（单位）整体支出</w:t>
      </w:r>
    </w:p>
    <w:p>
      <w:pPr>
        <w:pStyle w:val="style0"/>
        <w:spacing w:lineRule="exact" w:line="800"/>
        <w:jc w:val="center"/>
        <w:rPr>
          <w:rFonts w:eastAsia="方正小标宋简体"/>
          <w:bCs/>
          <w:sz w:val="46"/>
          <w:szCs w:val="46"/>
        </w:rPr>
      </w:pPr>
      <w:r>
        <w:rPr>
          <w:rFonts w:eastAsia="方正小标宋简体" w:hint="eastAsia"/>
          <w:bCs/>
          <w:sz w:val="46"/>
          <w:szCs w:val="46"/>
        </w:rPr>
        <w:t>绩效评价自评报告</w:t>
      </w:r>
    </w:p>
    <w:p>
      <w:pPr>
        <w:pStyle w:val="style0"/>
        <w:rPr>
          <w:rFonts w:eastAsia="仿宋_GB2312"/>
          <w:b/>
          <w:sz w:val="32"/>
        </w:rPr>
      </w:pPr>
    </w:p>
    <w:p>
      <w:pPr>
        <w:pStyle w:val="style0"/>
        <w:rPr>
          <w:rFonts w:eastAsia="仿宋_GB2312"/>
          <w:b/>
          <w:sz w:val="32"/>
        </w:rPr>
      </w:pPr>
    </w:p>
    <w:p>
      <w:pPr>
        <w:pStyle w:val="style0"/>
        <w:rPr>
          <w:rFonts w:eastAsia="仿宋_GB2312"/>
          <w:b/>
          <w:sz w:val="32"/>
        </w:rPr>
      </w:pPr>
    </w:p>
    <w:p>
      <w:pPr>
        <w:pStyle w:val="style0"/>
        <w:spacing w:before="156" w:beforeLines="50" w:lineRule="auto" w:line="348"/>
        <w:ind w:firstLine="476" w:firstLineChars="150"/>
        <w:rPr>
          <w:rFonts w:eastAsia="仿宋_GB2312"/>
          <w:sz w:val="32"/>
          <w:szCs w:val="32"/>
          <w:u w:val="single"/>
        </w:rPr>
      </w:pPr>
      <w:r>
        <w:rPr>
          <w:rFonts w:eastAsia="仿宋_GB2312" w:hint="eastAsia"/>
          <w:sz w:val="32"/>
          <w:szCs w:val="32"/>
        </w:rPr>
        <w:t>部门(单位)名称：岳阳市君山区人民政府办公室</w:t>
      </w:r>
    </w:p>
    <w:p>
      <w:pPr>
        <w:pStyle w:val="style0"/>
        <w:spacing w:before="156" w:beforeLines="50" w:lineRule="auto" w:line="348"/>
        <w:ind w:firstLine="476" w:firstLineChars="150"/>
        <w:rPr>
          <w:rFonts w:eastAsia="仿宋_GB2312" w:hint="eastAsia"/>
          <w:spacing w:val="30"/>
          <w:sz w:val="32"/>
          <w:szCs w:val="32"/>
          <w:lang w:val="en-US" w:eastAsia="zh-CN"/>
        </w:rPr>
      </w:pPr>
      <w:r>
        <w:rPr>
          <w:rFonts w:eastAsia="仿宋_GB2312" w:hint="eastAsia"/>
          <w:sz w:val="32"/>
          <w:szCs w:val="32"/>
        </w:rPr>
        <w:t>预</w:t>
      </w:r>
      <w:r>
        <w:rPr>
          <w:rFonts w:eastAsia="仿宋_GB2312" w:hint="eastAsia"/>
          <w:spacing w:val="30"/>
          <w:sz w:val="32"/>
          <w:szCs w:val="32"/>
        </w:rPr>
        <w:t xml:space="preserve"> 算 编 码：</w:t>
      </w:r>
      <w:r>
        <w:rPr>
          <w:rFonts w:eastAsia="仿宋_GB2312" w:hint="eastAsia"/>
          <w:spacing w:val="30"/>
          <w:sz w:val="32"/>
          <w:szCs w:val="32"/>
          <w:lang w:val="en-US" w:eastAsia="zh-CN"/>
        </w:rPr>
        <w:t>103</w:t>
      </w:r>
    </w:p>
    <w:p>
      <w:pPr>
        <w:pStyle w:val="style0"/>
        <w:spacing w:before="156" w:beforeLines="50" w:lineRule="auto" w:line="348"/>
        <w:ind w:firstLine="476" w:firstLineChars="150"/>
        <w:rPr>
          <w:rFonts w:eastAsia="仿宋_GB2312"/>
          <w:sz w:val="32"/>
          <w:szCs w:val="32"/>
        </w:rPr>
      </w:pPr>
      <w:r>
        <w:rPr>
          <w:rFonts w:eastAsia="仿宋_GB2312" w:hint="eastAsia"/>
          <w:sz w:val="32"/>
          <w:szCs w:val="32"/>
        </w:rPr>
        <w:t>评价方式：部门（单位）绩效自评</w:t>
      </w:r>
    </w:p>
    <w:p>
      <w:pPr>
        <w:pStyle w:val="style0"/>
        <w:spacing w:before="156" w:beforeLines="50" w:lineRule="auto" w:line="348"/>
        <w:ind w:firstLine="476" w:firstLineChars="150"/>
        <w:rPr>
          <w:rFonts w:eastAsia="仿宋_GB2312"/>
          <w:sz w:val="32"/>
          <w:szCs w:val="32"/>
        </w:rPr>
      </w:pPr>
      <w:r>
        <w:rPr>
          <w:rFonts w:eastAsia="仿宋_GB2312" w:hint="eastAsia"/>
          <w:sz w:val="32"/>
          <w:szCs w:val="32"/>
        </w:rPr>
        <w:t xml:space="preserve">评价机构：部门（单位）评价组   </w:t>
      </w:r>
    </w:p>
    <w:p>
      <w:pPr>
        <w:pStyle w:val="style0"/>
        <w:spacing w:lineRule="auto" w:line="348"/>
        <w:ind w:firstLine="2188" w:firstLineChars="690"/>
        <w:rPr>
          <w:rFonts w:eastAsia="仿宋_GB2312"/>
          <w:sz w:val="32"/>
        </w:rPr>
      </w:pPr>
    </w:p>
    <w:p>
      <w:pPr>
        <w:pStyle w:val="style0"/>
        <w:spacing w:lineRule="auto" w:line="348"/>
        <w:ind w:firstLine="2188" w:firstLineChars="690"/>
        <w:rPr>
          <w:rFonts w:eastAsia="仿宋_GB2312"/>
          <w:sz w:val="32"/>
        </w:rPr>
      </w:pPr>
    </w:p>
    <w:p>
      <w:pPr>
        <w:pStyle w:val="style0"/>
        <w:spacing w:lineRule="auto" w:line="348"/>
        <w:jc w:val="center"/>
        <w:rPr>
          <w:rFonts w:eastAsia="仿宋_GB2312"/>
          <w:sz w:val="32"/>
        </w:rPr>
      </w:pPr>
      <w:r>
        <w:rPr>
          <w:rFonts w:eastAsia="仿宋_GB2312" w:hint="eastAsia"/>
          <w:sz w:val="32"/>
        </w:rPr>
        <w:t>报告日期：</w:t>
      </w:r>
      <w:r>
        <w:rPr>
          <w:rFonts w:eastAsia="仿宋_GB2312" w:hint="eastAsia"/>
          <w:sz w:val="32"/>
          <w:lang w:val="en-US" w:eastAsia="zh-CN"/>
        </w:rPr>
        <w:t>2023</w:t>
      </w:r>
      <w:r>
        <w:rPr>
          <w:rFonts w:eastAsia="仿宋_GB2312" w:hint="eastAsia"/>
          <w:sz w:val="32"/>
        </w:rPr>
        <w:t>年</w:t>
      </w:r>
      <w:r>
        <w:rPr>
          <w:rFonts w:eastAsia="仿宋_GB2312" w:hint="eastAsia"/>
          <w:sz w:val="32"/>
          <w:lang w:val="en-US" w:eastAsia="zh-CN"/>
        </w:rPr>
        <w:t>6</w:t>
      </w:r>
      <w:r>
        <w:rPr>
          <w:rFonts w:eastAsia="仿宋_GB2312" w:hint="eastAsia"/>
          <w:sz w:val="32"/>
        </w:rPr>
        <w:t>月</w:t>
      </w:r>
      <w:r>
        <w:rPr>
          <w:rFonts w:eastAsia="仿宋_GB2312" w:hint="eastAsia"/>
          <w:sz w:val="32"/>
          <w:lang w:val="en-US" w:eastAsia="zh-CN"/>
        </w:rPr>
        <w:t>27</w:t>
      </w:r>
      <w:r>
        <w:rPr>
          <w:rFonts w:eastAsia="仿宋_GB2312" w:hint="eastAsia"/>
          <w:sz w:val="32"/>
        </w:rPr>
        <w:t>日</w:t>
      </w:r>
    </w:p>
    <w:p>
      <w:pPr>
        <w:pStyle w:val="style0"/>
        <w:autoSpaceDN w:val="false"/>
        <w:jc w:val="center"/>
        <w:textAlignment w:val="center"/>
        <w:rPr>
          <w:rFonts w:eastAsia="仿宋_GB2312"/>
          <w:sz w:val="32"/>
          <w:szCs w:val="32"/>
        </w:rPr>
        <w:sectPr>
          <w:footerReference w:type="even" r:id="rId2"/>
          <w:footerReference w:type="default" r:id="rId3"/>
          <w:pgSz w:w="11906" w:h="16838" w:orient="portrait"/>
          <w:pgMar w:top="1588" w:right="1588" w:bottom="1588" w:left="1588" w:header="851" w:footer="992" w:gutter="0"/>
          <w:pgNumType w:start="1"/>
          <w:cols w:space="720" w:num="1"/>
          <w:docGrid w:type="linesAndChars" w:linePitch="602" w:charSpace="-782"/>
        </w:sectPr>
      </w:pPr>
      <w:r>
        <w:rPr>
          <w:rFonts w:eastAsia="仿宋_GB2312" w:hint="eastAsia"/>
          <w:sz w:val="32"/>
        </w:rPr>
        <w:t>君山区财政</w:t>
      </w:r>
      <w:r>
        <w:rPr>
          <w:rFonts w:eastAsia="仿宋_GB2312" w:hint="eastAsia"/>
          <w:sz w:val="32"/>
          <w:szCs w:val="32"/>
        </w:rPr>
        <w:t>局（制）</w:t>
      </w:r>
    </w:p>
    <w:tbl>
      <w:tblPr>
        <w:tblStyle w:val="style105"/>
        <w:tblW w:w="980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196"/>
        <w:gridCol w:w="259"/>
        <w:gridCol w:w="1080"/>
        <w:gridCol w:w="265"/>
        <w:gridCol w:w="139"/>
        <w:gridCol w:w="376"/>
        <w:gridCol w:w="565"/>
      </w:tblGrid>
      <w:tr>
        <w:trPr>
          <w:trHeight w:val="567" w:hRule="atLeast"/>
          <w:jc w:val="center"/>
        </w:trPr>
        <w:tc>
          <w:tcPr>
            <w:tcW w:w="9800" w:type="dxa"/>
            <w:gridSpan w:val="17"/>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黑体" w:cs="黑体" w:eastAsia="黑体" w:hAnsi="黑体" w:hint="eastAsia"/>
                <w:color w:val="000000"/>
                <w:sz w:val="28"/>
                <w:szCs w:val="28"/>
              </w:rPr>
              <w:t>一、部门（单位）基本概况</w:t>
            </w:r>
          </w:p>
        </w:tc>
      </w:tr>
      <w:tr>
        <w:tblPrEx/>
        <w:trPr>
          <w:trHeight w:val="567" w:hRule="atLeast"/>
          <w:jc w:val="center"/>
        </w:trPr>
        <w:tc>
          <w:tcPr>
            <w:tcW w:w="1654"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联系人</w:t>
            </w:r>
          </w:p>
        </w:tc>
        <w:tc>
          <w:tcPr>
            <w:tcW w:w="3561" w:type="dxa"/>
            <w:gridSpan w:val="6"/>
            <w:tcBorders/>
            <w:vAlign w:val="center"/>
          </w:tcPr>
          <w:p>
            <w:pPr>
              <w:pStyle w:val="style0"/>
              <w:autoSpaceDN w:val="false"/>
              <w:spacing w:lineRule="exact" w:line="320"/>
              <w:jc w:val="center"/>
              <w:textAlignment w:val="center"/>
              <w:rPr>
                <w:rFonts w:ascii="仿宋_GB2312" w:cs="仿宋_GB2312" w:eastAsia="仿宋_GB2312" w:hAnsi="仿宋_GB2312" w:hint="eastAsia"/>
                <w:color w:val="000000"/>
                <w:kern w:val="2"/>
                <w:sz w:val="24"/>
                <w:szCs w:val="24"/>
                <w:lang w:val="en-US" w:eastAsia="zh-CN"/>
              </w:rPr>
            </w:pPr>
            <w:r>
              <w:rPr>
                <w:rFonts w:ascii="仿宋_GB2312" w:cs="仿宋_GB2312" w:eastAsia="仿宋_GB2312" w:hAnsi="仿宋_GB2312" w:hint="eastAsia"/>
                <w:color w:val="000000"/>
                <w:sz w:val="24"/>
              </w:rPr>
              <w:t>李细荣</w:t>
            </w:r>
          </w:p>
        </w:tc>
        <w:tc>
          <w:tcPr>
            <w:tcW w:w="1479" w:type="dxa"/>
            <w:tcBorders/>
            <w:vAlign w:val="center"/>
          </w:tcPr>
          <w:p>
            <w:pPr>
              <w:pStyle w:val="style0"/>
              <w:autoSpaceDN w:val="false"/>
              <w:spacing w:lineRule="exact" w:line="320"/>
              <w:jc w:val="center"/>
              <w:textAlignment w:val="center"/>
              <w:rPr>
                <w:rFonts w:ascii="仿宋_GB2312" w:cs="仿宋_GB2312" w:eastAsia="仿宋_GB2312" w:hAnsi="仿宋_GB2312"/>
                <w:color w:val="000000"/>
                <w:kern w:val="2"/>
                <w:sz w:val="24"/>
                <w:szCs w:val="24"/>
                <w:lang w:val="en-US" w:eastAsia="zh-CN"/>
              </w:rPr>
            </w:pPr>
            <w:r>
              <w:rPr>
                <w:rFonts w:ascii="仿宋_GB2312" w:cs="仿宋_GB2312" w:eastAsia="仿宋_GB2312" w:hAnsi="仿宋_GB2312" w:hint="eastAsia"/>
                <w:color w:val="000000"/>
                <w:sz w:val="24"/>
              </w:rPr>
              <w:t>联络电话</w:t>
            </w:r>
          </w:p>
        </w:tc>
        <w:tc>
          <w:tcPr>
            <w:tcW w:w="3106" w:type="dxa"/>
            <w:gridSpan w:val="8"/>
            <w:tcBorders/>
            <w:vAlign w:val="center"/>
          </w:tcPr>
          <w:p>
            <w:pPr>
              <w:pStyle w:val="style0"/>
              <w:autoSpaceDN w:val="false"/>
              <w:spacing w:lineRule="exact" w:line="320"/>
              <w:jc w:val="center"/>
              <w:textAlignment w:val="center"/>
              <w:rPr>
                <w:rFonts w:ascii="仿宋_GB2312" w:cs="仿宋_GB2312" w:eastAsia="仿宋_GB2312" w:hAnsi="仿宋_GB2312" w:hint="eastAsia"/>
                <w:color w:val="000000"/>
                <w:kern w:val="2"/>
                <w:sz w:val="24"/>
                <w:szCs w:val="24"/>
                <w:lang w:val="en-US" w:eastAsia="zh-CN"/>
              </w:rPr>
            </w:pPr>
            <w:r>
              <w:rPr>
                <w:rFonts w:ascii="仿宋_GB2312" w:cs="仿宋_GB2312" w:eastAsia="仿宋_GB2312" w:hAnsi="仿宋_GB2312" w:hint="eastAsia"/>
                <w:color w:val="000000"/>
                <w:sz w:val="24"/>
              </w:rPr>
              <w:t>13467306433</w:t>
            </w:r>
          </w:p>
        </w:tc>
      </w:tr>
      <w:tr>
        <w:tblPrEx/>
        <w:trPr>
          <w:trHeight w:val="567" w:hRule="atLeast"/>
          <w:jc w:val="center"/>
        </w:trPr>
        <w:tc>
          <w:tcPr>
            <w:tcW w:w="1654"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人员编制</w:t>
            </w:r>
          </w:p>
        </w:tc>
        <w:tc>
          <w:tcPr>
            <w:tcW w:w="3561" w:type="dxa"/>
            <w:gridSpan w:val="6"/>
            <w:tcBorders/>
            <w:vAlign w:val="center"/>
          </w:tcPr>
          <w:p>
            <w:pPr>
              <w:pStyle w:val="style0"/>
              <w:autoSpaceDN w:val="false"/>
              <w:spacing w:lineRule="exact" w:line="320"/>
              <w:jc w:val="center"/>
              <w:textAlignment w:val="center"/>
              <w:rPr>
                <w:rFonts w:ascii="仿宋_GB2312" w:cs="仿宋_GB2312" w:eastAsia="仿宋_GB2312" w:hAnsi="仿宋_GB2312" w:hint="eastAsia"/>
                <w:color w:val="000000"/>
                <w:kern w:val="2"/>
                <w:sz w:val="24"/>
                <w:szCs w:val="24"/>
                <w:lang w:val="en-US" w:eastAsia="zh-CN"/>
              </w:rPr>
            </w:pPr>
            <w:r>
              <w:rPr>
                <w:rFonts w:ascii="仿宋_GB2312" w:cs="仿宋_GB2312" w:eastAsia="仿宋_GB2312" w:hAnsi="仿宋_GB2312" w:hint="eastAsia"/>
                <w:color w:val="000000"/>
                <w:sz w:val="24"/>
                <w:lang w:val="en-US" w:eastAsia="zh-CN"/>
              </w:rPr>
              <w:t>23</w:t>
            </w:r>
          </w:p>
        </w:tc>
        <w:tc>
          <w:tcPr>
            <w:tcW w:w="1479" w:type="dxa"/>
            <w:tcBorders/>
            <w:vAlign w:val="center"/>
          </w:tcPr>
          <w:p>
            <w:pPr>
              <w:pStyle w:val="style0"/>
              <w:autoSpaceDN w:val="false"/>
              <w:spacing w:lineRule="exact" w:line="320"/>
              <w:jc w:val="center"/>
              <w:textAlignment w:val="center"/>
              <w:rPr>
                <w:rFonts w:ascii="仿宋_GB2312" w:cs="仿宋_GB2312" w:eastAsia="仿宋_GB2312" w:hAnsi="仿宋_GB2312"/>
                <w:color w:val="000000"/>
                <w:kern w:val="2"/>
                <w:sz w:val="24"/>
                <w:szCs w:val="24"/>
                <w:lang w:val="en-US" w:eastAsia="zh-CN"/>
              </w:rPr>
            </w:pPr>
            <w:r>
              <w:rPr>
                <w:rFonts w:ascii="仿宋_GB2312" w:cs="仿宋_GB2312" w:eastAsia="仿宋_GB2312" w:hAnsi="仿宋_GB2312" w:hint="eastAsia"/>
                <w:color w:val="000000"/>
                <w:sz w:val="24"/>
              </w:rPr>
              <w:t>实有人数</w:t>
            </w:r>
          </w:p>
        </w:tc>
        <w:tc>
          <w:tcPr>
            <w:tcW w:w="3106" w:type="dxa"/>
            <w:gridSpan w:val="8"/>
            <w:tcBorders/>
            <w:vAlign w:val="center"/>
          </w:tcPr>
          <w:p>
            <w:pPr>
              <w:pStyle w:val="style0"/>
              <w:autoSpaceDN w:val="false"/>
              <w:spacing w:lineRule="exact" w:line="320"/>
              <w:jc w:val="center"/>
              <w:textAlignment w:val="center"/>
              <w:rPr>
                <w:rFonts w:ascii="仿宋_GB2312" w:cs="仿宋_GB2312" w:eastAsia="仿宋_GB2312" w:hAnsi="仿宋_GB2312" w:hint="eastAsia"/>
                <w:color w:val="000000"/>
                <w:kern w:val="2"/>
                <w:sz w:val="24"/>
                <w:szCs w:val="24"/>
                <w:lang w:val="en-US" w:eastAsia="zh-CN"/>
              </w:rPr>
            </w:pPr>
            <w:r>
              <w:rPr>
                <w:rFonts w:ascii="仿宋_GB2312" w:cs="仿宋_GB2312" w:eastAsia="仿宋_GB2312" w:hAnsi="仿宋_GB2312" w:hint="eastAsia"/>
                <w:color w:val="000000"/>
                <w:sz w:val="24"/>
                <w:lang w:val="en-US" w:eastAsia="zh-CN"/>
              </w:rPr>
              <w:t>25</w:t>
            </w:r>
          </w:p>
        </w:tc>
      </w:tr>
      <w:tr>
        <w:tblPrEx/>
        <w:trPr>
          <w:trHeight w:val="1500" w:hRule="atLeast"/>
          <w:jc w:val="center"/>
        </w:trPr>
        <w:tc>
          <w:tcPr>
            <w:tcW w:w="1654"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职能职责概述</w:t>
            </w:r>
          </w:p>
        </w:tc>
        <w:tc>
          <w:tcPr>
            <w:tcW w:w="8146" w:type="dxa"/>
            <w:gridSpan w:val="15"/>
            <w:tcBorders/>
            <w:vAlign w:val="center"/>
          </w:tcPr>
          <w:p>
            <w:pPr>
              <w:pStyle w:val="style0"/>
              <w:numPr>
                <w:ilvl w:val="0"/>
                <w:numId w:val="1"/>
              </w:numPr>
              <w:autoSpaceDN w:val="false"/>
              <w:spacing w:lineRule="auto" w:line="240"/>
              <w:ind w:left="479" w:leftChars="228" w:firstLine="0" w:firstLineChars="0"/>
              <w:jc w:val="left"/>
              <w:textAlignment w:val="center"/>
              <w:rPr>
                <w:rFonts w:ascii="仿宋_GB2312" w:cs="仿宋_GB2312" w:eastAsia="仿宋_GB2312" w:hAnsi="仿宋_GB2312" w:hint="eastAsia"/>
                <w:color w:val="000000"/>
                <w:sz w:val="24"/>
              </w:rPr>
            </w:pPr>
            <w:r>
              <w:rPr>
                <w:rFonts w:ascii="仿宋_GB2312" w:cs="仿宋_GB2312" w:eastAsia="仿宋_GB2312" w:hAnsi="仿宋_GB2312" w:hint="eastAsia"/>
                <w:color w:val="000000"/>
                <w:sz w:val="24"/>
              </w:rPr>
              <w:t>协助区政府领导组织起草或审核以区政府、区政府办名义发布的公文</w:t>
            </w:r>
            <w:r>
              <w:rPr>
                <w:rFonts w:ascii="仿宋_GB2312" w:cs="仿宋_GB2312" w:eastAsia="仿宋_GB2312" w:hAnsi="仿宋_GB2312" w:hint="eastAsia"/>
                <w:color w:val="000000"/>
                <w:sz w:val="24"/>
                <w:lang w:eastAsia="zh-CN"/>
              </w:rPr>
              <w:t>。</w:t>
            </w:r>
          </w:p>
          <w:p>
            <w:pPr>
              <w:pStyle w:val="style0"/>
              <w:numPr>
                <w:ilvl w:val="0"/>
                <w:numId w:val="0"/>
              </w:numPr>
              <w:autoSpaceDN w:val="false"/>
              <w:spacing w:lineRule="auto" w:line="240"/>
              <w:ind w:leftChars="0" w:firstLine="480" w:firstLineChars="200"/>
              <w:jc w:val="left"/>
              <w:textAlignment w:val="center"/>
              <w:rPr>
                <w:rFonts w:ascii="仿宋_GB2312" w:cs="仿宋_GB2312" w:eastAsia="仿宋_GB2312" w:hAnsi="仿宋_GB2312" w:hint="eastAsia"/>
                <w:color w:val="000000"/>
                <w:sz w:val="24"/>
              </w:rPr>
            </w:pPr>
            <w:r>
              <w:rPr>
                <w:rFonts w:ascii="仿宋_GB2312" w:cs="仿宋_GB2312" w:eastAsia="仿宋_GB2312" w:hAnsi="仿宋_GB2312" w:hint="eastAsia"/>
                <w:color w:val="000000"/>
                <w:sz w:val="24"/>
                <w:lang w:val="en-US" w:eastAsia="zh-CN"/>
              </w:rPr>
              <w:t>2.</w:t>
            </w:r>
            <w:r>
              <w:rPr>
                <w:rFonts w:ascii="仿宋_GB2312" w:cs="仿宋_GB2312" w:eastAsia="仿宋_GB2312" w:hAnsi="仿宋_GB2312" w:hint="eastAsia"/>
                <w:color w:val="000000"/>
                <w:sz w:val="24"/>
              </w:rPr>
              <w:t>受理并研究区政府各部门各镇（办）场请示区政府的事项，提出审核意见。</w:t>
            </w:r>
          </w:p>
          <w:p>
            <w:pPr>
              <w:pStyle w:val="style0"/>
              <w:numPr>
                <w:ilvl w:val="0"/>
                <w:numId w:val="0"/>
              </w:numPr>
              <w:autoSpaceDN w:val="false"/>
              <w:spacing w:lineRule="auto" w:line="240"/>
              <w:ind w:firstLine="480" w:firstLineChars="200"/>
              <w:jc w:val="left"/>
              <w:textAlignment w:val="center"/>
              <w:rPr>
                <w:rFonts w:ascii="仿宋_GB2312" w:cs="仿宋_GB2312" w:eastAsia="仿宋_GB2312" w:hAnsi="仿宋_GB2312" w:hint="eastAsia"/>
                <w:color w:val="000000"/>
                <w:sz w:val="24"/>
              </w:rPr>
            </w:pPr>
            <w:r>
              <w:rPr>
                <w:rFonts w:ascii="仿宋_GB2312" w:cs="仿宋_GB2312" w:eastAsia="仿宋_GB2312" w:hAnsi="仿宋_GB2312" w:hint="eastAsia"/>
                <w:color w:val="000000"/>
                <w:sz w:val="24"/>
              </w:rPr>
              <w:t>3.负责区政府会议的筹备工作。</w:t>
            </w:r>
          </w:p>
          <w:p>
            <w:pPr>
              <w:pStyle w:val="style0"/>
              <w:numPr>
                <w:ilvl w:val="0"/>
                <w:numId w:val="0"/>
              </w:numPr>
              <w:autoSpaceDN w:val="false"/>
              <w:spacing w:lineRule="auto" w:line="240"/>
              <w:ind w:firstLine="480" w:firstLineChars="200"/>
              <w:jc w:val="left"/>
              <w:textAlignment w:val="center"/>
              <w:rPr>
                <w:rFonts w:ascii="仿宋_GB2312" w:cs="仿宋_GB2312" w:eastAsia="仿宋_GB2312" w:hAnsi="仿宋_GB2312" w:hint="eastAsia"/>
                <w:color w:val="000000"/>
                <w:sz w:val="24"/>
              </w:rPr>
            </w:pPr>
            <w:r>
              <w:rPr>
                <w:rFonts w:ascii="仿宋_GB2312" w:cs="仿宋_GB2312" w:eastAsia="仿宋_GB2312" w:hAnsi="仿宋_GB2312" w:hint="eastAsia"/>
                <w:color w:val="000000"/>
                <w:sz w:val="24"/>
              </w:rPr>
              <w:t>4.督促检查区政府各部门和各镇（办）场对区政府公文、决定事项及区政府领导有关批示的贯彻落实情况。</w:t>
            </w:r>
          </w:p>
          <w:p>
            <w:pPr>
              <w:pStyle w:val="style0"/>
              <w:numPr>
                <w:ilvl w:val="0"/>
                <w:numId w:val="0"/>
              </w:numPr>
              <w:autoSpaceDN w:val="false"/>
              <w:spacing w:lineRule="auto" w:line="240"/>
              <w:ind w:firstLine="480" w:firstLineChars="200"/>
              <w:jc w:val="left"/>
              <w:textAlignment w:val="center"/>
              <w:rPr>
                <w:rFonts w:ascii="仿宋_GB2312" w:cs="仿宋_GB2312" w:eastAsia="仿宋_GB2312" w:hAnsi="仿宋_GB2312" w:hint="eastAsia"/>
                <w:color w:val="000000"/>
                <w:sz w:val="24"/>
              </w:rPr>
            </w:pPr>
            <w:r>
              <w:rPr>
                <w:rFonts w:ascii="仿宋_GB2312" w:cs="仿宋_GB2312" w:eastAsia="仿宋_GB2312" w:hAnsi="仿宋_GB2312" w:hint="eastAsia"/>
                <w:color w:val="000000"/>
                <w:sz w:val="24"/>
              </w:rPr>
              <w:t>5.负责区政府日常值班工作。</w:t>
            </w:r>
          </w:p>
          <w:p>
            <w:pPr>
              <w:pStyle w:val="style0"/>
              <w:numPr>
                <w:ilvl w:val="0"/>
                <w:numId w:val="0"/>
              </w:numPr>
              <w:autoSpaceDN w:val="false"/>
              <w:spacing w:lineRule="auto" w:line="240"/>
              <w:ind w:firstLine="480" w:firstLineChars="200"/>
              <w:jc w:val="left"/>
              <w:textAlignment w:val="center"/>
              <w:rPr>
                <w:rFonts w:ascii="仿宋_GB2312" w:cs="仿宋_GB2312" w:eastAsia="仿宋_GB2312" w:hAnsi="仿宋_GB2312" w:hint="eastAsia"/>
                <w:color w:val="000000"/>
                <w:sz w:val="24"/>
              </w:rPr>
            </w:pPr>
            <w:r>
              <w:rPr>
                <w:rFonts w:ascii="仿宋_GB2312" w:cs="仿宋_GB2312" w:eastAsia="仿宋_GB2312" w:hAnsi="仿宋_GB2312" w:hint="eastAsia"/>
                <w:color w:val="000000"/>
                <w:sz w:val="24"/>
              </w:rPr>
              <w:t>6.组织办理和答复人大代表建议和政协委员提案。</w:t>
            </w:r>
          </w:p>
          <w:p>
            <w:pPr>
              <w:pStyle w:val="style0"/>
              <w:numPr>
                <w:ilvl w:val="0"/>
                <w:numId w:val="0"/>
              </w:numPr>
              <w:autoSpaceDN w:val="false"/>
              <w:spacing w:lineRule="auto" w:line="240"/>
              <w:ind w:firstLine="480" w:firstLineChars="200"/>
              <w:jc w:val="left"/>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7.承办区委、区政府交办的其他事项。</w:t>
            </w:r>
          </w:p>
        </w:tc>
      </w:tr>
      <w:tr>
        <w:tblPrEx/>
        <w:trPr>
          <w:trHeight w:val="1408" w:hRule="atLeast"/>
          <w:jc w:val="center"/>
        </w:trPr>
        <w:tc>
          <w:tcPr>
            <w:tcW w:w="1654"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年度主要</w:t>
            </w:r>
          </w:p>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工作内容</w:t>
            </w:r>
          </w:p>
        </w:tc>
        <w:tc>
          <w:tcPr>
            <w:tcW w:w="8146" w:type="dxa"/>
            <w:gridSpan w:val="15"/>
            <w:tcBorders/>
            <w:vAlign w:val="center"/>
          </w:tcPr>
          <w:p>
            <w:pPr>
              <w:pStyle w:val="style0"/>
              <w:numPr>
                <w:ilvl w:val="0"/>
                <w:numId w:val="0"/>
              </w:numPr>
              <w:autoSpaceDN w:val="false"/>
              <w:spacing w:lineRule="auto" w:line="240"/>
              <w:jc w:val="left"/>
              <w:textAlignment w:val="center"/>
              <w:rPr>
                <w:rFonts w:ascii="仿宋_GB2312" w:cs="仿宋_GB2312" w:eastAsia="仿宋_GB2312" w:hAnsi="仿宋_GB2312" w:hint="eastAsia"/>
                <w:color w:val="000000"/>
                <w:sz w:val="24"/>
              </w:rPr>
            </w:pPr>
          </w:p>
          <w:p>
            <w:pPr>
              <w:pStyle w:val="style0"/>
              <w:numPr>
                <w:ilvl w:val="0"/>
                <w:numId w:val="0"/>
              </w:numPr>
              <w:autoSpaceDN w:val="false"/>
              <w:spacing w:lineRule="auto" w:line="240"/>
              <w:jc w:val="left"/>
              <w:textAlignment w:val="center"/>
              <w:rPr>
                <w:rFonts w:ascii="仿宋_GB2312" w:cs="仿宋_GB2312" w:eastAsia="仿宋_GB2312" w:hAnsi="仿宋_GB2312" w:hint="eastAsia"/>
                <w:color w:val="000000"/>
                <w:sz w:val="24"/>
                <w:lang w:eastAsia="zh-CN"/>
              </w:rPr>
            </w:pPr>
            <w:r>
              <w:rPr>
                <w:rFonts w:ascii="仿宋_GB2312" w:cs="仿宋_GB2312" w:eastAsia="仿宋_GB2312" w:hAnsi="仿宋_GB2312" w:hint="eastAsia"/>
                <w:color w:val="000000"/>
                <w:sz w:val="24"/>
              </w:rPr>
              <w:t>任务1：积极履行党建责任</w:t>
            </w:r>
            <w:r>
              <w:rPr>
                <w:rFonts w:ascii="仿宋_GB2312" w:cs="仿宋_GB2312" w:eastAsia="仿宋_GB2312" w:hAnsi="仿宋_GB2312" w:hint="eastAsia"/>
                <w:color w:val="000000"/>
                <w:sz w:val="24"/>
                <w:lang w:eastAsia="zh-CN"/>
              </w:rPr>
              <w:t>。</w:t>
            </w:r>
          </w:p>
          <w:p>
            <w:pPr>
              <w:pStyle w:val="style0"/>
              <w:numPr>
                <w:ilvl w:val="0"/>
                <w:numId w:val="0"/>
              </w:numPr>
              <w:autoSpaceDN w:val="false"/>
              <w:spacing w:lineRule="auto" w:line="240"/>
              <w:jc w:val="left"/>
              <w:textAlignment w:val="center"/>
              <w:rPr>
                <w:rFonts w:ascii="仿宋_GB2312" w:cs="仿宋_GB2312" w:eastAsia="仿宋_GB2312" w:hAnsi="仿宋_GB2312" w:hint="eastAsia"/>
                <w:color w:val="000000"/>
                <w:sz w:val="24"/>
              </w:rPr>
            </w:pPr>
            <w:r>
              <w:rPr>
                <w:rFonts w:ascii="仿宋_GB2312" w:cs="仿宋_GB2312" w:eastAsia="仿宋_GB2312" w:hAnsi="仿宋_GB2312" w:hint="eastAsia"/>
                <w:color w:val="000000"/>
                <w:sz w:val="24"/>
              </w:rPr>
              <w:t>任务2：坚守</w:t>
            </w:r>
            <w:r>
              <w:rPr>
                <w:rFonts w:ascii="仿宋_GB2312" w:cs="仿宋_GB2312" w:eastAsia="仿宋_GB2312" w:hAnsi="仿宋_GB2312" w:hint="eastAsia"/>
                <w:color w:val="000000"/>
                <w:sz w:val="24"/>
                <w:lang w:eastAsia="zh-CN"/>
              </w:rPr>
              <w:t>以人民为中心。</w:t>
            </w:r>
          </w:p>
          <w:p>
            <w:pPr>
              <w:pStyle w:val="style0"/>
              <w:numPr>
                <w:ilvl w:val="0"/>
                <w:numId w:val="0"/>
              </w:numPr>
              <w:autoSpaceDN w:val="false"/>
              <w:spacing w:lineRule="auto" w:line="240"/>
              <w:jc w:val="left"/>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rPr>
              <w:t>任务3：</w:t>
            </w:r>
            <w:r>
              <w:rPr>
                <w:rFonts w:ascii="仿宋_GB2312" w:cs="仿宋_GB2312" w:eastAsia="仿宋_GB2312" w:hAnsi="仿宋_GB2312" w:hint="eastAsia"/>
                <w:color w:val="000000"/>
                <w:sz w:val="24"/>
                <w:lang w:val="en-US" w:eastAsia="zh-CN"/>
              </w:rPr>
              <w:t>严肃党内政治生活。</w:t>
            </w:r>
          </w:p>
          <w:p>
            <w:pPr>
              <w:pStyle w:val="style0"/>
              <w:autoSpaceDN w:val="false"/>
              <w:spacing w:lineRule="exact" w:line="320"/>
              <w:jc w:val="left"/>
              <w:textAlignment w:val="center"/>
              <w:rPr>
                <w:rFonts w:ascii="仿宋_GB2312" w:cs="仿宋_GB2312" w:eastAsia="仿宋_GB2312" w:hAnsi="仿宋_GB2312"/>
                <w:color w:val="000000"/>
                <w:sz w:val="24"/>
              </w:rPr>
            </w:pPr>
          </w:p>
        </w:tc>
      </w:tr>
      <w:tr>
        <w:tblPrEx/>
        <w:trPr>
          <w:trHeight w:val="2055" w:hRule="atLeast"/>
          <w:jc w:val="center"/>
        </w:trPr>
        <w:tc>
          <w:tcPr>
            <w:tcW w:w="1654"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color w:val="000000"/>
                <w:spacing w:val="-6"/>
                <w:sz w:val="24"/>
              </w:rPr>
            </w:pPr>
            <w:r>
              <w:rPr>
                <w:rFonts w:ascii="仿宋_GB2312" w:cs="仿宋_GB2312" w:eastAsia="仿宋_GB2312" w:hAnsi="仿宋_GB2312" w:hint="eastAsia"/>
                <w:color w:val="000000"/>
                <w:spacing w:val="-6"/>
                <w:sz w:val="24"/>
              </w:rPr>
              <w:t>年度部门（单位）总体运行情况及取得的成绩</w:t>
            </w:r>
          </w:p>
        </w:tc>
        <w:tc>
          <w:tcPr>
            <w:tcW w:w="8146" w:type="dxa"/>
            <w:gridSpan w:val="15"/>
            <w:tcBorders/>
            <w:vAlign w:val="center"/>
          </w:tcPr>
          <w:p>
            <w:pPr>
              <w:pStyle w:val="style0"/>
              <w:autoSpaceDN w:val="false"/>
              <w:spacing w:lineRule="exact" w:line="320"/>
              <w:ind w:firstLine="480" w:firstLineChars="200"/>
              <w:jc w:val="left"/>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坚持用习近平新时代中国特色社会主义思想武装头脑、指导实践、推动工作</w:t>
            </w:r>
            <w:r>
              <w:rPr>
                <w:rFonts w:ascii="仿宋_GB2312" w:cs="仿宋_GB2312" w:eastAsia="仿宋_GB2312" w:hAnsi="仿宋_GB2312" w:hint="eastAsia"/>
                <w:color w:val="000000"/>
                <w:sz w:val="24"/>
                <w:lang w:eastAsia="zh-CN"/>
              </w:rPr>
              <w:t>，</w:t>
            </w:r>
            <w:r>
              <w:rPr>
                <w:rFonts w:ascii="仿宋_GB2312" w:cs="仿宋_GB2312" w:eastAsia="仿宋_GB2312" w:hAnsi="仿宋_GB2312" w:hint="eastAsia"/>
                <w:color w:val="000000"/>
                <w:sz w:val="24"/>
              </w:rPr>
              <w:t>发挥党建统领作用和领导班子核心作用，切实发挥党组织的战斗堡垒作用，团结和带领</w:t>
            </w:r>
            <w:r>
              <w:rPr>
                <w:rFonts w:ascii="仿宋_GB2312" w:cs="仿宋_GB2312" w:eastAsia="仿宋_GB2312" w:hAnsi="仿宋_GB2312" w:hint="eastAsia"/>
                <w:color w:val="000000"/>
                <w:sz w:val="24"/>
                <w:lang w:eastAsia="zh-CN"/>
              </w:rPr>
              <w:t>全体</w:t>
            </w:r>
            <w:r>
              <w:rPr>
                <w:rFonts w:ascii="仿宋_GB2312" w:cs="仿宋_GB2312" w:eastAsia="仿宋_GB2312" w:hAnsi="仿宋_GB2312" w:hint="eastAsia"/>
                <w:color w:val="000000"/>
                <w:sz w:val="24"/>
              </w:rPr>
              <w:t>职工围绕中心、服务大局、加压奋进，支部建设、组织生活、工作制度进一步规范</w:t>
            </w:r>
            <w:r>
              <w:rPr>
                <w:rFonts w:ascii="仿宋_GB2312" w:cs="仿宋_GB2312" w:eastAsia="仿宋_GB2312" w:hAnsi="仿宋_GB2312" w:hint="eastAsia"/>
                <w:color w:val="000000"/>
                <w:sz w:val="24"/>
                <w:lang w:eastAsia="zh-CN"/>
              </w:rPr>
              <w:t>。</w:t>
            </w:r>
            <w:r>
              <w:rPr>
                <w:rFonts w:ascii="仿宋_GB2312" w:cs="仿宋_GB2312" w:eastAsia="仿宋_GB2312" w:hAnsi="仿宋_GB2312" w:hint="eastAsia"/>
                <w:color w:val="000000"/>
                <w:sz w:val="24"/>
              </w:rPr>
              <w:t>认真</w:t>
            </w:r>
            <w:r>
              <w:rPr>
                <w:rFonts w:ascii="仿宋_GB2312" w:cs="仿宋_GB2312" w:eastAsia="仿宋_GB2312" w:hAnsi="仿宋_GB2312" w:hint="eastAsia"/>
                <w:color w:val="000000"/>
                <w:sz w:val="24"/>
                <w:lang w:val="en-US" w:eastAsia="zh-CN"/>
              </w:rPr>
              <w:t>落实“三会一课”、民主生活会、组织生活会、民主评议党员等制度。</w:t>
            </w:r>
          </w:p>
        </w:tc>
      </w:tr>
      <w:tr>
        <w:tblPrEx/>
        <w:trPr>
          <w:trHeight w:val="567" w:hRule="atLeast"/>
          <w:jc w:val="center"/>
        </w:trPr>
        <w:tc>
          <w:tcPr>
            <w:tcW w:w="9800" w:type="dxa"/>
            <w:gridSpan w:val="17"/>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黑体" w:cs="黑体" w:eastAsia="黑体" w:hAnsi="黑体" w:hint="eastAsia"/>
                <w:color w:val="000000"/>
                <w:sz w:val="28"/>
                <w:szCs w:val="28"/>
              </w:rPr>
              <w:t>二、部门（单位）收支情况</w:t>
            </w:r>
          </w:p>
        </w:tc>
      </w:tr>
      <w:tr>
        <w:tblPrEx/>
        <w:trPr>
          <w:trHeight w:val="567" w:hRule="atLeast"/>
          <w:jc w:val="center"/>
        </w:trPr>
        <w:tc>
          <w:tcPr>
            <w:tcW w:w="9800" w:type="dxa"/>
            <w:gridSpan w:val="17"/>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b/>
                <w:bCs/>
                <w:color w:val="000000"/>
                <w:sz w:val="24"/>
              </w:rPr>
              <w:t>年度收入情况（万元）</w:t>
            </w:r>
          </w:p>
        </w:tc>
      </w:tr>
      <w:tr>
        <w:tblPrEx/>
        <w:trPr>
          <w:trHeight w:val="567" w:hRule="atLeast"/>
          <w:jc w:val="center"/>
        </w:trPr>
        <w:tc>
          <w:tcPr>
            <w:tcW w:w="1700" w:type="dxa"/>
            <w:gridSpan w:val="3"/>
            <w:vMerge w:val="restart"/>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机构名称</w:t>
            </w:r>
          </w:p>
        </w:tc>
        <w:tc>
          <w:tcPr>
            <w:tcW w:w="1080" w:type="dxa"/>
            <w:vMerge w:val="restart"/>
            <w:tcBorders>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收入合计</w:t>
            </w:r>
          </w:p>
        </w:tc>
        <w:tc>
          <w:tcPr>
            <w:tcW w:w="7020" w:type="dxa"/>
            <w:gridSpan w:val="13"/>
            <w:tcBorders>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其中：</w:t>
            </w:r>
          </w:p>
        </w:tc>
      </w:tr>
      <w:tr>
        <w:tblPrEx/>
        <w:trPr>
          <w:trHeight w:val="1014" w:hRule="atLeast"/>
          <w:jc w:val="center"/>
        </w:trPr>
        <w:tc>
          <w:tcPr>
            <w:tcW w:w="1700" w:type="dxa"/>
            <w:gridSpan w:val="3"/>
            <w:vMerge w:val="continue"/>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1080" w:type="dxa"/>
            <w:vMerge w:val="continue"/>
            <w:tcBorders>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1355" w:type="dxa"/>
            <w:gridSpan w:val="2"/>
            <w:tcBorders>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上年结转</w:t>
            </w:r>
          </w:p>
        </w:tc>
        <w:tc>
          <w:tcPr>
            <w:tcW w:w="1080"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公共财</w:t>
            </w:r>
          </w:p>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政拨款</w:t>
            </w:r>
          </w:p>
        </w:tc>
        <w:tc>
          <w:tcPr>
            <w:tcW w:w="1705"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政府基金拨款</w:t>
            </w:r>
          </w:p>
        </w:tc>
        <w:tc>
          <w:tcPr>
            <w:tcW w:w="1800" w:type="dxa"/>
            <w:gridSpan w:val="4"/>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纳入专户管理的非税收入拨款</w:t>
            </w:r>
          </w:p>
        </w:tc>
        <w:tc>
          <w:tcPr>
            <w:tcW w:w="1080" w:type="dxa"/>
            <w:gridSpan w:val="3"/>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其他</w:t>
            </w:r>
          </w:p>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收入</w:t>
            </w:r>
          </w:p>
        </w:tc>
      </w:tr>
      <w:tr>
        <w:tblPrEx/>
        <w:trPr>
          <w:trHeight w:val="772" w:hRule="atLeast"/>
          <w:jc w:val="center"/>
        </w:trPr>
        <w:tc>
          <w:tcPr>
            <w:tcW w:w="1700" w:type="dxa"/>
            <w:gridSpan w:val="3"/>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局机关及二级机构汇总</w:t>
            </w:r>
          </w:p>
        </w:tc>
        <w:tc>
          <w:tcPr>
            <w:tcW w:w="1080" w:type="dxa"/>
            <w:tcBorders>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仿宋_GB2312" w:hint="eastAsia"/>
                <w:color w:val="000000"/>
                <w:sz w:val="24"/>
                <w:lang w:val="en-US" w:eastAsia="zh-CN"/>
              </w:rPr>
              <w:t>1443.09</w:t>
            </w:r>
          </w:p>
        </w:tc>
        <w:tc>
          <w:tcPr>
            <w:tcW w:w="1355" w:type="dxa"/>
            <w:gridSpan w:val="2"/>
            <w:tcBorders>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1080"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仿宋_GB2312" w:hint="eastAsia"/>
                <w:color w:val="000000"/>
                <w:sz w:val="24"/>
                <w:lang w:val="en-US" w:eastAsia="zh-CN"/>
              </w:rPr>
              <w:t>1427.67</w:t>
            </w:r>
          </w:p>
        </w:tc>
        <w:tc>
          <w:tcPr>
            <w:tcW w:w="1705"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1800" w:type="dxa"/>
            <w:gridSpan w:val="4"/>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1080" w:type="dxa"/>
            <w:gridSpan w:val="3"/>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仿宋_GB2312" w:hint="eastAsia"/>
                <w:color w:val="000000"/>
                <w:sz w:val="24"/>
                <w:lang w:val="en-US" w:eastAsia="zh-CN"/>
              </w:rPr>
              <w:t>15.42</w:t>
            </w:r>
          </w:p>
        </w:tc>
      </w:tr>
      <w:tr>
        <w:tblPrEx/>
        <w:trPr>
          <w:trHeight w:val="567" w:hRule="atLeast"/>
          <w:jc w:val="center"/>
        </w:trPr>
        <w:tc>
          <w:tcPr>
            <w:tcW w:w="1700" w:type="dxa"/>
            <w:gridSpan w:val="3"/>
            <w:tcBorders/>
            <w:vAlign w:val="center"/>
          </w:tcPr>
          <w:p>
            <w:pPr>
              <w:pStyle w:val="style0"/>
              <w:spacing w:lineRule="exact" w:line="320"/>
              <w:rPr>
                <w:rFonts w:ascii="仿宋_GB2312" w:cs="仿宋_GB2312" w:eastAsia="仿宋_GB2312" w:hAnsi="仿宋_GB2312"/>
                <w:sz w:val="24"/>
              </w:rPr>
            </w:pPr>
            <w:r>
              <w:rPr>
                <w:rFonts w:ascii="仿宋_GB2312" w:cs="仿宋_GB2312" w:eastAsia="仿宋_GB2312" w:hAnsi="仿宋_GB2312" w:hint="eastAsia"/>
                <w:sz w:val="24"/>
              </w:rPr>
              <w:t>1、局机关</w:t>
            </w:r>
          </w:p>
        </w:tc>
        <w:tc>
          <w:tcPr>
            <w:tcW w:w="1080" w:type="dxa"/>
            <w:tcBorders>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kern w:val="2"/>
                <w:sz w:val="24"/>
                <w:szCs w:val="24"/>
                <w:lang w:val="en-US" w:eastAsia="zh-CN"/>
              </w:rPr>
            </w:pPr>
            <w:r>
              <w:rPr>
                <w:rFonts w:ascii="仿宋_GB2312" w:cs="仿宋_GB2312" w:eastAsia="仿宋_GB2312" w:hAnsi="仿宋_GB2312" w:hint="eastAsia"/>
                <w:color w:val="000000"/>
                <w:sz w:val="24"/>
                <w:lang w:val="en-US" w:eastAsia="zh-CN"/>
              </w:rPr>
              <w:t>1337.83</w:t>
            </w:r>
          </w:p>
        </w:tc>
        <w:tc>
          <w:tcPr>
            <w:tcW w:w="1355" w:type="dxa"/>
            <w:gridSpan w:val="2"/>
            <w:tcBorders>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kern w:val="2"/>
                <w:sz w:val="24"/>
                <w:szCs w:val="24"/>
                <w:lang w:val="en-US" w:eastAsia="zh-CN"/>
              </w:rPr>
            </w:pPr>
          </w:p>
        </w:tc>
        <w:tc>
          <w:tcPr>
            <w:tcW w:w="1080"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kern w:val="2"/>
                <w:sz w:val="24"/>
                <w:szCs w:val="24"/>
                <w:lang w:val="en-US" w:eastAsia="zh-CN"/>
              </w:rPr>
            </w:pPr>
            <w:r>
              <w:rPr>
                <w:rFonts w:ascii="仿宋_GB2312" w:cs="仿宋_GB2312" w:eastAsia="仿宋_GB2312" w:hAnsi="仿宋_GB2312" w:hint="eastAsia"/>
                <w:color w:val="000000"/>
                <w:sz w:val="24"/>
                <w:lang w:val="en-US" w:eastAsia="zh-CN"/>
              </w:rPr>
              <w:t>1322.41</w:t>
            </w:r>
          </w:p>
        </w:tc>
        <w:tc>
          <w:tcPr>
            <w:tcW w:w="1705"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color w:val="000000"/>
                <w:kern w:val="2"/>
                <w:sz w:val="24"/>
                <w:szCs w:val="24"/>
                <w:lang w:val="en-US" w:eastAsia="zh-CN"/>
              </w:rPr>
            </w:pPr>
          </w:p>
        </w:tc>
        <w:tc>
          <w:tcPr>
            <w:tcW w:w="1800" w:type="dxa"/>
            <w:gridSpan w:val="4"/>
            <w:tcBorders/>
            <w:vAlign w:val="center"/>
          </w:tcPr>
          <w:p>
            <w:pPr>
              <w:pStyle w:val="style0"/>
              <w:autoSpaceDN w:val="false"/>
              <w:spacing w:lineRule="exact" w:line="320"/>
              <w:jc w:val="center"/>
              <w:textAlignment w:val="center"/>
              <w:rPr>
                <w:rFonts w:ascii="仿宋_GB2312" w:cs="仿宋_GB2312" w:eastAsia="仿宋_GB2312" w:hAnsi="仿宋_GB2312"/>
                <w:color w:val="000000"/>
                <w:kern w:val="2"/>
                <w:sz w:val="24"/>
                <w:szCs w:val="24"/>
                <w:lang w:val="en-US" w:eastAsia="zh-CN"/>
              </w:rPr>
            </w:pPr>
          </w:p>
        </w:tc>
        <w:tc>
          <w:tcPr>
            <w:tcW w:w="1080" w:type="dxa"/>
            <w:gridSpan w:val="3"/>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kern w:val="2"/>
                <w:sz w:val="24"/>
                <w:szCs w:val="24"/>
                <w:lang w:val="en-US" w:eastAsia="zh-CN"/>
              </w:rPr>
            </w:pPr>
            <w:r>
              <w:rPr>
                <w:rFonts w:ascii="仿宋_GB2312" w:cs="仿宋_GB2312" w:eastAsia="仿宋_GB2312" w:hAnsi="仿宋_GB2312" w:hint="eastAsia"/>
                <w:color w:val="000000"/>
                <w:sz w:val="24"/>
                <w:lang w:val="en-US" w:eastAsia="zh-CN"/>
              </w:rPr>
              <w:t>15.42</w:t>
            </w:r>
          </w:p>
        </w:tc>
      </w:tr>
      <w:tr>
        <w:tblPrEx/>
        <w:trPr>
          <w:trHeight w:val="567" w:hRule="atLeast"/>
          <w:jc w:val="center"/>
        </w:trPr>
        <w:tc>
          <w:tcPr>
            <w:tcW w:w="1700" w:type="dxa"/>
            <w:gridSpan w:val="3"/>
            <w:tcBorders/>
            <w:vAlign w:val="center"/>
          </w:tcPr>
          <w:p>
            <w:pPr>
              <w:pStyle w:val="style0"/>
              <w:spacing w:lineRule="exact" w:line="320"/>
              <w:rPr>
                <w:rFonts w:ascii="仿宋_GB2312" w:cs="仿宋_GB2312" w:eastAsia="仿宋_GB2312" w:hAnsi="仿宋_GB2312"/>
                <w:sz w:val="24"/>
              </w:rPr>
            </w:pPr>
            <w:r>
              <w:rPr>
                <w:rFonts w:ascii="仿宋_GB2312" w:cs="仿宋_GB2312" w:eastAsia="仿宋_GB2312" w:hAnsi="仿宋_GB2312" w:hint="eastAsia"/>
                <w:sz w:val="24"/>
              </w:rPr>
              <w:t>2、二级机构1</w:t>
            </w:r>
          </w:p>
        </w:tc>
        <w:tc>
          <w:tcPr>
            <w:tcW w:w="1080" w:type="dxa"/>
            <w:tcBorders>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仿宋_GB2312" w:hint="eastAsia"/>
                <w:color w:val="000000"/>
                <w:sz w:val="24"/>
                <w:lang w:val="en-US" w:eastAsia="zh-CN"/>
              </w:rPr>
              <w:t>56.62</w:t>
            </w:r>
          </w:p>
        </w:tc>
        <w:tc>
          <w:tcPr>
            <w:tcW w:w="1355" w:type="dxa"/>
            <w:gridSpan w:val="2"/>
            <w:tcBorders>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1080"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仿宋_GB2312" w:hint="eastAsia"/>
                <w:color w:val="000000"/>
                <w:sz w:val="24"/>
                <w:lang w:val="en-US" w:eastAsia="zh-CN"/>
              </w:rPr>
              <w:t>56.62</w:t>
            </w:r>
          </w:p>
        </w:tc>
        <w:tc>
          <w:tcPr>
            <w:tcW w:w="1705"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1800" w:type="dxa"/>
            <w:gridSpan w:val="4"/>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1080" w:type="dxa"/>
            <w:gridSpan w:val="3"/>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r>
      <w:tr>
        <w:tblPrEx/>
        <w:trPr>
          <w:trHeight w:val="567" w:hRule="atLeast"/>
          <w:jc w:val="center"/>
        </w:trPr>
        <w:tc>
          <w:tcPr>
            <w:tcW w:w="1700" w:type="dxa"/>
            <w:gridSpan w:val="3"/>
            <w:tcBorders/>
            <w:vAlign w:val="center"/>
          </w:tcPr>
          <w:p>
            <w:pPr>
              <w:pStyle w:val="style0"/>
              <w:spacing w:lineRule="exact" w:line="320"/>
              <w:rPr>
                <w:rFonts w:ascii="仿宋_GB2312" w:cs="仿宋_GB2312" w:eastAsia="仿宋_GB2312" w:hAnsi="仿宋_GB2312"/>
                <w:sz w:val="24"/>
              </w:rPr>
            </w:pPr>
            <w:r>
              <w:rPr>
                <w:rFonts w:ascii="仿宋_GB2312" w:cs="仿宋_GB2312" w:eastAsia="仿宋_GB2312" w:hAnsi="仿宋_GB2312" w:hint="eastAsia"/>
                <w:sz w:val="24"/>
              </w:rPr>
              <w:t>3、二级机构2</w:t>
            </w:r>
          </w:p>
        </w:tc>
        <w:tc>
          <w:tcPr>
            <w:tcW w:w="1080" w:type="dxa"/>
            <w:tcBorders>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仿宋_GB2312" w:hint="eastAsia"/>
                <w:color w:val="000000"/>
                <w:sz w:val="24"/>
                <w:lang w:val="en-US" w:eastAsia="zh-CN"/>
              </w:rPr>
              <w:t>48.64</w:t>
            </w:r>
          </w:p>
        </w:tc>
        <w:tc>
          <w:tcPr>
            <w:tcW w:w="1355" w:type="dxa"/>
            <w:gridSpan w:val="2"/>
            <w:tcBorders>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1080"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仿宋_GB2312" w:hint="eastAsia"/>
                <w:color w:val="000000"/>
                <w:sz w:val="24"/>
                <w:lang w:val="en-US" w:eastAsia="zh-CN"/>
              </w:rPr>
              <w:t>48.64</w:t>
            </w:r>
          </w:p>
        </w:tc>
        <w:tc>
          <w:tcPr>
            <w:tcW w:w="1705"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1800" w:type="dxa"/>
            <w:gridSpan w:val="4"/>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1080" w:type="dxa"/>
            <w:gridSpan w:val="3"/>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r>
      <w:tr>
        <w:tblPrEx/>
        <w:trPr>
          <w:trHeight w:val="624" w:hRule="atLeast"/>
          <w:jc w:val="center"/>
        </w:trPr>
        <w:tc>
          <w:tcPr>
            <w:tcW w:w="9800" w:type="dxa"/>
            <w:gridSpan w:val="17"/>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b/>
                <w:bCs/>
                <w:color w:val="000000"/>
                <w:sz w:val="24"/>
              </w:rPr>
              <w:t>部门（单位）年度支出和结余情况（万元）</w:t>
            </w:r>
          </w:p>
        </w:tc>
      </w:tr>
      <w:tr>
        <w:tblPrEx/>
        <w:trPr>
          <w:trHeight w:val="624" w:hRule="atLeast"/>
          <w:jc w:val="center"/>
        </w:trPr>
        <w:tc>
          <w:tcPr>
            <w:tcW w:w="1700" w:type="dxa"/>
            <w:gridSpan w:val="3"/>
            <w:vMerge w:val="restart"/>
            <w:tcBorders/>
            <w:vAlign w:val="center"/>
          </w:tcPr>
          <w:p>
            <w:pPr>
              <w:pStyle w:val="style0"/>
              <w:snapToGrid w:val="false"/>
              <w:spacing w:lineRule="exact" w:line="320"/>
              <w:jc w:val="center"/>
              <w:rPr>
                <w:rFonts w:ascii="仿宋_GB2312" w:cs="仿宋_GB2312" w:eastAsia="仿宋_GB2312" w:hAnsi="仿宋_GB2312"/>
                <w:sz w:val="24"/>
              </w:rPr>
            </w:pPr>
            <w:r>
              <w:rPr>
                <w:rFonts w:ascii="仿宋_GB2312" w:cs="仿宋_GB2312" w:eastAsia="仿宋_GB2312" w:hAnsi="仿宋_GB2312" w:hint="eastAsia"/>
                <w:sz w:val="24"/>
              </w:rPr>
              <w:t>机构名称</w:t>
            </w:r>
          </w:p>
        </w:tc>
        <w:tc>
          <w:tcPr>
            <w:tcW w:w="1080" w:type="dxa"/>
            <w:vMerge w:val="restart"/>
            <w:tcBorders>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支出合计</w:t>
            </w:r>
          </w:p>
        </w:tc>
        <w:tc>
          <w:tcPr>
            <w:tcW w:w="5675" w:type="dxa"/>
            <w:gridSpan w:val="9"/>
            <w:tcBorders>
              <w:left w:val="single" w:sz="4" w:space="0" w:color="auto"/>
              <w:bottom w:val="single" w:sz="4" w:space="0" w:color="auto"/>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其中：</w:t>
            </w:r>
          </w:p>
        </w:tc>
        <w:tc>
          <w:tcPr>
            <w:tcW w:w="1345" w:type="dxa"/>
            <w:gridSpan w:val="4"/>
            <w:tcBorders>
              <w:left w:val="single" w:sz="4" w:space="0" w:color="auto"/>
              <w:bottom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结余</w:t>
            </w:r>
          </w:p>
        </w:tc>
      </w:tr>
      <w:tr>
        <w:tblPrEx/>
        <w:trPr>
          <w:trHeight w:val="624" w:hRule="atLeast"/>
          <w:jc w:val="center"/>
        </w:trPr>
        <w:tc>
          <w:tcPr>
            <w:tcW w:w="1700" w:type="dxa"/>
            <w:gridSpan w:val="3"/>
            <w:vMerge w:val="continue"/>
            <w:tcBorders/>
            <w:vAlign w:val="center"/>
          </w:tcPr>
          <w:p>
            <w:pPr>
              <w:pStyle w:val="style0"/>
              <w:spacing w:lineRule="exact" w:line="320"/>
              <w:jc w:val="center"/>
              <w:rPr>
                <w:rFonts w:ascii="仿宋_GB2312" w:cs="仿宋_GB2312" w:eastAsia="仿宋_GB2312" w:hAnsi="仿宋_GB2312"/>
                <w:sz w:val="24"/>
              </w:rPr>
            </w:pPr>
          </w:p>
        </w:tc>
        <w:tc>
          <w:tcPr>
            <w:tcW w:w="1080" w:type="dxa"/>
            <w:vMerge w:val="continue"/>
            <w:tcBorders>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1355" w:type="dxa"/>
            <w:gridSpan w:val="2"/>
            <w:vMerge w:val="restart"/>
            <w:tcBorders>
              <w:top w:val="single" w:sz="4" w:space="0" w:color="auto"/>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基本支出</w:t>
            </w:r>
          </w:p>
        </w:tc>
        <w:tc>
          <w:tcPr>
            <w:tcW w:w="3240" w:type="dxa"/>
            <w:gridSpan w:val="6"/>
            <w:tcBorders>
              <w:top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其中：</w:t>
            </w:r>
          </w:p>
        </w:tc>
        <w:tc>
          <w:tcPr>
            <w:tcW w:w="1080" w:type="dxa"/>
            <w:vMerge w:val="restart"/>
            <w:tcBorders>
              <w:top w:val="single" w:sz="4" w:space="0" w:color="auto"/>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项目支出</w:t>
            </w:r>
          </w:p>
        </w:tc>
        <w:tc>
          <w:tcPr>
            <w:tcW w:w="780" w:type="dxa"/>
            <w:gridSpan w:val="3"/>
            <w:vMerge w:val="restart"/>
            <w:tcBorders>
              <w:top w:val="single" w:sz="4" w:space="0" w:color="auto"/>
              <w:left w:val="single" w:sz="4" w:space="0" w:color="auto"/>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当年结余</w:t>
            </w:r>
          </w:p>
        </w:tc>
        <w:tc>
          <w:tcPr>
            <w:tcW w:w="565" w:type="dxa"/>
            <w:vMerge w:val="restart"/>
            <w:tcBorders>
              <w:top w:val="single" w:sz="4" w:space="0" w:color="auto"/>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累计结余</w:t>
            </w:r>
          </w:p>
        </w:tc>
      </w:tr>
      <w:tr>
        <w:tblPrEx/>
        <w:trPr>
          <w:trHeight w:val="624" w:hRule="atLeast"/>
          <w:jc w:val="center"/>
        </w:trPr>
        <w:tc>
          <w:tcPr>
            <w:tcW w:w="1700" w:type="dxa"/>
            <w:gridSpan w:val="3"/>
            <w:vMerge w:val="continue"/>
            <w:tcBorders/>
            <w:vAlign w:val="center"/>
          </w:tcPr>
          <w:p>
            <w:pPr>
              <w:pStyle w:val="style0"/>
              <w:spacing w:lineRule="exact" w:line="320"/>
              <w:jc w:val="center"/>
              <w:rPr>
                <w:rFonts w:ascii="仿宋_GB2312" w:cs="仿宋_GB2312" w:eastAsia="仿宋_GB2312" w:hAnsi="仿宋_GB2312"/>
                <w:sz w:val="24"/>
              </w:rPr>
            </w:pPr>
          </w:p>
        </w:tc>
        <w:tc>
          <w:tcPr>
            <w:tcW w:w="1080" w:type="dxa"/>
            <w:vMerge w:val="continue"/>
            <w:tcBorders>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1355" w:type="dxa"/>
            <w:gridSpan w:val="2"/>
            <w:vMerge w:val="continue"/>
            <w:tcBorders>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1080"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人员支出</w:t>
            </w:r>
          </w:p>
        </w:tc>
        <w:tc>
          <w:tcPr>
            <w:tcW w:w="2160" w:type="dxa"/>
            <w:gridSpan w:val="4"/>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公用支出</w:t>
            </w:r>
          </w:p>
        </w:tc>
        <w:tc>
          <w:tcPr>
            <w:tcW w:w="1080" w:type="dxa"/>
            <w:vMerge w:val="continue"/>
            <w:tcBorders>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780" w:type="dxa"/>
            <w:gridSpan w:val="3"/>
            <w:vMerge w:val="continue"/>
            <w:tcBorders>
              <w:left w:val="single" w:sz="4" w:space="0" w:color="auto"/>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565" w:type="dxa"/>
            <w:vMerge w:val="continue"/>
            <w:tcBorders>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r>
      <w:tr>
        <w:tblPrEx/>
        <w:trPr>
          <w:trHeight w:val="877" w:hRule="atLeast"/>
          <w:jc w:val="center"/>
        </w:trPr>
        <w:tc>
          <w:tcPr>
            <w:tcW w:w="1700" w:type="dxa"/>
            <w:gridSpan w:val="3"/>
            <w:tcBorders/>
            <w:vAlign w:val="center"/>
          </w:tcPr>
          <w:p>
            <w:pPr>
              <w:pStyle w:val="style0"/>
              <w:spacing w:lineRule="exact" w:line="320"/>
              <w:jc w:val="left"/>
              <w:rPr>
                <w:rFonts w:ascii="仿宋_GB2312" w:cs="仿宋_GB2312" w:eastAsia="仿宋_GB2312" w:hAnsi="仿宋_GB2312"/>
                <w:sz w:val="24"/>
              </w:rPr>
            </w:pPr>
            <w:r>
              <w:rPr>
                <w:rFonts w:ascii="仿宋_GB2312" w:cs="仿宋_GB2312" w:eastAsia="仿宋_GB2312" w:hAnsi="仿宋_GB2312" w:hint="eastAsia"/>
                <w:color w:val="000000"/>
                <w:sz w:val="24"/>
              </w:rPr>
              <w:t>局机关及二级机构汇总</w:t>
            </w:r>
          </w:p>
        </w:tc>
        <w:tc>
          <w:tcPr>
            <w:tcW w:w="1080" w:type="dxa"/>
            <w:tcBorders>
              <w:right w:val="single" w:sz="4" w:space="0" w:color="auto"/>
            </w:tcBorders>
            <w:vAlign w:val="center"/>
          </w:tcPr>
          <w:p>
            <w:pPr>
              <w:pStyle w:val="style0"/>
              <w:keepNext w:val="false"/>
              <w:keepLines w:val="false"/>
              <w:widowControl/>
              <w:suppressLineNumbers w:val="false"/>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宋体" w:hint="eastAsia"/>
                <w:i w:val="false"/>
                <w:iCs w:val="false"/>
                <w:color w:val="000000"/>
                <w:kern w:val="0"/>
                <w:sz w:val="24"/>
                <w:szCs w:val="24"/>
                <w:u w:val="none"/>
                <w:lang w:val="en-US" w:eastAsia="zh-CN"/>
              </w:rPr>
              <w:t>1434.24</w:t>
            </w:r>
          </w:p>
        </w:tc>
        <w:tc>
          <w:tcPr>
            <w:tcW w:w="1355" w:type="dxa"/>
            <w:gridSpan w:val="2"/>
            <w:tcBorders>
              <w:left w:val="single" w:sz="4" w:space="0" w:color="auto"/>
            </w:tcBorders>
            <w:vAlign w:val="center"/>
          </w:tcPr>
          <w:p>
            <w:pPr>
              <w:pStyle w:val="style0"/>
              <w:keepNext w:val="false"/>
              <w:keepLines w:val="false"/>
              <w:widowControl/>
              <w:suppressLineNumbers w:val="false"/>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宋体" w:hint="eastAsia"/>
                <w:i w:val="false"/>
                <w:iCs w:val="false"/>
                <w:color w:val="000000"/>
                <w:kern w:val="0"/>
                <w:sz w:val="24"/>
                <w:szCs w:val="24"/>
                <w:u w:val="none"/>
                <w:lang w:val="en-US" w:eastAsia="zh-CN"/>
              </w:rPr>
              <w:t>1359.2</w:t>
            </w:r>
          </w:p>
        </w:tc>
        <w:tc>
          <w:tcPr>
            <w:tcW w:w="1080" w:type="dxa"/>
            <w:gridSpan w:val="2"/>
            <w:tcBorders/>
            <w:vAlign w:val="center"/>
          </w:tcPr>
          <w:p>
            <w:pPr>
              <w:pStyle w:val="style0"/>
              <w:keepNext w:val="false"/>
              <w:keepLines w:val="false"/>
              <w:widowControl/>
              <w:suppressLineNumbers w:val="false"/>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宋体" w:hint="eastAsia"/>
                <w:i w:val="false"/>
                <w:iCs w:val="false"/>
                <w:color w:val="000000"/>
                <w:kern w:val="0"/>
                <w:sz w:val="24"/>
                <w:szCs w:val="24"/>
                <w:u w:val="none"/>
                <w:lang w:val="en-US" w:eastAsia="zh-CN"/>
              </w:rPr>
              <w:t>898.7</w:t>
            </w:r>
          </w:p>
        </w:tc>
        <w:tc>
          <w:tcPr>
            <w:tcW w:w="2160" w:type="dxa"/>
            <w:gridSpan w:val="4"/>
            <w:tcBorders/>
            <w:vAlign w:val="center"/>
          </w:tcPr>
          <w:p>
            <w:pPr>
              <w:pStyle w:val="style0"/>
              <w:keepNext w:val="false"/>
              <w:keepLines w:val="false"/>
              <w:widowControl/>
              <w:suppressLineNumbers w:val="false"/>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宋体" w:hint="eastAsia"/>
                <w:i w:val="false"/>
                <w:iCs w:val="false"/>
                <w:color w:val="000000"/>
                <w:kern w:val="0"/>
                <w:sz w:val="24"/>
                <w:szCs w:val="24"/>
                <w:u w:val="none"/>
                <w:lang w:val="en-US" w:eastAsia="zh-CN"/>
              </w:rPr>
              <w:t>460.5</w:t>
            </w:r>
          </w:p>
        </w:tc>
        <w:tc>
          <w:tcPr>
            <w:tcW w:w="1080" w:type="dxa"/>
            <w:tcBorders/>
            <w:vAlign w:val="center"/>
          </w:tcPr>
          <w:p>
            <w:pPr>
              <w:pStyle w:val="style0"/>
              <w:keepNext w:val="false"/>
              <w:keepLines w:val="false"/>
              <w:widowControl/>
              <w:suppressLineNumbers w:val="false"/>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宋体" w:hint="eastAsia"/>
                <w:i w:val="false"/>
                <w:iCs w:val="false"/>
                <w:color w:val="000000"/>
                <w:kern w:val="0"/>
                <w:sz w:val="24"/>
                <w:szCs w:val="24"/>
                <w:u w:val="none"/>
                <w:lang w:val="en-US" w:eastAsia="zh-CN"/>
              </w:rPr>
              <w:t>75.04</w:t>
            </w:r>
          </w:p>
        </w:tc>
        <w:tc>
          <w:tcPr>
            <w:tcW w:w="780" w:type="dxa"/>
            <w:gridSpan w:val="3"/>
            <w:tcBorders>
              <w:right w:val="single" w:sz="4" w:space="0" w:color="auto"/>
            </w:tcBorders>
            <w:vAlign w:val="center"/>
          </w:tcPr>
          <w:p>
            <w:pPr>
              <w:pStyle w:val="style0"/>
              <w:keepNext w:val="false"/>
              <w:keepLines w:val="false"/>
              <w:widowControl/>
              <w:suppressLineNumbers w:val="false"/>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宋体" w:hint="eastAsia"/>
                <w:i w:val="false"/>
                <w:iCs w:val="false"/>
                <w:color w:val="000000"/>
                <w:kern w:val="0"/>
                <w:sz w:val="24"/>
                <w:szCs w:val="24"/>
                <w:u w:val="none"/>
                <w:lang w:val="en-US" w:eastAsia="zh-CN"/>
              </w:rPr>
              <w:t>8.85</w:t>
            </w:r>
          </w:p>
        </w:tc>
        <w:tc>
          <w:tcPr>
            <w:tcW w:w="565" w:type="dxa"/>
            <w:tcBorders>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r>
      <w:tr>
        <w:tblPrEx/>
        <w:trPr>
          <w:trHeight w:val="624" w:hRule="atLeast"/>
          <w:jc w:val="center"/>
        </w:trPr>
        <w:tc>
          <w:tcPr>
            <w:tcW w:w="1700" w:type="dxa"/>
            <w:gridSpan w:val="3"/>
            <w:tcBorders/>
            <w:vAlign w:val="center"/>
          </w:tcPr>
          <w:p>
            <w:pPr>
              <w:pStyle w:val="style0"/>
              <w:spacing w:lineRule="exact" w:line="320"/>
              <w:jc w:val="left"/>
              <w:rPr>
                <w:rFonts w:ascii="仿宋_GB2312" w:cs="仿宋_GB2312" w:eastAsia="仿宋_GB2312" w:hAnsi="仿宋_GB2312"/>
                <w:color w:val="000000"/>
                <w:sz w:val="24"/>
              </w:rPr>
            </w:pPr>
            <w:r>
              <w:rPr>
                <w:rFonts w:ascii="仿宋_GB2312" w:cs="仿宋_GB2312" w:eastAsia="仿宋_GB2312" w:hAnsi="仿宋_GB2312" w:hint="eastAsia"/>
                <w:sz w:val="24"/>
              </w:rPr>
              <w:t>1、局机关</w:t>
            </w:r>
          </w:p>
        </w:tc>
        <w:tc>
          <w:tcPr>
            <w:tcW w:w="1080" w:type="dxa"/>
            <w:tcBorders>
              <w:right w:val="single" w:sz="4" w:space="0" w:color="auto"/>
            </w:tcBorders>
            <w:vAlign w:val="center"/>
          </w:tcPr>
          <w:p>
            <w:pPr>
              <w:pStyle w:val="style0"/>
              <w:keepNext w:val="false"/>
              <w:keepLines w:val="false"/>
              <w:widowControl/>
              <w:suppressLineNumbers w:val="false"/>
              <w:jc w:val="center"/>
              <w:textAlignment w:val="center"/>
              <w:rPr>
                <w:rFonts w:ascii="仿宋_GB2312" w:cs="仿宋_GB2312" w:eastAsia="仿宋_GB2312" w:hAnsi="仿宋_GB2312" w:hint="default"/>
                <w:color w:val="000000"/>
                <w:kern w:val="2"/>
                <w:sz w:val="24"/>
                <w:szCs w:val="24"/>
                <w:lang w:val="en-US" w:eastAsia="zh-CN"/>
              </w:rPr>
            </w:pPr>
            <w:r>
              <w:rPr>
                <w:rFonts w:ascii="仿宋_GB2312" w:cs="仿宋_GB2312" w:eastAsia="仿宋_GB2312" w:hAnsi="宋体" w:hint="eastAsia"/>
                <w:i w:val="false"/>
                <w:iCs w:val="false"/>
                <w:color w:val="000000"/>
                <w:kern w:val="0"/>
                <w:sz w:val="24"/>
                <w:szCs w:val="24"/>
                <w:u w:val="none"/>
                <w:lang w:val="en-US" w:eastAsia="zh-CN"/>
              </w:rPr>
              <w:t>1328.98</w:t>
            </w:r>
          </w:p>
        </w:tc>
        <w:tc>
          <w:tcPr>
            <w:tcW w:w="1355" w:type="dxa"/>
            <w:gridSpan w:val="2"/>
            <w:tcBorders>
              <w:left w:val="single" w:sz="4" w:space="0" w:color="auto"/>
            </w:tcBorders>
            <w:vAlign w:val="center"/>
          </w:tcPr>
          <w:p>
            <w:pPr>
              <w:pStyle w:val="style0"/>
              <w:keepNext w:val="false"/>
              <w:keepLines w:val="false"/>
              <w:widowControl/>
              <w:suppressLineNumbers w:val="false"/>
              <w:jc w:val="center"/>
              <w:textAlignment w:val="center"/>
              <w:rPr>
                <w:rFonts w:ascii="仿宋_GB2312" w:cs="仿宋_GB2312" w:eastAsia="仿宋_GB2312" w:hAnsi="仿宋_GB2312" w:hint="default"/>
                <w:color w:val="000000"/>
                <w:kern w:val="2"/>
                <w:sz w:val="24"/>
                <w:szCs w:val="24"/>
                <w:lang w:val="en-US" w:eastAsia="zh-CN"/>
              </w:rPr>
            </w:pPr>
            <w:r>
              <w:rPr>
                <w:rFonts w:ascii="仿宋_GB2312" w:cs="仿宋_GB2312" w:eastAsia="仿宋_GB2312" w:hAnsi="宋体" w:hint="eastAsia"/>
                <w:i w:val="false"/>
                <w:iCs w:val="false"/>
                <w:color w:val="000000"/>
                <w:kern w:val="0"/>
                <w:sz w:val="24"/>
                <w:szCs w:val="24"/>
                <w:u w:val="none"/>
                <w:lang w:val="en-US" w:eastAsia="zh-CN"/>
              </w:rPr>
              <w:t>1288.99</w:t>
            </w:r>
          </w:p>
        </w:tc>
        <w:tc>
          <w:tcPr>
            <w:tcW w:w="1080" w:type="dxa"/>
            <w:gridSpan w:val="2"/>
            <w:tcBorders/>
            <w:vAlign w:val="center"/>
          </w:tcPr>
          <w:p>
            <w:pPr>
              <w:pStyle w:val="style0"/>
              <w:keepNext w:val="false"/>
              <w:keepLines w:val="false"/>
              <w:widowControl/>
              <w:suppressLineNumbers w:val="false"/>
              <w:jc w:val="center"/>
              <w:textAlignment w:val="center"/>
              <w:rPr>
                <w:rFonts w:ascii="仿宋_GB2312" w:cs="仿宋_GB2312" w:eastAsia="仿宋_GB2312" w:hAnsi="仿宋_GB2312" w:hint="default"/>
                <w:color w:val="000000"/>
                <w:kern w:val="2"/>
                <w:sz w:val="24"/>
                <w:szCs w:val="24"/>
                <w:lang w:val="en-US" w:eastAsia="zh-CN"/>
              </w:rPr>
            </w:pPr>
            <w:r>
              <w:rPr>
                <w:rFonts w:ascii="仿宋_GB2312" w:cs="仿宋_GB2312" w:eastAsia="仿宋_GB2312" w:hAnsi="宋体" w:hint="eastAsia"/>
                <w:i w:val="false"/>
                <w:iCs w:val="false"/>
                <w:color w:val="000000"/>
                <w:kern w:val="0"/>
                <w:sz w:val="24"/>
                <w:szCs w:val="24"/>
                <w:u w:val="none"/>
                <w:lang w:val="en-US" w:eastAsia="zh-CN"/>
              </w:rPr>
              <w:t>832.46</w:t>
            </w:r>
          </w:p>
        </w:tc>
        <w:tc>
          <w:tcPr>
            <w:tcW w:w="2160" w:type="dxa"/>
            <w:gridSpan w:val="4"/>
            <w:tcBorders/>
            <w:vAlign w:val="center"/>
          </w:tcPr>
          <w:p>
            <w:pPr>
              <w:pStyle w:val="style0"/>
              <w:keepNext w:val="false"/>
              <w:keepLines w:val="false"/>
              <w:widowControl/>
              <w:suppressLineNumbers w:val="false"/>
              <w:jc w:val="center"/>
              <w:textAlignment w:val="center"/>
              <w:rPr>
                <w:rFonts w:ascii="仿宋_GB2312" w:cs="仿宋_GB2312" w:eastAsia="仿宋_GB2312" w:hAnsi="仿宋_GB2312" w:hint="default"/>
                <w:color w:val="000000"/>
                <w:kern w:val="2"/>
                <w:sz w:val="24"/>
                <w:szCs w:val="24"/>
                <w:lang w:val="en-US" w:eastAsia="zh-CN"/>
              </w:rPr>
            </w:pPr>
            <w:r>
              <w:rPr>
                <w:rFonts w:ascii="仿宋_GB2312" w:cs="仿宋_GB2312" w:eastAsia="仿宋_GB2312" w:hAnsi="宋体" w:hint="eastAsia"/>
                <w:i w:val="false"/>
                <w:iCs w:val="false"/>
                <w:color w:val="000000"/>
                <w:kern w:val="0"/>
                <w:sz w:val="24"/>
                <w:szCs w:val="24"/>
                <w:u w:val="none"/>
                <w:lang w:val="en-US" w:eastAsia="zh-CN"/>
              </w:rPr>
              <w:t>456.53</w:t>
            </w:r>
          </w:p>
        </w:tc>
        <w:tc>
          <w:tcPr>
            <w:tcW w:w="1080" w:type="dxa"/>
            <w:tcBorders/>
            <w:vAlign w:val="center"/>
          </w:tcPr>
          <w:p>
            <w:pPr>
              <w:pStyle w:val="style0"/>
              <w:keepNext w:val="false"/>
              <w:keepLines w:val="false"/>
              <w:widowControl/>
              <w:suppressLineNumbers w:val="false"/>
              <w:jc w:val="center"/>
              <w:textAlignment w:val="center"/>
              <w:rPr>
                <w:rFonts w:ascii="仿宋_GB2312" w:cs="仿宋_GB2312" w:eastAsia="仿宋_GB2312" w:hAnsi="仿宋_GB2312" w:hint="default"/>
                <w:color w:val="000000"/>
                <w:kern w:val="2"/>
                <w:sz w:val="24"/>
                <w:szCs w:val="24"/>
                <w:lang w:val="en-US" w:eastAsia="zh-CN"/>
              </w:rPr>
            </w:pPr>
            <w:r>
              <w:rPr>
                <w:rFonts w:ascii="仿宋_GB2312" w:cs="仿宋_GB2312" w:eastAsia="仿宋_GB2312" w:hAnsi="宋体" w:hint="eastAsia"/>
                <w:i w:val="false"/>
                <w:iCs w:val="false"/>
                <w:color w:val="000000"/>
                <w:kern w:val="0"/>
                <w:sz w:val="24"/>
                <w:szCs w:val="24"/>
                <w:u w:val="none"/>
                <w:lang w:val="en-US" w:eastAsia="zh-CN"/>
              </w:rPr>
              <w:t>40</w:t>
            </w:r>
          </w:p>
        </w:tc>
        <w:tc>
          <w:tcPr>
            <w:tcW w:w="780" w:type="dxa"/>
            <w:gridSpan w:val="3"/>
            <w:tcBorders>
              <w:right w:val="single" w:sz="4" w:space="0" w:color="auto"/>
            </w:tcBorders>
            <w:vAlign w:val="center"/>
          </w:tcPr>
          <w:p>
            <w:pPr>
              <w:pStyle w:val="style0"/>
              <w:keepNext w:val="false"/>
              <w:keepLines w:val="false"/>
              <w:widowControl/>
              <w:suppressLineNumbers w:val="false"/>
              <w:jc w:val="center"/>
              <w:textAlignment w:val="center"/>
              <w:rPr>
                <w:rFonts w:ascii="仿宋_GB2312" w:cs="仿宋_GB2312" w:eastAsia="仿宋_GB2312" w:hAnsi="仿宋_GB2312" w:hint="default"/>
                <w:color w:val="000000"/>
                <w:kern w:val="2"/>
                <w:sz w:val="24"/>
                <w:szCs w:val="24"/>
                <w:lang w:val="en-US" w:eastAsia="zh-CN"/>
              </w:rPr>
            </w:pPr>
            <w:r>
              <w:rPr>
                <w:rFonts w:ascii="仿宋_GB2312" w:cs="仿宋_GB2312" w:eastAsia="仿宋_GB2312" w:hAnsi="宋体" w:hint="eastAsia"/>
                <w:i w:val="false"/>
                <w:iCs w:val="false"/>
                <w:color w:val="000000"/>
                <w:kern w:val="0"/>
                <w:sz w:val="24"/>
                <w:szCs w:val="24"/>
                <w:u w:val="none"/>
                <w:lang w:val="en-US" w:eastAsia="zh-CN"/>
              </w:rPr>
              <w:t>8.85</w:t>
            </w:r>
          </w:p>
        </w:tc>
        <w:tc>
          <w:tcPr>
            <w:tcW w:w="565" w:type="dxa"/>
            <w:tcBorders>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r>
      <w:tr>
        <w:tblPrEx/>
        <w:trPr>
          <w:trHeight w:val="624" w:hRule="atLeast"/>
          <w:jc w:val="center"/>
        </w:trPr>
        <w:tc>
          <w:tcPr>
            <w:tcW w:w="1700" w:type="dxa"/>
            <w:gridSpan w:val="3"/>
            <w:tcBorders/>
            <w:vAlign w:val="center"/>
          </w:tcPr>
          <w:p>
            <w:pPr>
              <w:pStyle w:val="style0"/>
              <w:spacing w:lineRule="exact" w:line="320"/>
              <w:jc w:val="left"/>
              <w:rPr>
                <w:rFonts w:ascii="仿宋_GB2312" w:cs="仿宋_GB2312" w:eastAsia="仿宋_GB2312" w:hAnsi="仿宋_GB2312"/>
                <w:color w:val="000000"/>
                <w:sz w:val="24"/>
              </w:rPr>
            </w:pPr>
            <w:r>
              <w:rPr>
                <w:rFonts w:ascii="仿宋_GB2312" w:cs="仿宋_GB2312" w:eastAsia="仿宋_GB2312" w:hAnsi="仿宋_GB2312" w:hint="eastAsia"/>
                <w:sz w:val="24"/>
              </w:rPr>
              <w:t>2、二级机构1</w:t>
            </w:r>
          </w:p>
        </w:tc>
        <w:tc>
          <w:tcPr>
            <w:tcW w:w="1080" w:type="dxa"/>
            <w:tcBorders>
              <w:right w:val="single" w:sz="4" w:space="0" w:color="auto"/>
            </w:tcBorders>
            <w:vAlign w:val="center"/>
          </w:tcPr>
          <w:p>
            <w:pPr>
              <w:pStyle w:val="style0"/>
              <w:keepNext w:val="false"/>
              <w:keepLines w:val="false"/>
              <w:widowControl/>
              <w:suppressLineNumbers w:val="false"/>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宋体" w:hint="eastAsia"/>
                <w:i w:val="false"/>
                <w:iCs w:val="false"/>
                <w:color w:val="000000"/>
                <w:kern w:val="0"/>
                <w:sz w:val="24"/>
                <w:szCs w:val="24"/>
                <w:u w:val="none"/>
                <w:lang w:val="en-US" w:eastAsia="zh-CN"/>
              </w:rPr>
              <w:t>56.62</w:t>
            </w:r>
          </w:p>
        </w:tc>
        <w:tc>
          <w:tcPr>
            <w:tcW w:w="1355" w:type="dxa"/>
            <w:gridSpan w:val="2"/>
            <w:tcBorders>
              <w:left w:val="single" w:sz="4" w:space="0" w:color="auto"/>
            </w:tcBorders>
            <w:vAlign w:val="center"/>
          </w:tcPr>
          <w:p>
            <w:pPr>
              <w:pStyle w:val="style0"/>
              <w:keepNext w:val="false"/>
              <w:keepLines w:val="false"/>
              <w:widowControl/>
              <w:suppressLineNumbers w:val="false"/>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宋体" w:hint="eastAsia"/>
                <w:i w:val="false"/>
                <w:iCs w:val="false"/>
                <w:color w:val="000000"/>
                <w:kern w:val="0"/>
                <w:sz w:val="24"/>
                <w:szCs w:val="24"/>
                <w:u w:val="none"/>
                <w:lang w:val="en-US" w:eastAsia="zh-CN"/>
              </w:rPr>
              <w:t>39.56</w:t>
            </w:r>
          </w:p>
        </w:tc>
        <w:tc>
          <w:tcPr>
            <w:tcW w:w="1080" w:type="dxa"/>
            <w:gridSpan w:val="2"/>
            <w:tcBorders/>
            <w:vAlign w:val="center"/>
          </w:tcPr>
          <w:p>
            <w:pPr>
              <w:pStyle w:val="style0"/>
              <w:keepNext w:val="false"/>
              <w:keepLines w:val="false"/>
              <w:widowControl/>
              <w:suppressLineNumbers w:val="false"/>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宋体" w:hint="eastAsia"/>
                <w:i w:val="false"/>
                <w:iCs w:val="false"/>
                <w:color w:val="000000"/>
                <w:kern w:val="0"/>
                <w:sz w:val="24"/>
                <w:szCs w:val="24"/>
                <w:u w:val="none"/>
                <w:lang w:val="en-US" w:eastAsia="zh-CN"/>
              </w:rPr>
              <w:t>36.55</w:t>
            </w:r>
          </w:p>
        </w:tc>
        <w:tc>
          <w:tcPr>
            <w:tcW w:w="2160" w:type="dxa"/>
            <w:gridSpan w:val="4"/>
            <w:tcBorders/>
            <w:vAlign w:val="center"/>
          </w:tcPr>
          <w:p>
            <w:pPr>
              <w:pStyle w:val="style0"/>
              <w:keepNext w:val="false"/>
              <w:keepLines w:val="false"/>
              <w:widowControl/>
              <w:suppressLineNumbers w:val="false"/>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宋体" w:hint="eastAsia"/>
                <w:i w:val="false"/>
                <w:iCs w:val="false"/>
                <w:color w:val="000000"/>
                <w:kern w:val="0"/>
                <w:sz w:val="24"/>
                <w:szCs w:val="24"/>
                <w:u w:val="none"/>
                <w:lang w:val="en-US" w:eastAsia="zh-CN"/>
              </w:rPr>
              <w:t>3.01</w:t>
            </w:r>
          </w:p>
        </w:tc>
        <w:tc>
          <w:tcPr>
            <w:tcW w:w="1080" w:type="dxa"/>
            <w:tcBorders/>
            <w:vAlign w:val="center"/>
          </w:tcPr>
          <w:p>
            <w:pPr>
              <w:pStyle w:val="style0"/>
              <w:keepNext w:val="false"/>
              <w:keepLines w:val="false"/>
              <w:widowControl/>
              <w:suppressLineNumbers w:val="false"/>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宋体" w:hint="eastAsia"/>
                <w:i w:val="false"/>
                <w:iCs w:val="false"/>
                <w:color w:val="000000"/>
                <w:kern w:val="0"/>
                <w:sz w:val="24"/>
                <w:szCs w:val="24"/>
                <w:u w:val="none"/>
                <w:lang w:val="en-US" w:eastAsia="zh-CN"/>
              </w:rPr>
              <w:t>17.05</w:t>
            </w:r>
          </w:p>
        </w:tc>
        <w:tc>
          <w:tcPr>
            <w:tcW w:w="780" w:type="dxa"/>
            <w:gridSpan w:val="3"/>
            <w:tcBorders>
              <w:right w:val="single" w:sz="4" w:space="0" w:color="auto"/>
            </w:tcBorders>
            <w:vAlign w:val="center"/>
          </w:tcPr>
          <w:p>
            <w:pPr>
              <w:pStyle w:val="style0"/>
              <w:jc w:val="center"/>
              <w:rPr>
                <w:rFonts w:ascii="仿宋_GB2312" w:cs="仿宋_GB2312" w:eastAsia="仿宋_GB2312" w:hAnsi="仿宋_GB2312"/>
                <w:color w:val="000000"/>
                <w:sz w:val="24"/>
              </w:rPr>
            </w:pPr>
          </w:p>
        </w:tc>
        <w:tc>
          <w:tcPr>
            <w:tcW w:w="565" w:type="dxa"/>
            <w:tcBorders>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r>
      <w:tr>
        <w:tblPrEx/>
        <w:trPr>
          <w:trHeight w:val="624" w:hRule="atLeast"/>
          <w:jc w:val="center"/>
        </w:trPr>
        <w:tc>
          <w:tcPr>
            <w:tcW w:w="1700" w:type="dxa"/>
            <w:gridSpan w:val="3"/>
            <w:tcBorders/>
            <w:vAlign w:val="center"/>
          </w:tcPr>
          <w:p>
            <w:pPr>
              <w:pStyle w:val="style0"/>
              <w:spacing w:lineRule="exact" w:line="320"/>
              <w:jc w:val="left"/>
              <w:rPr>
                <w:rFonts w:ascii="仿宋_GB2312" w:cs="仿宋_GB2312" w:eastAsia="仿宋_GB2312" w:hAnsi="仿宋_GB2312"/>
                <w:color w:val="000000"/>
                <w:sz w:val="24"/>
              </w:rPr>
            </w:pPr>
            <w:r>
              <w:rPr>
                <w:rFonts w:ascii="仿宋_GB2312" w:cs="仿宋_GB2312" w:eastAsia="仿宋_GB2312" w:hAnsi="仿宋_GB2312" w:hint="eastAsia"/>
                <w:sz w:val="24"/>
              </w:rPr>
              <w:t>3、二级机构2</w:t>
            </w:r>
          </w:p>
        </w:tc>
        <w:tc>
          <w:tcPr>
            <w:tcW w:w="1080" w:type="dxa"/>
            <w:tcBorders>
              <w:right w:val="single" w:sz="4" w:space="0" w:color="auto"/>
            </w:tcBorders>
            <w:vAlign w:val="center"/>
          </w:tcPr>
          <w:p>
            <w:pPr>
              <w:pStyle w:val="style0"/>
              <w:keepNext w:val="false"/>
              <w:keepLines w:val="false"/>
              <w:widowControl/>
              <w:suppressLineNumbers w:val="false"/>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宋体" w:hint="eastAsia"/>
                <w:i w:val="false"/>
                <w:iCs w:val="false"/>
                <w:color w:val="000000"/>
                <w:kern w:val="0"/>
                <w:sz w:val="24"/>
                <w:szCs w:val="24"/>
                <w:u w:val="none"/>
                <w:lang w:val="en-US" w:eastAsia="zh-CN"/>
              </w:rPr>
              <w:t>48.64</w:t>
            </w:r>
          </w:p>
        </w:tc>
        <w:tc>
          <w:tcPr>
            <w:tcW w:w="1355" w:type="dxa"/>
            <w:gridSpan w:val="2"/>
            <w:tcBorders>
              <w:left w:val="single" w:sz="4" w:space="0" w:color="auto"/>
            </w:tcBorders>
            <w:vAlign w:val="center"/>
          </w:tcPr>
          <w:p>
            <w:pPr>
              <w:pStyle w:val="style0"/>
              <w:keepNext w:val="false"/>
              <w:keepLines w:val="false"/>
              <w:widowControl/>
              <w:suppressLineNumbers w:val="false"/>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宋体" w:hint="eastAsia"/>
                <w:i w:val="false"/>
                <w:iCs w:val="false"/>
                <w:color w:val="000000"/>
                <w:kern w:val="0"/>
                <w:sz w:val="24"/>
                <w:szCs w:val="24"/>
                <w:u w:val="none"/>
                <w:lang w:val="en-US" w:eastAsia="zh-CN"/>
              </w:rPr>
              <w:t>30.65</w:t>
            </w:r>
          </w:p>
        </w:tc>
        <w:tc>
          <w:tcPr>
            <w:tcW w:w="1080" w:type="dxa"/>
            <w:gridSpan w:val="2"/>
            <w:tcBorders/>
            <w:vAlign w:val="center"/>
          </w:tcPr>
          <w:p>
            <w:pPr>
              <w:pStyle w:val="style0"/>
              <w:keepNext w:val="false"/>
              <w:keepLines w:val="false"/>
              <w:widowControl/>
              <w:suppressLineNumbers w:val="false"/>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宋体" w:hint="eastAsia"/>
                <w:i w:val="false"/>
                <w:iCs w:val="false"/>
                <w:color w:val="000000"/>
                <w:kern w:val="0"/>
                <w:sz w:val="24"/>
                <w:szCs w:val="24"/>
                <w:u w:val="none"/>
                <w:lang w:val="en-US" w:eastAsia="zh-CN"/>
              </w:rPr>
              <w:t>29.69</w:t>
            </w:r>
          </w:p>
        </w:tc>
        <w:tc>
          <w:tcPr>
            <w:tcW w:w="2160" w:type="dxa"/>
            <w:gridSpan w:val="4"/>
            <w:tcBorders/>
            <w:vAlign w:val="center"/>
          </w:tcPr>
          <w:p>
            <w:pPr>
              <w:pStyle w:val="style0"/>
              <w:keepNext w:val="false"/>
              <w:keepLines w:val="false"/>
              <w:widowControl/>
              <w:suppressLineNumbers w:val="false"/>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宋体" w:hint="eastAsia"/>
                <w:i w:val="false"/>
                <w:iCs w:val="false"/>
                <w:color w:val="000000"/>
                <w:kern w:val="0"/>
                <w:sz w:val="24"/>
                <w:szCs w:val="24"/>
                <w:u w:val="none"/>
                <w:lang w:val="en-US" w:eastAsia="zh-CN"/>
              </w:rPr>
              <w:t>0.96</w:t>
            </w:r>
          </w:p>
        </w:tc>
        <w:tc>
          <w:tcPr>
            <w:tcW w:w="1080" w:type="dxa"/>
            <w:tcBorders/>
            <w:vAlign w:val="center"/>
          </w:tcPr>
          <w:p>
            <w:pPr>
              <w:pStyle w:val="style0"/>
              <w:keepNext w:val="false"/>
              <w:keepLines w:val="false"/>
              <w:widowControl/>
              <w:suppressLineNumbers w:val="false"/>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宋体" w:hint="eastAsia"/>
                <w:i w:val="false"/>
                <w:iCs w:val="false"/>
                <w:color w:val="000000"/>
                <w:kern w:val="0"/>
                <w:sz w:val="24"/>
                <w:szCs w:val="24"/>
                <w:u w:val="none"/>
                <w:lang w:val="en-US" w:eastAsia="zh-CN"/>
              </w:rPr>
              <w:t>17.99</w:t>
            </w:r>
          </w:p>
        </w:tc>
        <w:tc>
          <w:tcPr>
            <w:tcW w:w="780" w:type="dxa"/>
            <w:gridSpan w:val="3"/>
            <w:tcBorders>
              <w:right w:val="single" w:sz="4" w:space="0" w:color="auto"/>
            </w:tcBorders>
            <w:vAlign w:val="center"/>
          </w:tcPr>
          <w:p>
            <w:pPr>
              <w:pStyle w:val="style0"/>
              <w:jc w:val="center"/>
              <w:rPr>
                <w:rFonts w:ascii="仿宋_GB2312" w:cs="仿宋_GB2312" w:eastAsia="仿宋_GB2312" w:hAnsi="仿宋_GB2312"/>
                <w:color w:val="000000"/>
                <w:sz w:val="24"/>
              </w:rPr>
            </w:pPr>
          </w:p>
        </w:tc>
        <w:tc>
          <w:tcPr>
            <w:tcW w:w="565" w:type="dxa"/>
            <w:tcBorders>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r>
      <w:tr>
        <w:tblPrEx/>
        <w:trPr>
          <w:trHeight w:val="624" w:hRule="atLeast"/>
          <w:jc w:val="center"/>
        </w:trPr>
        <w:tc>
          <w:tcPr>
            <w:tcW w:w="1700" w:type="dxa"/>
            <w:gridSpan w:val="3"/>
            <w:vMerge w:val="restart"/>
            <w:tcBorders/>
            <w:vAlign w:val="center"/>
          </w:tcPr>
          <w:p>
            <w:pPr>
              <w:pStyle w:val="style0"/>
              <w:spacing w:lineRule="exact" w:line="320"/>
              <w:jc w:val="center"/>
              <w:rPr>
                <w:rFonts w:ascii="仿宋_GB2312" w:cs="仿宋_GB2312" w:eastAsia="仿宋_GB2312" w:hAnsi="仿宋_GB2312"/>
                <w:sz w:val="24"/>
              </w:rPr>
            </w:pPr>
            <w:r>
              <w:rPr>
                <w:rFonts w:ascii="仿宋_GB2312" w:cs="仿宋_GB2312" w:eastAsia="仿宋_GB2312" w:hAnsi="仿宋_GB2312" w:hint="eastAsia"/>
                <w:sz w:val="24"/>
              </w:rPr>
              <w:t>机构名称</w:t>
            </w:r>
          </w:p>
        </w:tc>
        <w:tc>
          <w:tcPr>
            <w:tcW w:w="1080" w:type="dxa"/>
            <w:vMerge w:val="restart"/>
            <w:tcBorders>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三公经费</w:t>
            </w:r>
          </w:p>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合计</w:t>
            </w:r>
          </w:p>
        </w:tc>
        <w:tc>
          <w:tcPr>
            <w:tcW w:w="7020" w:type="dxa"/>
            <w:gridSpan w:val="13"/>
            <w:tcBorders>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其中：</w:t>
            </w:r>
          </w:p>
        </w:tc>
      </w:tr>
      <w:tr>
        <w:tblPrEx/>
        <w:trPr>
          <w:trHeight w:val="624" w:hRule="atLeast"/>
          <w:jc w:val="center"/>
        </w:trPr>
        <w:tc>
          <w:tcPr>
            <w:tcW w:w="1700" w:type="dxa"/>
            <w:gridSpan w:val="3"/>
            <w:vMerge w:val="continue"/>
            <w:tcBorders/>
            <w:vAlign w:val="center"/>
          </w:tcPr>
          <w:p>
            <w:pPr>
              <w:pStyle w:val="style0"/>
              <w:spacing w:lineRule="exact" w:line="320"/>
              <w:jc w:val="center"/>
              <w:rPr>
                <w:rFonts w:ascii="仿宋_GB2312" w:cs="仿宋_GB2312" w:eastAsia="仿宋_GB2312" w:hAnsi="仿宋_GB2312"/>
                <w:sz w:val="24"/>
              </w:rPr>
            </w:pPr>
          </w:p>
        </w:tc>
        <w:tc>
          <w:tcPr>
            <w:tcW w:w="1080" w:type="dxa"/>
            <w:vMerge w:val="continue"/>
            <w:tcBorders>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1355" w:type="dxa"/>
            <w:gridSpan w:val="2"/>
            <w:tcBorders>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公务接待费</w:t>
            </w:r>
          </w:p>
        </w:tc>
        <w:tc>
          <w:tcPr>
            <w:tcW w:w="1080"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公务用车运维费</w:t>
            </w:r>
          </w:p>
        </w:tc>
        <w:tc>
          <w:tcPr>
            <w:tcW w:w="2160" w:type="dxa"/>
            <w:gridSpan w:val="4"/>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公务用车购置费</w:t>
            </w:r>
          </w:p>
        </w:tc>
        <w:tc>
          <w:tcPr>
            <w:tcW w:w="2425" w:type="dxa"/>
            <w:gridSpan w:val="5"/>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因公出国费</w:t>
            </w:r>
          </w:p>
        </w:tc>
      </w:tr>
      <w:tr>
        <w:tblPrEx/>
        <w:trPr>
          <w:trHeight w:val="858" w:hRule="atLeast"/>
          <w:jc w:val="center"/>
        </w:trPr>
        <w:tc>
          <w:tcPr>
            <w:tcW w:w="1700" w:type="dxa"/>
            <w:gridSpan w:val="3"/>
            <w:tcBorders/>
            <w:vAlign w:val="center"/>
          </w:tcPr>
          <w:p>
            <w:pPr>
              <w:pStyle w:val="style0"/>
              <w:spacing w:lineRule="exact" w:line="320"/>
              <w:jc w:val="left"/>
              <w:rPr>
                <w:rFonts w:ascii="仿宋_GB2312" w:cs="仿宋_GB2312" w:eastAsia="仿宋_GB2312" w:hAnsi="仿宋_GB2312"/>
                <w:sz w:val="24"/>
              </w:rPr>
            </w:pPr>
            <w:r>
              <w:rPr>
                <w:rFonts w:ascii="仿宋_GB2312" w:cs="仿宋_GB2312" w:eastAsia="仿宋_GB2312" w:hAnsi="仿宋_GB2312" w:hint="eastAsia"/>
                <w:color w:val="000000"/>
                <w:sz w:val="24"/>
              </w:rPr>
              <w:t>局机关及二级机构汇总</w:t>
            </w:r>
          </w:p>
        </w:tc>
        <w:tc>
          <w:tcPr>
            <w:tcW w:w="1080" w:type="dxa"/>
            <w:tcBorders>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仿宋_GB2312" w:hint="eastAsia"/>
                <w:color w:val="000000"/>
                <w:sz w:val="24"/>
                <w:lang w:val="en-US" w:eastAsia="zh-CN"/>
              </w:rPr>
              <w:t>9.91</w:t>
            </w:r>
          </w:p>
        </w:tc>
        <w:tc>
          <w:tcPr>
            <w:tcW w:w="1355" w:type="dxa"/>
            <w:gridSpan w:val="2"/>
            <w:tcBorders>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仿宋_GB2312" w:hint="eastAsia"/>
                <w:color w:val="000000"/>
                <w:sz w:val="24"/>
                <w:lang w:val="en-US" w:eastAsia="zh-CN"/>
              </w:rPr>
              <w:t>4.02</w:t>
            </w:r>
          </w:p>
        </w:tc>
        <w:tc>
          <w:tcPr>
            <w:tcW w:w="1080"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仿宋_GB2312" w:hint="eastAsia"/>
                <w:color w:val="000000"/>
                <w:sz w:val="24"/>
                <w:lang w:val="en-US" w:eastAsia="zh-CN"/>
              </w:rPr>
              <w:t>5.89</w:t>
            </w:r>
          </w:p>
        </w:tc>
        <w:tc>
          <w:tcPr>
            <w:tcW w:w="2160" w:type="dxa"/>
            <w:gridSpan w:val="4"/>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2425" w:type="dxa"/>
            <w:gridSpan w:val="5"/>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r>
      <w:tr>
        <w:tblPrEx/>
        <w:trPr>
          <w:trHeight w:val="624" w:hRule="atLeast"/>
          <w:jc w:val="center"/>
        </w:trPr>
        <w:tc>
          <w:tcPr>
            <w:tcW w:w="1700" w:type="dxa"/>
            <w:gridSpan w:val="3"/>
            <w:tcBorders/>
            <w:vAlign w:val="center"/>
          </w:tcPr>
          <w:p>
            <w:pPr>
              <w:pStyle w:val="style0"/>
              <w:spacing w:lineRule="exact" w:line="320"/>
              <w:jc w:val="left"/>
              <w:rPr>
                <w:rFonts w:ascii="仿宋_GB2312" w:cs="仿宋_GB2312" w:eastAsia="仿宋_GB2312" w:hAnsi="仿宋_GB2312"/>
                <w:sz w:val="24"/>
              </w:rPr>
            </w:pPr>
            <w:r>
              <w:rPr>
                <w:rFonts w:ascii="仿宋_GB2312" w:cs="仿宋_GB2312" w:eastAsia="仿宋_GB2312" w:hAnsi="仿宋_GB2312" w:hint="eastAsia"/>
                <w:sz w:val="24"/>
              </w:rPr>
              <w:t>1、局机关</w:t>
            </w:r>
          </w:p>
        </w:tc>
        <w:tc>
          <w:tcPr>
            <w:tcW w:w="1080" w:type="dxa"/>
            <w:tcBorders>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kern w:val="2"/>
                <w:sz w:val="24"/>
                <w:szCs w:val="24"/>
                <w:lang w:val="en-US" w:eastAsia="zh-CN"/>
              </w:rPr>
            </w:pPr>
            <w:r>
              <w:rPr>
                <w:rFonts w:ascii="仿宋_GB2312" w:cs="仿宋_GB2312" w:eastAsia="仿宋_GB2312" w:hAnsi="仿宋_GB2312" w:hint="eastAsia"/>
                <w:color w:val="000000"/>
                <w:sz w:val="24"/>
                <w:lang w:val="en-US" w:eastAsia="zh-CN"/>
              </w:rPr>
              <w:t>9.14</w:t>
            </w:r>
          </w:p>
        </w:tc>
        <w:tc>
          <w:tcPr>
            <w:tcW w:w="1355" w:type="dxa"/>
            <w:gridSpan w:val="2"/>
            <w:tcBorders>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kern w:val="2"/>
                <w:sz w:val="24"/>
                <w:szCs w:val="24"/>
                <w:lang w:val="en-US" w:eastAsia="zh-CN"/>
              </w:rPr>
            </w:pPr>
            <w:r>
              <w:rPr>
                <w:rFonts w:ascii="仿宋_GB2312" w:cs="仿宋_GB2312" w:eastAsia="仿宋_GB2312" w:hAnsi="仿宋_GB2312" w:hint="eastAsia"/>
                <w:color w:val="000000"/>
                <w:sz w:val="24"/>
                <w:lang w:val="en-US" w:eastAsia="zh-CN"/>
              </w:rPr>
              <w:t>3.25</w:t>
            </w:r>
          </w:p>
        </w:tc>
        <w:tc>
          <w:tcPr>
            <w:tcW w:w="1080"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kern w:val="2"/>
                <w:sz w:val="24"/>
                <w:szCs w:val="24"/>
                <w:lang w:val="en-US" w:eastAsia="zh-CN"/>
              </w:rPr>
            </w:pPr>
            <w:r>
              <w:rPr>
                <w:rFonts w:ascii="仿宋_GB2312" w:cs="仿宋_GB2312" w:eastAsia="仿宋_GB2312" w:hAnsi="仿宋_GB2312" w:hint="eastAsia"/>
                <w:color w:val="000000"/>
                <w:sz w:val="24"/>
                <w:lang w:val="en-US" w:eastAsia="zh-CN"/>
              </w:rPr>
              <w:t>5.89</w:t>
            </w:r>
          </w:p>
        </w:tc>
        <w:tc>
          <w:tcPr>
            <w:tcW w:w="2160" w:type="dxa"/>
            <w:gridSpan w:val="4"/>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2425" w:type="dxa"/>
            <w:gridSpan w:val="5"/>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r>
      <w:tr>
        <w:tblPrEx/>
        <w:trPr>
          <w:trHeight w:val="624" w:hRule="atLeast"/>
          <w:jc w:val="center"/>
        </w:trPr>
        <w:tc>
          <w:tcPr>
            <w:tcW w:w="1700" w:type="dxa"/>
            <w:gridSpan w:val="3"/>
            <w:tcBorders/>
            <w:vAlign w:val="center"/>
          </w:tcPr>
          <w:p>
            <w:pPr>
              <w:pStyle w:val="style0"/>
              <w:spacing w:lineRule="exact" w:line="320"/>
              <w:jc w:val="left"/>
              <w:rPr>
                <w:rFonts w:ascii="仿宋_GB2312" w:cs="仿宋_GB2312" w:eastAsia="仿宋_GB2312" w:hAnsi="仿宋_GB2312"/>
                <w:sz w:val="24"/>
              </w:rPr>
            </w:pPr>
            <w:r>
              <w:rPr>
                <w:rFonts w:ascii="仿宋_GB2312" w:cs="仿宋_GB2312" w:eastAsia="仿宋_GB2312" w:hAnsi="仿宋_GB2312" w:hint="eastAsia"/>
                <w:sz w:val="24"/>
              </w:rPr>
              <w:t>2、二级机构1</w:t>
            </w:r>
          </w:p>
        </w:tc>
        <w:tc>
          <w:tcPr>
            <w:tcW w:w="1080" w:type="dxa"/>
            <w:tcBorders>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仿宋_GB2312" w:hint="eastAsia"/>
                <w:color w:val="000000"/>
                <w:sz w:val="24"/>
                <w:lang w:val="en-US" w:eastAsia="zh-CN"/>
              </w:rPr>
              <w:t>0.59</w:t>
            </w:r>
          </w:p>
        </w:tc>
        <w:tc>
          <w:tcPr>
            <w:tcW w:w="1355" w:type="dxa"/>
            <w:gridSpan w:val="2"/>
            <w:tcBorders>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kern w:val="2"/>
                <w:sz w:val="24"/>
                <w:szCs w:val="24"/>
                <w:lang w:val="en-US" w:eastAsia="zh-CN"/>
              </w:rPr>
            </w:pPr>
            <w:r>
              <w:rPr>
                <w:rFonts w:ascii="仿宋_GB2312" w:cs="仿宋_GB2312" w:eastAsia="仿宋_GB2312" w:hAnsi="仿宋_GB2312" w:hint="eastAsia"/>
                <w:color w:val="000000"/>
                <w:sz w:val="24"/>
                <w:lang w:val="en-US" w:eastAsia="zh-CN"/>
              </w:rPr>
              <w:t>0.59</w:t>
            </w:r>
          </w:p>
        </w:tc>
        <w:tc>
          <w:tcPr>
            <w:tcW w:w="1080"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sz w:val="24"/>
                <w:lang w:val="en-US" w:eastAsia="zh-CN"/>
              </w:rPr>
            </w:pPr>
          </w:p>
        </w:tc>
        <w:tc>
          <w:tcPr>
            <w:tcW w:w="2160" w:type="dxa"/>
            <w:gridSpan w:val="4"/>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2425" w:type="dxa"/>
            <w:gridSpan w:val="5"/>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r>
      <w:tr>
        <w:tblPrEx/>
        <w:trPr>
          <w:trHeight w:val="624" w:hRule="atLeast"/>
          <w:jc w:val="center"/>
        </w:trPr>
        <w:tc>
          <w:tcPr>
            <w:tcW w:w="1700" w:type="dxa"/>
            <w:gridSpan w:val="3"/>
            <w:tcBorders/>
            <w:vAlign w:val="center"/>
          </w:tcPr>
          <w:p>
            <w:pPr>
              <w:pStyle w:val="style0"/>
              <w:spacing w:lineRule="exact" w:line="320"/>
              <w:jc w:val="left"/>
              <w:rPr>
                <w:rFonts w:ascii="仿宋_GB2312" w:cs="仿宋_GB2312" w:eastAsia="仿宋_GB2312" w:hAnsi="仿宋_GB2312"/>
                <w:sz w:val="24"/>
              </w:rPr>
            </w:pPr>
            <w:r>
              <w:rPr>
                <w:rFonts w:ascii="仿宋_GB2312" w:cs="仿宋_GB2312" w:eastAsia="仿宋_GB2312" w:hAnsi="仿宋_GB2312" w:hint="eastAsia"/>
                <w:sz w:val="24"/>
              </w:rPr>
              <w:t>3、二级机构2</w:t>
            </w:r>
          </w:p>
        </w:tc>
        <w:tc>
          <w:tcPr>
            <w:tcW w:w="1080" w:type="dxa"/>
            <w:tcBorders>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仿宋_GB2312" w:hint="eastAsia"/>
                <w:color w:val="000000"/>
                <w:sz w:val="24"/>
                <w:lang w:val="en-US" w:eastAsia="zh-CN"/>
              </w:rPr>
              <w:t>0.18</w:t>
            </w:r>
          </w:p>
        </w:tc>
        <w:tc>
          <w:tcPr>
            <w:tcW w:w="1355" w:type="dxa"/>
            <w:gridSpan w:val="2"/>
            <w:tcBorders>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kern w:val="2"/>
                <w:sz w:val="24"/>
                <w:szCs w:val="24"/>
                <w:lang w:val="en-US" w:eastAsia="zh-CN"/>
              </w:rPr>
            </w:pPr>
            <w:r>
              <w:rPr>
                <w:rFonts w:ascii="仿宋_GB2312" w:cs="仿宋_GB2312" w:eastAsia="仿宋_GB2312" w:hAnsi="仿宋_GB2312" w:hint="eastAsia"/>
                <w:color w:val="000000"/>
                <w:sz w:val="24"/>
                <w:lang w:val="en-US" w:eastAsia="zh-CN"/>
              </w:rPr>
              <w:t>0.18</w:t>
            </w:r>
          </w:p>
        </w:tc>
        <w:tc>
          <w:tcPr>
            <w:tcW w:w="1080"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sz w:val="24"/>
                <w:lang w:val="en-US" w:eastAsia="zh-CN"/>
              </w:rPr>
            </w:pPr>
          </w:p>
        </w:tc>
        <w:tc>
          <w:tcPr>
            <w:tcW w:w="2160" w:type="dxa"/>
            <w:gridSpan w:val="4"/>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2425" w:type="dxa"/>
            <w:gridSpan w:val="5"/>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r>
      <w:tr>
        <w:tblPrEx/>
        <w:trPr>
          <w:trHeight w:val="624" w:hRule="atLeast"/>
          <w:jc w:val="center"/>
        </w:trPr>
        <w:tc>
          <w:tcPr>
            <w:tcW w:w="1700" w:type="dxa"/>
            <w:gridSpan w:val="3"/>
            <w:vMerge w:val="restart"/>
            <w:tcBorders/>
            <w:vAlign w:val="center"/>
          </w:tcPr>
          <w:p>
            <w:pPr>
              <w:pStyle w:val="style0"/>
              <w:spacing w:lineRule="exact" w:line="320"/>
              <w:jc w:val="center"/>
              <w:rPr>
                <w:rFonts w:ascii="仿宋_GB2312" w:cs="仿宋_GB2312" w:eastAsia="仿宋_GB2312" w:hAnsi="仿宋_GB2312"/>
                <w:sz w:val="24"/>
              </w:rPr>
            </w:pPr>
            <w:r>
              <w:rPr>
                <w:rFonts w:ascii="仿宋_GB2312" w:cs="仿宋_GB2312" w:eastAsia="仿宋_GB2312" w:hAnsi="仿宋_GB2312" w:hint="eastAsia"/>
                <w:sz w:val="24"/>
              </w:rPr>
              <w:t>机构名称</w:t>
            </w:r>
          </w:p>
        </w:tc>
        <w:tc>
          <w:tcPr>
            <w:tcW w:w="1080" w:type="dxa"/>
            <w:vMerge w:val="restart"/>
            <w:tcBorders>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固定资产</w:t>
            </w:r>
          </w:p>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合计</w:t>
            </w:r>
          </w:p>
        </w:tc>
        <w:tc>
          <w:tcPr>
            <w:tcW w:w="6079" w:type="dxa"/>
            <w:gridSpan w:val="11"/>
            <w:tcBorders>
              <w:left w:val="single" w:sz="4" w:space="0" w:color="auto"/>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其中：</w:t>
            </w:r>
          </w:p>
        </w:tc>
        <w:tc>
          <w:tcPr>
            <w:tcW w:w="941" w:type="dxa"/>
            <w:gridSpan w:val="2"/>
            <w:vMerge w:val="restart"/>
            <w:tcBorders>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其他</w:t>
            </w:r>
          </w:p>
        </w:tc>
      </w:tr>
      <w:tr>
        <w:tblPrEx/>
        <w:trPr>
          <w:trHeight w:val="624" w:hRule="atLeast"/>
          <w:jc w:val="center"/>
        </w:trPr>
        <w:tc>
          <w:tcPr>
            <w:tcW w:w="1700" w:type="dxa"/>
            <w:gridSpan w:val="3"/>
            <w:vMerge w:val="continue"/>
            <w:tcBorders/>
            <w:vAlign w:val="center"/>
          </w:tcPr>
          <w:p>
            <w:pPr>
              <w:pStyle w:val="style0"/>
              <w:spacing w:lineRule="exact" w:line="320"/>
              <w:jc w:val="center"/>
              <w:rPr>
                <w:rFonts w:ascii="仿宋_GB2312" w:cs="仿宋_GB2312" w:eastAsia="仿宋_GB2312" w:hAnsi="仿宋_GB2312"/>
                <w:sz w:val="24"/>
              </w:rPr>
            </w:pPr>
          </w:p>
        </w:tc>
        <w:tc>
          <w:tcPr>
            <w:tcW w:w="1080" w:type="dxa"/>
            <w:vMerge w:val="continue"/>
            <w:tcBorders>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2435" w:type="dxa"/>
            <w:gridSpan w:val="4"/>
            <w:tcBorders>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在用固定资产</w:t>
            </w:r>
          </w:p>
        </w:tc>
        <w:tc>
          <w:tcPr>
            <w:tcW w:w="3644" w:type="dxa"/>
            <w:gridSpan w:val="7"/>
            <w:tcBorders>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出租固定资产</w:t>
            </w:r>
          </w:p>
        </w:tc>
        <w:tc>
          <w:tcPr>
            <w:tcW w:w="941" w:type="dxa"/>
            <w:gridSpan w:val="2"/>
            <w:vMerge w:val="continue"/>
            <w:tcBorders>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r>
      <w:tr>
        <w:tblPrEx/>
        <w:trPr>
          <w:trHeight w:val="855" w:hRule="atLeast"/>
          <w:jc w:val="center"/>
        </w:trPr>
        <w:tc>
          <w:tcPr>
            <w:tcW w:w="1700" w:type="dxa"/>
            <w:gridSpan w:val="3"/>
            <w:tcBorders/>
            <w:vAlign w:val="center"/>
          </w:tcPr>
          <w:p>
            <w:pPr>
              <w:pStyle w:val="style0"/>
              <w:spacing w:lineRule="exact" w:line="320"/>
              <w:jc w:val="left"/>
              <w:rPr>
                <w:rFonts w:ascii="仿宋_GB2312" w:cs="仿宋_GB2312" w:eastAsia="仿宋_GB2312" w:hAnsi="仿宋_GB2312"/>
                <w:sz w:val="24"/>
              </w:rPr>
            </w:pPr>
            <w:r>
              <w:rPr>
                <w:rFonts w:ascii="仿宋_GB2312" w:cs="仿宋_GB2312" w:eastAsia="仿宋_GB2312" w:hAnsi="仿宋_GB2312" w:hint="eastAsia"/>
                <w:color w:val="000000"/>
                <w:sz w:val="24"/>
              </w:rPr>
              <w:t>局机关及二级机构汇总</w:t>
            </w:r>
          </w:p>
        </w:tc>
        <w:tc>
          <w:tcPr>
            <w:tcW w:w="1080" w:type="dxa"/>
            <w:tcBorders>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仿宋_GB2312" w:hint="eastAsia"/>
                <w:color w:val="000000"/>
                <w:sz w:val="24"/>
                <w:lang w:val="en-US" w:eastAsia="zh-CN"/>
              </w:rPr>
              <w:t>714.34</w:t>
            </w:r>
          </w:p>
        </w:tc>
        <w:tc>
          <w:tcPr>
            <w:tcW w:w="2435" w:type="dxa"/>
            <w:gridSpan w:val="4"/>
            <w:tcBorders>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仿宋_GB2312" w:hint="eastAsia"/>
                <w:color w:val="000000"/>
                <w:sz w:val="24"/>
                <w:lang w:val="en-US" w:eastAsia="zh-CN"/>
              </w:rPr>
              <w:t>714.34</w:t>
            </w:r>
          </w:p>
        </w:tc>
        <w:tc>
          <w:tcPr>
            <w:tcW w:w="3644" w:type="dxa"/>
            <w:gridSpan w:val="7"/>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941"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r>
      <w:tr>
        <w:tblPrEx/>
        <w:trPr>
          <w:trHeight w:val="624" w:hRule="atLeast"/>
          <w:jc w:val="center"/>
        </w:trPr>
        <w:tc>
          <w:tcPr>
            <w:tcW w:w="1700" w:type="dxa"/>
            <w:gridSpan w:val="3"/>
            <w:tcBorders/>
            <w:vAlign w:val="center"/>
          </w:tcPr>
          <w:p>
            <w:pPr>
              <w:pStyle w:val="style0"/>
              <w:spacing w:lineRule="exact" w:line="320"/>
              <w:jc w:val="left"/>
              <w:rPr>
                <w:rFonts w:ascii="仿宋_GB2312" w:cs="仿宋_GB2312" w:eastAsia="仿宋_GB2312" w:hAnsi="仿宋_GB2312"/>
                <w:sz w:val="24"/>
              </w:rPr>
            </w:pPr>
            <w:r>
              <w:rPr>
                <w:rFonts w:ascii="仿宋_GB2312" w:cs="仿宋_GB2312" w:eastAsia="仿宋_GB2312" w:hAnsi="仿宋_GB2312" w:hint="eastAsia"/>
                <w:sz w:val="24"/>
              </w:rPr>
              <w:t>1、局机关</w:t>
            </w:r>
          </w:p>
        </w:tc>
        <w:tc>
          <w:tcPr>
            <w:tcW w:w="1080" w:type="dxa"/>
            <w:tcBorders>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lang w:val="en-US" w:eastAsia="zh-CN"/>
              </w:rPr>
              <w:t>711.81</w:t>
            </w:r>
          </w:p>
        </w:tc>
        <w:tc>
          <w:tcPr>
            <w:tcW w:w="2435" w:type="dxa"/>
            <w:gridSpan w:val="4"/>
            <w:tcBorders>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lang w:val="en-US" w:eastAsia="zh-CN"/>
              </w:rPr>
              <w:t>711.81</w:t>
            </w:r>
          </w:p>
        </w:tc>
        <w:tc>
          <w:tcPr>
            <w:tcW w:w="3644" w:type="dxa"/>
            <w:gridSpan w:val="7"/>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941"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r>
      <w:tr>
        <w:tblPrEx/>
        <w:trPr>
          <w:trHeight w:val="624" w:hRule="atLeast"/>
          <w:jc w:val="center"/>
        </w:trPr>
        <w:tc>
          <w:tcPr>
            <w:tcW w:w="1700" w:type="dxa"/>
            <w:gridSpan w:val="3"/>
            <w:tcBorders/>
            <w:vAlign w:val="center"/>
          </w:tcPr>
          <w:p>
            <w:pPr>
              <w:pStyle w:val="style0"/>
              <w:spacing w:lineRule="exact" w:line="320"/>
              <w:jc w:val="left"/>
              <w:rPr>
                <w:rFonts w:ascii="仿宋_GB2312" w:cs="仿宋_GB2312" w:eastAsia="仿宋_GB2312" w:hAnsi="仿宋_GB2312"/>
                <w:sz w:val="24"/>
              </w:rPr>
            </w:pPr>
            <w:r>
              <w:rPr>
                <w:rFonts w:ascii="仿宋_GB2312" w:cs="仿宋_GB2312" w:eastAsia="仿宋_GB2312" w:hAnsi="仿宋_GB2312" w:hint="eastAsia"/>
                <w:sz w:val="24"/>
              </w:rPr>
              <w:t>2、二级机构1</w:t>
            </w:r>
          </w:p>
        </w:tc>
        <w:tc>
          <w:tcPr>
            <w:tcW w:w="1080" w:type="dxa"/>
            <w:tcBorders>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仿宋_GB2312" w:hint="eastAsia"/>
                <w:color w:val="000000"/>
                <w:sz w:val="24"/>
                <w:lang w:val="en-US" w:eastAsia="zh-CN"/>
              </w:rPr>
              <w:t>2.53</w:t>
            </w:r>
          </w:p>
        </w:tc>
        <w:tc>
          <w:tcPr>
            <w:tcW w:w="2435" w:type="dxa"/>
            <w:gridSpan w:val="4"/>
            <w:tcBorders>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仿宋_GB2312" w:hint="eastAsia"/>
                <w:color w:val="000000"/>
                <w:sz w:val="24"/>
                <w:lang w:val="en-US" w:eastAsia="zh-CN"/>
              </w:rPr>
              <w:t>2.53</w:t>
            </w:r>
          </w:p>
        </w:tc>
        <w:tc>
          <w:tcPr>
            <w:tcW w:w="3644" w:type="dxa"/>
            <w:gridSpan w:val="7"/>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941"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r>
      <w:tr>
        <w:tblPrEx/>
        <w:trPr>
          <w:trHeight w:val="624" w:hRule="atLeast"/>
          <w:jc w:val="center"/>
        </w:trPr>
        <w:tc>
          <w:tcPr>
            <w:tcW w:w="1700" w:type="dxa"/>
            <w:gridSpan w:val="3"/>
            <w:tcBorders/>
            <w:vAlign w:val="center"/>
          </w:tcPr>
          <w:p>
            <w:pPr>
              <w:pStyle w:val="style0"/>
              <w:spacing w:lineRule="exact" w:line="320"/>
              <w:jc w:val="left"/>
              <w:rPr>
                <w:rFonts w:ascii="仿宋_GB2312" w:cs="仿宋_GB2312" w:eastAsia="仿宋_GB2312" w:hAnsi="仿宋_GB2312"/>
                <w:sz w:val="24"/>
              </w:rPr>
            </w:pPr>
            <w:r>
              <w:rPr>
                <w:rFonts w:ascii="仿宋_GB2312" w:cs="仿宋_GB2312" w:eastAsia="仿宋_GB2312" w:hAnsi="仿宋_GB2312" w:hint="eastAsia"/>
                <w:sz w:val="24"/>
              </w:rPr>
              <w:t>3、二级机构2</w:t>
            </w:r>
          </w:p>
        </w:tc>
        <w:tc>
          <w:tcPr>
            <w:tcW w:w="1080" w:type="dxa"/>
            <w:tcBorders>
              <w:righ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2435" w:type="dxa"/>
            <w:gridSpan w:val="4"/>
            <w:tcBorders>
              <w:left w:val="single" w:sz="4" w:space="0" w:color="auto"/>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3644" w:type="dxa"/>
            <w:gridSpan w:val="7"/>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941"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r>
      <w:tr>
        <w:tblPrEx/>
        <w:trPr>
          <w:trHeight w:val="567" w:hRule="atLeast"/>
          <w:jc w:val="center"/>
        </w:trPr>
        <w:tc>
          <w:tcPr>
            <w:tcW w:w="9800" w:type="dxa"/>
            <w:gridSpan w:val="17"/>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黑体" w:cs="黑体" w:eastAsia="黑体" w:hAnsi="黑体" w:hint="eastAsia"/>
                <w:color w:val="000000"/>
                <w:sz w:val="28"/>
                <w:szCs w:val="28"/>
              </w:rPr>
              <w:t>三、部门（单位）整体支出绩效自评情况</w:t>
            </w:r>
          </w:p>
        </w:tc>
      </w:tr>
      <w:tr>
        <w:tblPrEx/>
        <w:trPr>
          <w:trHeight w:val="567" w:hRule="atLeast"/>
          <w:jc w:val="center"/>
        </w:trPr>
        <w:tc>
          <w:tcPr>
            <w:tcW w:w="1441" w:type="dxa"/>
            <w:vMerge w:val="restart"/>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整体支出绩效定性目标及实施计划完成情况</w:t>
            </w:r>
          </w:p>
        </w:tc>
        <w:tc>
          <w:tcPr>
            <w:tcW w:w="3774" w:type="dxa"/>
            <w:gridSpan w:val="7"/>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预期目标</w:t>
            </w:r>
          </w:p>
        </w:tc>
        <w:tc>
          <w:tcPr>
            <w:tcW w:w="4585" w:type="dxa"/>
            <w:gridSpan w:val="9"/>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实际完成</w:t>
            </w:r>
          </w:p>
        </w:tc>
      </w:tr>
      <w:tr>
        <w:tblPrEx/>
        <w:trPr>
          <w:trHeight w:val="1172" w:hRule="atLeast"/>
          <w:jc w:val="center"/>
        </w:trPr>
        <w:tc>
          <w:tcPr>
            <w:tcW w:w="1441" w:type="dxa"/>
            <w:vMerge w:val="continue"/>
            <w:tcBorders/>
            <w:vAlign w:val="center"/>
          </w:tcPr>
          <w:p>
            <w:pPr>
              <w:pStyle w:val="style0"/>
              <w:spacing w:lineRule="exact" w:line="320"/>
              <w:rPr>
                <w:rFonts w:ascii="仿宋_GB2312" w:cs="仿宋_GB2312" w:eastAsia="仿宋_GB2312" w:hAnsi="仿宋_GB2312"/>
                <w:sz w:val="24"/>
              </w:rPr>
            </w:pPr>
          </w:p>
        </w:tc>
        <w:tc>
          <w:tcPr>
            <w:tcW w:w="3774" w:type="dxa"/>
            <w:gridSpan w:val="7"/>
            <w:tcBorders/>
            <w:vAlign w:val="center"/>
          </w:tcPr>
          <w:p>
            <w:pPr>
              <w:pStyle w:val="style0"/>
              <w:autoSpaceDN w:val="false"/>
              <w:spacing w:lineRule="exact" w:line="320"/>
              <w:jc w:val="center"/>
              <w:textAlignment w:val="center"/>
              <w:rPr>
                <w:rFonts w:ascii="仿宋_GB2312" w:cs="仿宋_GB2312" w:eastAsia="仿宋_GB2312" w:hAnsi="仿宋_GB2312" w:hint="eastAsia"/>
                <w:color w:val="000000"/>
                <w:sz w:val="24"/>
              </w:rPr>
            </w:pPr>
            <w:r>
              <w:rPr>
                <w:rFonts w:ascii="仿宋_GB2312" w:cs="仿宋_GB2312" w:eastAsia="仿宋_GB2312" w:hAnsi="仿宋_GB2312" w:hint="eastAsia"/>
                <w:color w:val="000000"/>
                <w:sz w:val="24"/>
              </w:rPr>
              <w:t>目标1：</w:t>
            </w:r>
            <w:r>
              <w:rPr>
                <w:rFonts w:ascii="仿宋_GB2312" w:cs="仿宋_GB2312" w:eastAsia="仿宋_GB2312" w:hAnsi="仿宋_GB2312" w:hint="eastAsia"/>
                <w:color w:val="000000"/>
                <w:sz w:val="24"/>
                <w:lang w:val="en-US" w:eastAsia="zh-CN"/>
              </w:rPr>
              <w:t>加强政治领导</w:t>
            </w:r>
          </w:p>
          <w:p>
            <w:pPr>
              <w:pStyle w:val="style0"/>
              <w:autoSpaceDN w:val="false"/>
              <w:spacing w:lineRule="exact" w:line="320"/>
              <w:jc w:val="center"/>
              <w:textAlignment w:val="center"/>
              <w:rPr>
                <w:rFonts w:ascii="仿宋_GB2312" w:cs="仿宋_GB2312" w:eastAsia="仿宋_GB2312" w:hAnsi="仿宋_GB2312" w:hint="eastAsia"/>
                <w:color w:val="000000"/>
                <w:sz w:val="24"/>
              </w:rPr>
            </w:pPr>
            <w:r>
              <w:rPr>
                <w:rFonts w:ascii="仿宋_GB2312" w:cs="仿宋_GB2312" w:eastAsia="仿宋_GB2312" w:hAnsi="仿宋_GB2312" w:hint="eastAsia"/>
                <w:color w:val="000000"/>
                <w:sz w:val="24"/>
              </w:rPr>
              <w:t>目标2：</w:t>
            </w:r>
            <w:r>
              <w:rPr>
                <w:rFonts w:ascii="仿宋_GB2312" w:cs="仿宋_GB2312" w:eastAsia="仿宋_GB2312" w:hAnsi="仿宋_GB2312" w:hint="eastAsia"/>
                <w:color w:val="000000"/>
                <w:sz w:val="24"/>
                <w:lang w:val="en-US" w:eastAsia="zh-CN"/>
              </w:rPr>
              <w:t>强化理论学习</w:t>
            </w:r>
          </w:p>
          <w:p>
            <w:pPr>
              <w:pStyle w:val="style0"/>
              <w:autoSpaceDN w:val="false"/>
              <w:spacing w:lineRule="exact" w:line="320"/>
              <w:jc w:val="center"/>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rPr>
              <w:t>目标3：</w:t>
            </w:r>
            <w:r>
              <w:rPr>
                <w:rFonts w:ascii="仿宋_GB2312" w:cs="仿宋_GB2312" w:eastAsia="仿宋_GB2312" w:hAnsi="仿宋_GB2312" w:hint="eastAsia"/>
                <w:color w:val="000000"/>
                <w:sz w:val="24"/>
                <w:lang w:val="en-US" w:eastAsia="zh-CN"/>
              </w:rPr>
              <w:t>认真落实制度</w:t>
            </w:r>
          </w:p>
          <w:p>
            <w:pPr>
              <w:pStyle w:val="style0"/>
              <w:autoSpaceDN w:val="false"/>
              <w:spacing w:lineRule="exact" w:line="320"/>
              <w:jc w:val="center"/>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rPr>
              <w:t>目标</w:t>
            </w:r>
            <w:r>
              <w:rPr>
                <w:rFonts w:ascii="仿宋_GB2312" w:cs="仿宋_GB2312" w:eastAsia="仿宋_GB2312" w:hAnsi="仿宋_GB2312" w:hint="eastAsia"/>
                <w:color w:val="000000"/>
                <w:sz w:val="24"/>
                <w:lang w:val="en-US" w:eastAsia="zh-CN"/>
              </w:rPr>
              <w:t>4</w:t>
            </w:r>
            <w:r>
              <w:rPr>
                <w:rFonts w:ascii="仿宋_GB2312" w:cs="仿宋_GB2312" w:eastAsia="仿宋_GB2312" w:hAnsi="仿宋_GB2312" w:hint="eastAsia"/>
                <w:color w:val="000000"/>
                <w:sz w:val="24"/>
              </w:rPr>
              <w:t>：</w:t>
            </w:r>
            <w:r>
              <w:rPr>
                <w:rFonts w:ascii="仿宋_GB2312" w:cs="仿宋_GB2312" w:eastAsia="仿宋_GB2312" w:hAnsi="仿宋_GB2312" w:hint="eastAsia"/>
                <w:color w:val="000000"/>
                <w:sz w:val="24"/>
                <w:lang w:val="en-US" w:eastAsia="zh-CN"/>
              </w:rPr>
              <w:t>增强忧患意识</w:t>
            </w:r>
          </w:p>
          <w:p>
            <w:pPr>
              <w:pStyle w:val="style0"/>
              <w:autoSpaceDN w:val="false"/>
              <w:spacing w:lineRule="exact" w:line="320"/>
              <w:jc w:val="center"/>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rPr>
              <w:t>目标</w:t>
            </w:r>
            <w:r>
              <w:rPr>
                <w:rFonts w:ascii="仿宋_GB2312" w:cs="仿宋_GB2312" w:eastAsia="仿宋_GB2312" w:hAnsi="仿宋_GB2312" w:hint="eastAsia"/>
                <w:color w:val="000000"/>
                <w:sz w:val="24"/>
                <w:lang w:val="en-US" w:eastAsia="zh-CN"/>
              </w:rPr>
              <w:t>5</w:t>
            </w:r>
            <w:r>
              <w:rPr>
                <w:rFonts w:ascii="仿宋_GB2312" w:cs="仿宋_GB2312" w:eastAsia="仿宋_GB2312" w:hAnsi="仿宋_GB2312" w:hint="eastAsia"/>
                <w:color w:val="000000"/>
                <w:sz w:val="24"/>
              </w:rPr>
              <w:t>：</w:t>
            </w:r>
            <w:r>
              <w:rPr>
                <w:rFonts w:ascii="仿宋_GB2312" w:cs="仿宋_GB2312" w:eastAsia="仿宋_GB2312" w:hAnsi="仿宋_GB2312" w:hint="eastAsia"/>
                <w:color w:val="000000"/>
                <w:sz w:val="24"/>
                <w:lang w:val="en-US" w:eastAsia="zh-CN"/>
              </w:rPr>
              <w:t>坚定政治信仰</w:t>
            </w:r>
          </w:p>
          <w:p>
            <w:pPr>
              <w:pStyle w:val="style0"/>
              <w:autoSpaceDN w:val="false"/>
              <w:spacing w:lineRule="exact" w:line="320"/>
              <w:jc w:val="center"/>
              <w:textAlignment w:val="center"/>
              <w:rPr>
                <w:rFonts w:ascii="仿宋_GB2312" w:cs="仿宋_GB2312" w:eastAsia="仿宋_GB2312" w:hAnsi="仿宋_GB2312" w:hint="eastAsia"/>
                <w:color w:val="000000"/>
                <w:sz w:val="24"/>
              </w:rPr>
            </w:pPr>
          </w:p>
        </w:tc>
        <w:tc>
          <w:tcPr>
            <w:tcW w:w="4585" w:type="dxa"/>
            <w:gridSpan w:val="9"/>
            <w:tcBorders/>
            <w:vAlign w:val="center"/>
          </w:tcPr>
          <w:p>
            <w:pPr>
              <w:pStyle w:val="style0"/>
              <w:autoSpaceDN w:val="false"/>
              <w:spacing w:lineRule="exact" w:line="320"/>
              <w:jc w:val="left"/>
              <w:textAlignment w:val="center"/>
              <w:rPr>
                <w:rFonts w:ascii="仿宋_GB2312" w:cs="仿宋_GB2312" w:eastAsia="仿宋_GB2312" w:hAnsi="仿宋_GB2312" w:hint="eastAsia"/>
                <w:color w:val="000000"/>
                <w:sz w:val="24"/>
                <w:lang w:eastAsia="zh-CN"/>
              </w:rPr>
            </w:pPr>
            <w:r>
              <w:rPr>
                <w:rFonts w:ascii="仿宋_GB2312" w:cs="仿宋_GB2312" w:eastAsia="仿宋_GB2312" w:hAnsi="仿宋_GB2312" w:hint="eastAsia"/>
                <w:color w:val="000000"/>
                <w:sz w:val="24"/>
              </w:rPr>
              <w:t>积极履行党建责任，发挥党建统领作用和领导班子核心作用，切实发挥党组织的战斗堡垒作用，团结和带领</w:t>
            </w:r>
            <w:r>
              <w:rPr>
                <w:rFonts w:ascii="仿宋_GB2312" w:cs="仿宋_GB2312" w:eastAsia="仿宋_GB2312" w:hAnsi="仿宋_GB2312" w:hint="eastAsia"/>
                <w:color w:val="000000"/>
                <w:sz w:val="24"/>
                <w:lang w:eastAsia="zh-CN"/>
              </w:rPr>
              <w:t>全体</w:t>
            </w:r>
            <w:r>
              <w:rPr>
                <w:rFonts w:ascii="仿宋_GB2312" w:cs="仿宋_GB2312" w:eastAsia="仿宋_GB2312" w:hAnsi="仿宋_GB2312" w:hint="eastAsia"/>
                <w:color w:val="000000"/>
                <w:sz w:val="24"/>
              </w:rPr>
              <w:t>职工围绕中心、服务大局、加压奋进，支部建设、组织生活、工作制度进一步规范</w:t>
            </w:r>
            <w:r>
              <w:rPr>
                <w:rFonts w:ascii="仿宋_GB2312" w:cs="仿宋_GB2312" w:eastAsia="仿宋_GB2312" w:hAnsi="仿宋_GB2312" w:hint="eastAsia"/>
                <w:color w:val="000000"/>
                <w:sz w:val="24"/>
                <w:lang w:eastAsia="zh-CN"/>
              </w:rPr>
              <w:t>。</w:t>
            </w:r>
          </w:p>
          <w:p>
            <w:pPr>
              <w:pStyle w:val="style0"/>
              <w:autoSpaceDN w:val="false"/>
              <w:spacing w:lineRule="exact" w:line="320"/>
              <w:jc w:val="center"/>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rPr>
              <w:t>坚持民主集中制和三重一大制度，建立民主决策议事制度，对重大资金、重大事项等班子集体研究集体决策。</w:t>
            </w:r>
            <w:r>
              <w:rPr>
                <w:rFonts w:ascii="仿宋_GB2312" w:cs="仿宋_GB2312" w:eastAsia="仿宋_GB2312" w:hAnsi="仿宋_GB2312" w:hint="eastAsia"/>
                <w:color w:val="000000"/>
                <w:sz w:val="24"/>
                <w:lang w:val="en-US" w:eastAsia="zh-CN"/>
              </w:rPr>
              <w:t>纯洁党内政治文化，积极开展党员民主评议、谈心交心活动，营造了清正、清明、清廉的良好政治氛围。</w:t>
            </w:r>
          </w:p>
          <w:p>
            <w:pPr>
              <w:pStyle w:val="style0"/>
              <w:autoSpaceDN w:val="false"/>
              <w:spacing w:lineRule="exact" w:line="320"/>
              <w:jc w:val="left"/>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仿宋_GB2312" w:hint="eastAsia"/>
                <w:color w:val="000000"/>
                <w:sz w:val="24"/>
              </w:rPr>
              <w:t>坚持把增强班子政治敏锐性和政治鉴别力，防范化解政治风险隐患作为重要工作，时刻保持对政治敏感性问题的高度警惕</w:t>
            </w:r>
            <w:r>
              <w:rPr>
                <w:rFonts w:ascii="仿宋_GB2312" w:cs="仿宋_GB2312" w:eastAsia="仿宋_GB2312" w:hAnsi="仿宋_GB2312" w:hint="eastAsia"/>
                <w:color w:val="000000"/>
                <w:sz w:val="24"/>
                <w:lang w:val="en-US" w:eastAsia="zh-CN"/>
              </w:rPr>
              <w:t>，牢牢掌握意识形态工作的领导权、话语权，严格</w:t>
            </w:r>
            <w:r>
              <w:rPr>
                <w:rFonts w:ascii="仿宋_GB2312" w:cs="仿宋_GB2312" w:eastAsia="仿宋_GB2312" w:hAnsi="仿宋_GB2312" w:hint="eastAsia"/>
                <w:color w:val="000000"/>
                <w:sz w:val="24"/>
              </w:rPr>
              <w:t>落实意识形态责任，</w:t>
            </w:r>
            <w:r>
              <w:rPr>
                <w:rFonts w:ascii="仿宋_GB2312" w:cs="仿宋_GB2312" w:eastAsia="仿宋_GB2312" w:hAnsi="仿宋_GB2312" w:hint="eastAsia"/>
                <w:color w:val="000000"/>
                <w:sz w:val="24"/>
                <w:lang w:eastAsia="zh-CN"/>
              </w:rPr>
              <w:t>党员干部网络学院</w:t>
            </w:r>
            <w:r>
              <w:rPr>
                <w:rFonts w:ascii="仿宋_GB2312" w:cs="仿宋_GB2312" w:eastAsia="仿宋_GB2312" w:hAnsi="仿宋_GB2312" w:hint="eastAsia"/>
                <w:color w:val="000000"/>
                <w:sz w:val="24"/>
              </w:rPr>
              <w:t>学习和“学习强国”</w:t>
            </w:r>
            <w:r>
              <w:rPr>
                <w:rFonts w:ascii="仿宋_GB2312" w:cs="仿宋_GB2312" w:eastAsia="仿宋_GB2312" w:hAnsi="仿宋_GB2312" w:hint="eastAsia"/>
                <w:color w:val="000000"/>
                <w:sz w:val="24"/>
                <w:lang w:eastAsia="zh-CN"/>
              </w:rPr>
              <w:t>均</w:t>
            </w:r>
            <w:r>
              <w:rPr>
                <w:rFonts w:ascii="仿宋_GB2312" w:cs="仿宋_GB2312" w:eastAsia="仿宋_GB2312" w:hAnsi="仿宋_GB2312" w:hint="eastAsia"/>
                <w:color w:val="000000"/>
                <w:sz w:val="24"/>
              </w:rPr>
              <w:t>按要求</w:t>
            </w:r>
            <w:r>
              <w:rPr>
                <w:rFonts w:ascii="仿宋_GB2312" w:cs="仿宋_GB2312" w:eastAsia="仿宋_GB2312" w:hAnsi="仿宋_GB2312" w:hint="eastAsia"/>
                <w:color w:val="000000"/>
                <w:sz w:val="24"/>
                <w:lang w:eastAsia="zh-CN"/>
              </w:rPr>
              <w:t>有序</w:t>
            </w:r>
            <w:r>
              <w:rPr>
                <w:rFonts w:ascii="仿宋_GB2312" w:cs="仿宋_GB2312" w:eastAsia="仿宋_GB2312" w:hAnsi="仿宋_GB2312" w:hint="eastAsia"/>
                <w:color w:val="000000"/>
                <w:sz w:val="24"/>
              </w:rPr>
              <w:t>开展</w:t>
            </w:r>
            <w:r>
              <w:rPr>
                <w:rFonts w:ascii="仿宋_GB2312" w:cs="仿宋_GB2312" w:eastAsia="仿宋_GB2312" w:hAnsi="仿宋_GB2312" w:hint="eastAsia"/>
                <w:color w:val="000000"/>
                <w:sz w:val="24"/>
                <w:lang w:eastAsia="zh-CN"/>
              </w:rPr>
              <w:t>。</w:t>
            </w:r>
          </w:p>
        </w:tc>
      </w:tr>
      <w:tr>
        <w:tblPrEx/>
        <w:trPr>
          <w:trHeight w:val="567" w:hRule="atLeast"/>
          <w:jc w:val="center"/>
        </w:trPr>
        <w:tc>
          <w:tcPr>
            <w:tcW w:w="1441" w:type="dxa"/>
            <w:vMerge w:val="restart"/>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整体支出</w:t>
            </w:r>
          </w:p>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绩效定量目标及实施计划完成情况</w:t>
            </w:r>
          </w:p>
        </w:tc>
        <w:tc>
          <w:tcPr>
            <w:tcW w:w="2966" w:type="dxa"/>
            <w:gridSpan w:val="6"/>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评价内容</w:t>
            </w:r>
          </w:p>
        </w:tc>
        <w:tc>
          <w:tcPr>
            <w:tcW w:w="2709" w:type="dxa"/>
            <w:gridSpan w:val="4"/>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绩效目标</w:t>
            </w:r>
          </w:p>
        </w:tc>
        <w:tc>
          <w:tcPr>
            <w:tcW w:w="2684" w:type="dxa"/>
            <w:gridSpan w:val="6"/>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完成情况</w:t>
            </w:r>
          </w:p>
        </w:tc>
      </w:tr>
      <w:tr>
        <w:tblPrEx/>
        <w:trPr>
          <w:trHeight w:val="635" w:hRule="atLeast"/>
          <w:jc w:val="center"/>
        </w:trPr>
        <w:tc>
          <w:tcPr>
            <w:tcW w:w="1441" w:type="dxa"/>
            <w:vMerge w:val="continue"/>
            <w:tcBorders/>
            <w:vAlign w:val="center"/>
          </w:tcPr>
          <w:p>
            <w:pPr>
              <w:pStyle w:val="style0"/>
              <w:spacing w:lineRule="exact" w:line="320"/>
              <w:rPr>
                <w:rFonts w:ascii="仿宋_GB2312" w:cs="仿宋_GB2312" w:eastAsia="仿宋_GB2312" w:hAnsi="仿宋_GB2312"/>
                <w:sz w:val="24"/>
              </w:rPr>
            </w:pPr>
          </w:p>
        </w:tc>
        <w:tc>
          <w:tcPr>
            <w:tcW w:w="1549" w:type="dxa"/>
            <w:gridSpan w:val="4"/>
            <w:vMerge w:val="restart"/>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产出目标</w:t>
            </w:r>
          </w:p>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（部门工作实绩，包含上级部门和</w:t>
            </w:r>
            <w:r>
              <w:rPr>
                <w:rFonts w:ascii="仿宋_GB2312" w:cs="仿宋_GB2312" w:eastAsia="仿宋_GB2312" w:hAnsi="仿宋_GB2312" w:hint="eastAsia"/>
                <w:color w:val="000000"/>
                <w:sz w:val="24"/>
                <w:lang w:val="en-US" w:eastAsia="zh-CN"/>
              </w:rPr>
              <w:t>区</w:t>
            </w:r>
            <w:r>
              <w:rPr>
                <w:rFonts w:ascii="仿宋_GB2312" w:cs="仿宋_GB2312" w:eastAsia="仿宋_GB2312" w:hAnsi="仿宋_GB2312" w:hint="eastAsia"/>
                <w:color w:val="000000"/>
                <w:sz w:val="24"/>
              </w:rPr>
              <w:t>委</w:t>
            </w:r>
            <w:r>
              <w:rPr>
                <w:rFonts w:ascii="仿宋_GB2312" w:cs="仿宋_GB2312" w:eastAsia="仿宋_GB2312" w:hAnsi="仿宋_GB2312" w:hint="eastAsia"/>
                <w:color w:val="000000"/>
                <w:sz w:val="24"/>
                <w:lang w:val="en-US" w:eastAsia="zh-CN"/>
              </w:rPr>
              <w:t>区</w:t>
            </w:r>
            <w:r>
              <w:rPr>
                <w:rFonts w:ascii="仿宋_GB2312" w:cs="仿宋_GB2312" w:eastAsia="仿宋_GB2312" w:hAnsi="仿宋_GB2312" w:hint="eastAsia"/>
                <w:color w:val="000000"/>
                <w:sz w:val="24"/>
              </w:rPr>
              <w:t>政府布置的重点工作、实事任务等，根据部门实际进行调整细化）</w:t>
            </w:r>
          </w:p>
        </w:tc>
        <w:tc>
          <w:tcPr>
            <w:tcW w:w="1417" w:type="dxa"/>
            <w:gridSpan w:val="2"/>
            <w:vMerge w:val="restart"/>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质量指标</w:t>
            </w:r>
          </w:p>
        </w:tc>
        <w:tc>
          <w:tcPr>
            <w:tcW w:w="2709" w:type="dxa"/>
            <w:gridSpan w:val="4"/>
            <w:tcBorders/>
            <w:vAlign w:val="center"/>
          </w:tcPr>
          <w:p>
            <w:pPr>
              <w:pStyle w:val="style0"/>
              <w:autoSpaceDN w:val="false"/>
              <w:spacing w:lineRule="exact" w:line="320"/>
              <w:jc w:val="center"/>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lang w:val="en-US" w:eastAsia="zh-CN"/>
              </w:rPr>
              <w:t>指标1：营造良好政治氛围</w:t>
            </w:r>
          </w:p>
        </w:tc>
        <w:tc>
          <w:tcPr>
            <w:tcW w:w="2684" w:type="dxa"/>
            <w:gridSpan w:val="6"/>
            <w:tcBorders/>
            <w:vAlign w:val="center"/>
          </w:tcPr>
          <w:p>
            <w:pPr>
              <w:pStyle w:val="style0"/>
              <w:autoSpaceDN w:val="false"/>
              <w:spacing w:lineRule="exact" w:line="320"/>
              <w:jc w:val="left"/>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lang w:val="en-US" w:eastAsia="zh-CN"/>
              </w:rPr>
              <w:t>纯洁党内政治文化，积极开展党员民主评议、谈心交心活动</w:t>
            </w:r>
          </w:p>
        </w:tc>
      </w:tr>
      <w:tr>
        <w:tblPrEx/>
        <w:trPr>
          <w:trHeight w:val="845" w:hRule="atLeast"/>
          <w:jc w:val="center"/>
        </w:trPr>
        <w:tc>
          <w:tcPr>
            <w:tcW w:w="1441" w:type="dxa"/>
            <w:vMerge w:val="continue"/>
            <w:tcBorders/>
            <w:vAlign w:val="center"/>
          </w:tcPr>
          <w:p>
            <w:pPr>
              <w:pStyle w:val="style0"/>
              <w:spacing w:lineRule="exact" w:line="320"/>
              <w:rPr>
                <w:rFonts w:ascii="仿宋_GB2312" w:cs="仿宋_GB2312" w:eastAsia="仿宋_GB2312" w:hAnsi="仿宋_GB2312"/>
                <w:sz w:val="24"/>
              </w:rPr>
            </w:pPr>
          </w:p>
        </w:tc>
        <w:tc>
          <w:tcPr>
            <w:tcW w:w="1549" w:type="dxa"/>
            <w:gridSpan w:val="4"/>
            <w:vMerge w:val="continue"/>
            <w:tcBorders/>
            <w:vAlign w:val="center"/>
          </w:tcPr>
          <w:p>
            <w:pPr>
              <w:pStyle w:val="style0"/>
              <w:autoSpaceDN w:val="false"/>
              <w:spacing w:lineRule="exact" w:line="320"/>
              <w:rPr>
                <w:rFonts w:ascii="仿宋_GB2312" w:cs="仿宋_GB2312" w:eastAsia="仿宋_GB2312" w:hAnsi="仿宋_GB2312"/>
                <w:sz w:val="24"/>
              </w:rPr>
            </w:pPr>
          </w:p>
        </w:tc>
        <w:tc>
          <w:tcPr>
            <w:tcW w:w="1417" w:type="dxa"/>
            <w:gridSpan w:val="2"/>
            <w:vMerge w:val="continue"/>
            <w:tcBorders/>
            <w:vAlign w:val="center"/>
          </w:tcPr>
          <w:p>
            <w:pPr>
              <w:pStyle w:val="style0"/>
              <w:spacing w:lineRule="exact" w:line="320"/>
              <w:rPr>
                <w:rFonts w:ascii="仿宋_GB2312" w:cs="仿宋_GB2312" w:eastAsia="仿宋_GB2312" w:hAnsi="仿宋_GB2312"/>
                <w:sz w:val="24"/>
              </w:rPr>
            </w:pPr>
          </w:p>
        </w:tc>
        <w:tc>
          <w:tcPr>
            <w:tcW w:w="2709" w:type="dxa"/>
            <w:gridSpan w:val="4"/>
            <w:tcBorders/>
            <w:vAlign w:val="center"/>
          </w:tcPr>
          <w:p>
            <w:pPr>
              <w:pStyle w:val="style0"/>
              <w:autoSpaceDN w:val="false"/>
              <w:spacing w:lineRule="exact" w:line="320"/>
              <w:jc w:val="center"/>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lang w:val="en-US" w:eastAsia="zh-CN"/>
              </w:rPr>
              <w:t>指标2：增强忧患意识</w:t>
            </w:r>
          </w:p>
          <w:p>
            <w:pPr>
              <w:pStyle w:val="style0"/>
              <w:autoSpaceDN w:val="false"/>
              <w:spacing w:lineRule="exact" w:line="320"/>
              <w:jc w:val="center"/>
              <w:textAlignment w:val="center"/>
              <w:rPr>
                <w:rFonts w:ascii="仿宋_GB2312" w:cs="仿宋_GB2312" w:eastAsia="仿宋_GB2312" w:hAnsi="仿宋_GB2312" w:hint="eastAsia"/>
                <w:color w:val="000000"/>
                <w:sz w:val="24"/>
              </w:rPr>
            </w:pPr>
          </w:p>
        </w:tc>
        <w:tc>
          <w:tcPr>
            <w:tcW w:w="2684" w:type="dxa"/>
            <w:gridSpan w:val="6"/>
            <w:tcBorders/>
            <w:vAlign w:val="center"/>
          </w:tcPr>
          <w:p>
            <w:pPr>
              <w:pStyle w:val="style0"/>
              <w:autoSpaceDN w:val="false"/>
              <w:spacing w:lineRule="exact" w:line="320"/>
              <w:jc w:val="left"/>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lang w:val="en-US" w:eastAsia="zh-CN"/>
              </w:rPr>
              <w:t>严格落实意识形态责任，党员干部网络学院学习和“学习强国”均按要求有序开展</w:t>
            </w:r>
          </w:p>
        </w:tc>
      </w:tr>
      <w:tr>
        <w:tblPrEx/>
        <w:trPr>
          <w:trHeight w:val="454" w:hRule="atLeast"/>
          <w:jc w:val="center"/>
        </w:trPr>
        <w:tc>
          <w:tcPr>
            <w:tcW w:w="1441" w:type="dxa"/>
            <w:vMerge w:val="continue"/>
            <w:tcBorders/>
            <w:vAlign w:val="center"/>
          </w:tcPr>
          <w:p>
            <w:pPr>
              <w:pStyle w:val="style0"/>
              <w:spacing w:lineRule="exact" w:line="320"/>
              <w:rPr>
                <w:rFonts w:ascii="仿宋_GB2312" w:cs="仿宋_GB2312" w:eastAsia="仿宋_GB2312" w:hAnsi="仿宋_GB2312"/>
                <w:sz w:val="24"/>
              </w:rPr>
            </w:pPr>
          </w:p>
        </w:tc>
        <w:tc>
          <w:tcPr>
            <w:tcW w:w="1549" w:type="dxa"/>
            <w:gridSpan w:val="4"/>
            <w:vMerge w:val="continue"/>
            <w:tcBorders/>
            <w:vAlign w:val="center"/>
          </w:tcPr>
          <w:p>
            <w:pPr>
              <w:pStyle w:val="style0"/>
              <w:autoSpaceDN w:val="false"/>
              <w:spacing w:lineRule="exact" w:line="320"/>
              <w:rPr>
                <w:rFonts w:ascii="仿宋_GB2312" w:cs="仿宋_GB2312" w:eastAsia="仿宋_GB2312" w:hAnsi="仿宋_GB2312"/>
                <w:sz w:val="24"/>
              </w:rPr>
            </w:pPr>
          </w:p>
        </w:tc>
        <w:tc>
          <w:tcPr>
            <w:tcW w:w="1417" w:type="dxa"/>
            <w:gridSpan w:val="2"/>
            <w:vMerge w:val="restart"/>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数量指标</w:t>
            </w:r>
          </w:p>
        </w:tc>
        <w:tc>
          <w:tcPr>
            <w:tcW w:w="2709" w:type="dxa"/>
            <w:gridSpan w:val="4"/>
            <w:tcBorders/>
            <w:vAlign w:val="center"/>
          </w:tcPr>
          <w:p>
            <w:pPr>
              <w:pStyle w:val="style0"/>
              <w:autoSpaceDN w:val="false"/>
              <w:spacing w:lineRule="exact" w:line="320"/>
              <w:jc w:val="center"/>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lang w:val="en-US" w:eastAsia="zh-CN"/>
              </w:rPr>
              <w:t>指标1：走访慰问联点对象</w:t>
            </w:r>
          </w:p>
        </w:tc>
        <w:tc>
          <w:tcPr>
            <w:tcW w:w="2684" w:type="dxa"/>
            <w:gridSpan w:val="6"/>
            <w:tcBorders/>
            <w:vAlign w:val="center"/>
          </w:tcPr>
          <w:p>
            <w:pPr>
              <w:pStyle w:val="style0"/>
              <w:autoSpaceDN w:val="false"/>
              <w:spacing w:lineRule="exact" w:line="320"/>
              <w:jc w:val="center"/>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lang w:val="en-US" w:eastAsia="zh-CN"/>
              </w:rPr>
              <w:t>3次以上</w:t>
            </w:r>
          </w:p>
        </w:tc>
      </w:tr>
      <w:tr>
        <w:tblPrEx/>
        <w:trPr>
          <w:trHeight w:val="432" w:hRule="atLeast"/>
          <w:jc w:val="center"/>
        </w:trPr>
        <w:tc>
          <w:tcPr>
            <w:tcW w:w="1441" w:type="dxa"/>
            <w:vMerge w:val="continue"/>
            <w:tcBorders/>
            <w:vAlign w:val="center"/>
          </w:tcPr>
          <w:p>
            <w:pPr>
              <w:pStyle w:val="style0"/>
              <w:spacing w:lineRule="exact" w:line="320"/>
              <w:rPr>
                <w:rFonts w:ascii="仿宋_GB2312" w:cs="仿宋_GB2312" w:eastAsia="仿宋_GB2312" w:hAnsi="仿宋_GB2312"/>
                <w:sz w:val="24"/>
              </w:rPr>
            </w:pPr>
          </w:p>
        </w:tc>
        <w:tc>
          <w:tcPr>
            <w:tcW w:w="1549" w:type="dxa"/>
            <w:gridSpan w:val="4"/>
            <w:vMerge w:val="continue"/>
            <w:tcBorders/>
            <w:vAlign w:val="center"/>
          </w:tcPr>
          <w:p>
            <w:pPr>
              <w:pStyle w:val="style0"/>
              <w:autoSpaceDN w:val="false"/>
              <w:spacing w:lineRule="exact" w:line="320"/>
              <w:rPr>
                <w:rFonts w:ascii="仿宋_GB2312" w:cs="仿宋_GB2312" w:eastAsia="仿宋_GB2312" w:hAnsi="仿宋_GB2312"/>
                <w:sz w:val="24"/>
              </w:rPr>
            </w:pPr>
          </w:p>
        </w:tc>
        <w:tc>
          <w:tcPr>
            <w:tcW w:w="1417" w:type="dxa"/>
            <w:gridSpan w:val="2"/>
            <w:vMerge w:val="continue"/>
            <w:tcBorders/>
            <w:vAlign w:val="center"/>
          </w:tcPr>
          <w:p>
            <w:pPr>
              <w:pStyle w:val="style0"/>
              <w:autoSpaceDN w:val="false"/>
              <w:spacing w:lineRule="exact" w:line="320"/>
              <w:jc w:val="center"/>
              <w:textAlignment w:val="center"/>
              <w:rPr>
                <w:rFonts w:ascii="仿宋_GB2312" w:cs="仿宋_GB2312" w:eastAsia="仿宋_GB2312" w:hAnsi="仿宋_GB2312"/>
                <w:sz w:val="24"/>
              </w:rPr>
            </w:pPr>
          </w:p>
        </w:tc>
        <w:tc>
          <w:tcPr>
            <w:tcW w:w="2709" w:type="dxa"/>
            <w:gridSpan w:val="4"/>
            <w:tcBorders/>
            <w:vAlign w:val="center"/>
          </w:tcPr>
          <w:p>
            <w:pPr>
              <w:pStyle w:val="style0"/>
              <w:autoSpaceDN w:val="false"/>
              <w:spacing w:lineRule="exact" w:line="320"/>
              <w:jc w:val="center"/>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lang w:val="en-US" w:eastAsia="zh-CN"/>
              </w:rPr>
              <w:t>指标2：举办专题教育党课</w:t>
            </w:r>
          </w:p>
        </w:tc>
        <w:tc>
          <w:tcPr>
            <w:tcW w:w="2684" w:type="dxa"/>
            <w:gridSpan w:val="6"/>
            <w:tcBorders/>
            <w:vAlign w:val="center"/>
          </w:tcPr>
          <w:p>
            <w:pPr>
              <w:pStyle w:val="style0"/>
              <w:autoSpaceDN w:val="false"/>
              <w:spacing w:lineRule="exact" w:line="320"/>
              <w:jc w:val="center"/>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lang w:val="en-US" w:eastAsia="zh-CN"/>
              </w:rPr>
              <w:t>6次</w:t>
            </w:r>
          </w:p>
        </w:tc>
      </w:tr>
      <w:tr>
        <w:tblPrEx/>
        <w:trPr>
          <w:trHeight w:val="454" w:hRule="atLeast"/>
          <w:jc w:val="center"/>
        </w:trPr>
        <w:tc>
          <w:tcPr>
            <w:tcW w:w="1441" w:type="dxa"/>
            <w:vMerge w:val="continue"/>
            <w:tcBorders/>
            <w:vAlign w:val="center"/>
          </w:tcPr>
          <w:p>
            <w:pPr>
              <w:pStyle w:val="style0"/>
              <w:spacing w:lineRule="exact" w:line="320"/>
              <w:rPr>
                <w:rFonts w:ascii="仿宋_GB2312" w:cs="仿宋_GB2312" w:eastAsia="仿宋_GB2312" w:hAnsi="仿宋_GB2312"/>
                <w:sz w:val="24"/>
              </w:rPr>
            </w:pPr>
          </w:p>
        </w:tc>
        <w:tc>
          <w:tcPr>
            <w:tcW w:w="1549" w:type="dxa"/>
            <w:gridSpan w:val="4"/>
            <w:vMerge w:val="continue"/>
            <w:tcBorders/>
            <w:vAlign w:val="center"/>
          </w:tcPr>
          <w:p>
            <w:pPr>
              <w:pStyle w:val="style0"/>
              <w:autoSpaceDN w:val="false"/>
              <w:spacing w:lineRule="exact" w:line="320"/>
              <w:rPr>
                <w:rFonts w:ascii="仿宋_GB2312" w:cs="仿宋_GB2312" w:eastAsia="仿宋_GB2312" w:hAnsi="仿宋_GB2312"/>
                <w:sz w:val="24"/>
              </w:rPr>
            </w:pPr>
          </w:p>
        </w:tc>
        <w:tc>
          <w:tcPr>
            <w:tcW w:w="1417" w:type="dxa"/>
            <w:gridSpan w:val="2"/>
            <w:vMerge w:val="restart"/>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时效指标</w:t>
            </w:r>
          </w:p>
        </w:tc>
        <w:tc>
          <w:tcPr>
            <w:tcW w:w="2709" w:type="dxa"/>
            <w:gridSpan w:val="4"/>
            <w:tcBorders/>
            <w:vAlign w:val="center"/>
          </w:tcPr>
          <w:p>
            <w:pPr>
              <w:pStyle w:val="style0"/>
              <w:autoSpaceDN w:val="false"/>
              <w:spacing w:lineRule="exact" w:line="320"/>
              <w:jc w:val="center"/>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lang w:val="en-US" w:eastAsia="zh-CN"/>
              </w:rPr>
              <w:t>指标1：按时间节点完成各项工作计划。</w:t>
            </w:r>
          </w:p>
        </w:tc>
        <w:tc>
          <w:tcPr>
            <w:tcW w:w="2684" w:type="dxa"/>
            <w:gridSpan w:val="6"/>
            <w:tcBorders/>
            <w:vAlign w:val="center"/>
          </w:tcPr>
          <w:p>
            <w:pPr>
              <w:pStyle w:val="style0"/>
              <w:autoSpaceDN w:val="false"/>
              <w:spacing w:lineRule="exact" w:line="320"/>
              <w:jc w:val="center"/>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lang w:val="en-US" w:eastAsia="zh-CN"/>
              </w:rPr>
              <w:t>已按时间进度完成工作计划。</w:t>
            </w:r>
          </w:p>
        </w:tc>
      </w:tr>
      <w:tr>
        <w:tblPrEx/>
        <w:trPr>
          <w:trHeight w:val="454" w:hRule="atLeast"/>
          <w:jc w:val="center"/>
        </w:trPr>
        <w:tc>
          <w:tcPr>
            <w:tcW w:w="1441" w:type="dxa"/>
            <w:vMerge w:val="continue"/>
            <w:tcBorders/>
            <w:vAlign w:val="center"/>
          </w:tcPr>
          <w:p>
            <w:pPr>
              <w:pStyle w:val="style0"/>
              <w:spacing w:lineRule="exact" w:line="320"/>
              <w:rPr>
                <w:rFonts w:ascii="仿宋_GB2312" w:cs="仿宋_GB2312" w:eastAsia="仿宋_GB2312" w:hAnsi="仿宋_GB2312"/>
                <w:sz w:val="24"/>
              </w:rPr>
            </w:pPr>
          </w:p>
        </w:tc>
        <w:tc>
          <w:tcPr>
            <w:tcW w:w="1549" w:type="dxa"/>
            <w:gridSpan w:val="4"/>
            <w:vMerge w:val="continue"/>
            <w:tcBorders/>
            <w:vAlign w:val="center"/>
          </w:tcPr>
          <w:p>
            <w:pPr>
              <w:pStyle w:val="style0"/>
              <w:autoSpaceDN w:val="false"/>
              <w:spacing w:lineRule="exact" w:line="320"/>
              <w:rPr>
                <w:rFonts w:ascii="仿宋_GB2312" w:cs="仿宋_GB2312" w:eastAsia="仿宋_GB2312" w:hAnsi="仿宋_GB2312"/>
                <w:sz w:val="24"/>
              </w:rPr>
            </w:pPr>
          </w:p>
        </w:tc>
        <w:tc>
          <w:tcPr>
            <w:tcW w:w="1417" w:type="dxa"/>
            <w:gridSpan w:val="2"/>
            <w:vMerge w:val="continue"/>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2709" w:type="dxa"/>
            <w:gridSpan w:val="4"/>
            <w:tcBorders/>
            <w:vAlign w:val="center"/>
          </w:tcPr>
          <w:p>
            <w:pPr>
              <w:pStyle w:val="style0"/>
              <w:autoSpaceDN w:val="false"/>
              <w:spacing w:lineRule="exact" w:line="320"/>
              <w:jc w:val="center"/>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lang w:val="en-US" w:eastAsia="zh-CN"/>
              </w:rPr>
              <w:t>指标2：项目建设在当年12月前完。</w:t>
            </w:r>
          </w:p>
        </w:tc>
        <w:tc>
          <w:tcPr>
            <w:tcW w:w="2684" w:type="dxa"/>
            <w:gridSpan w:val="6"/>
            <w:tcBorders/>
            <w:vAlign w:val="center"/>
          </w:tcPr>
          <w:p>
            <w:pPr>
              <w:pStyle w:val="style0"/>
              <w:autoSpaceDN w:val="false"/>
              <w:spacing w:lineRule="exact" w:line="320"/>
              <w:jc w:val="center"/>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lang w:val="en-US" w:eastAsia="zh-CN"/>
              </w:rPr>
              <w:t>2022年12年已完成全部项目建设。</w:t>
            </w:r>
          </w:p>
        </w:tc>
      </w:tr>
      <w:tr>
        <w:tblPrEx/>
        <w:trPr>
          <w:trHeight w:val="459" w:hRule="atLeast"/>
          <w:jc w:val="center"/>
        </w:trPr>
        <w:tc>
          <w:tcPr>
            <w:tcW w:w="1441" w:type="dxa"/>
            <w:vMerge w:val="continue"/>
            <w:tcBorders/>
            <w:vAlign w:val="center"/>
          </w:tcPr>
          <w:p>
            <w:pPr>
              <w:pStyle w:val="style0"/>
              <w:spacing w:lineRule="exact" w:line="320"/>
              <w:rPr>
                <w:rFonts w:ascii="仿宋_GB2312" w:cs="仿宋_GB2312" w:eastAsia="仿宋_GB2312" w:hAnsi="仿宋_GB2312"/>
                <w:sz w:val="24"/>
              </w:rPr>
            </w:pPr>
          </w:p>
        </w:tc>
        <w:tc>
          <w:tcPr>
            <w:tcW w:w="1549" w:type="dxa"/>
            <w:gridSpan w:val="4"/>
            <w:vMerge w:val="continue"/>
            <w:tcBorders/>
            <w:vAlign w:val="center"/>
          </w:tcPr>
          <w:p>
            <w:pPr>
              <w:pStyle w:val="style0"/>
              <w:autoSpaceDN w:val="false"/>
              <w:spacing w:lineRule="exact" w:line="320"/>
              <w:rPr>
                <w:rFonts w:ascii="仿宋_GB2312" w:cs="仿宋_GB2312" w:eastAsia="仿宋_GB2312" w:hAnsi="仿宋_GB2312"/>
                <w:sz w:val="24"/>
              </w:rPr>
            </w:pPr>
          </w:p>
        </w:tc>
        <w:tc>
          <w:tcPr>
            <w:tcW w:w="1417"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成本指标</w:t>
            </w:r>
          </w:p>
        </w:tc>
        <w:tc>
          <w:tcPr>
            <w:tcW w:w="2709" w:type="dxa"/>
            <w:gridSpan w:val="4"/>
            <w:tcBorders/>
            <w:vAlign w:val="center"/>
          </w:tcPr>
          <w:p>
            <w:pPr>
              <w:pStyle w:val="style0"/>
              <w:autoSpaceDN w:val="false"/>
              <w:spacing w:lineRule="exact" w:line="320"/>
              <w:jc w:val="both"/>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lang w:val="en-US" w:eastAsia="zh-CN"/>
              </w:rPr>
              <w:t>指标：压缩一般性支出</w:t>
            </w:r>
          </w:p>
        </w:tc>
        <w:tc>
          <w:tcPr>
            <w:tcW w:w="2684" w:type="dxa"/>
            <w:gridSpan w:val="6"/>
            <w:tcBorders/>
            <w:vAlign w:val="center"/>
          </w:tcPr>
          <w:p>
            <w:pPr>
              <w:pStyle w:val="style0"/>
              <w:autoSpaceDN w:val="false"/>
              <w:spacing w:lineRule="exact" w:line="320"/>
              <w:jc w:val="center"/>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lang w:val="en-US" w:eastAsia="zh-CN"/>
              </w:rPr>
              <w:t>一般性支出较上年下降</w:t>
            </w:r>
          </w:p>
        </w:tc>
      </w:tr>
      <w:tr>
        <w:tblPrEx/>
        <w:trPr>
          <w:trHeight w:val="454" w:hRule="atLeast"/>
          <w:jc w:val="center"/>
        </w:trPr>
        <w:tc>
          <w:tcPr>
            <w:tcW w:w="1441" w:type="dxa"/>
            <w:vMerge w:val="continue"/>
            <w:tcBorders/>
            <w:vAlign w:val="center"/>
          </w:tcPr>
          <w:p>
            <w:pPr>
              <w:pStyle w:val="style0"/>
              <w:spacing w:lineRule="exact" w:line="320"/>
              <w:rPr>
                <w:rFonts w:ascii="仿宋_GB2312" w:cs="仿宋_GB2312" w:eastAsia="仿宋_GB2312" w:hAnsi="仿宋_GB2312"/>
                <w:sz w:val="24"/>
              </w:rPr>
            </w:pPr>
          </w:p>
        </w:tc>
        <w:tc>
          <w:tcPr>
            <w:tcW w:w="1549" w:type="dxa"/>
            <w:gridSpan w:val="4"/>
            <w:vMerge w:val="restart"/>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效益目标</w:t>
            </w:r>
          </w:p>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（预期实现的效益）</w:t>
            </w:r>
          </w:p>
        </w:tc>
        <w:tc>
          <w:tcPr>
            <w:tcW w:w="1417"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社会效益</w:t>
            </w:r>
          </w:p>
        </w:tc>
        <w:tc>
          <w:tcPr>
            <w:tcW w:w="2709" w:type="dxa"/>
            <w:gridSpan w:val="4"/>
            <w:tcBorders/>
            <w:vAlign w:val="center"/>
          </w:tcPr>
          <w:p>
            <w:pPr>
              <w:pStyle w:val="style0"/>
              <w:autoSpaceDN w:val="false"/>
              <w:spacing w:lineRule="exact" w:line="320"/>
              <w:jc w:val="center"/>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lang w:val="en-US" w:eastAsia="zh-CN"/>
              </w:rPr>
              <w:t>指标：积极履行党建责任</w:t>
            </w:r>
          </w:p>
        </w:tc>
        <w:tc>
          <w:tcPr>
            <w:tcW w:w="2684" w:type="dxa"/>
            <w:gridSpan w:val="6"/>
            <w:tcBorders/>
            <w:vAlign w:val="center"/>
          </w:tcPr>
          <w:p>
            <w:pPr>
              <w:pStyle w:val="style0"/>
              <w:autoSpaceDN w:val="false"/>
              <w:spacing w:lineRule="exact" w:line="320"/>
              <w:jc w:val="left"/>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lang w:val="en-US" w:eastAsia="zh-CN"/>
              </w:rPr>
              <w:t>主动投身疫情防控等重点工作</w:t>
            </w:r>
          </w:p>
        </w:tc>
      </w:tr>
      <w:tr>
        <w:tblPrEx/>
        <w:trPr>
          <w:trHeight w:val="454" w:hRule="atLeast"/>
          <w:jc w:val="center"/>
        </w:trPr>
        <w:tc>
          <w:tcPr>
            <w:tcW w:w="1441" w:type="dxa"/>
            <w:vMerge w:val="continue"/>
            <w:tcBorders/>
            <w:vAlign w:val="center"/>
          </w:tcPr>
          <w:p>
            <w:pPr>
              <w:pStyle w:val="style0"/>
              <w:spacing w:lineRule="exact" w:line="320"/>
              <w:rPr>
                <w:rFonts w:ascii="仿宋_GB2312" w:cs="仿宋_GB2312" w:eastAsia="仿宋_GB2312" w:hAnsi="仿宋_GB2312"/>
                <w:sz w:val="24"/>
              </w:rPr>
            </w:pPr>
          </w:p>
        </w:tc>
        <w:tc>
          <w:tcPr>
            <w:tcW w:w="1549" w:type="dxa"/>
            <w:gridSpan w:val="4"/>
            <w:vMerge w:val="continue"/>
            <w:tcBorders/>
            <w:vAlign w:val="center"/>
          </w:tcPr>
          <w:p>
            <w:pPr>
              <w:pStyle w:val="style0"/>
              <w:autoSpaceDN w:val="false"/>
              <w:spacing w:lineRule="exact" w:line="320"/>
              <w:rPr>
                <w:rFonts w:ascii="仿宋_GB2312" w:cs="仿宋_GB2312" w:eastAsia="仿宋_GB2312" w:hAnsi="仿宋_GB2312"/>
                <w:sz w:val="24"/>
              </w:rPr>
            </w:pPr>
          </w:p>
        </w:tc>
        <w:tc>
          <w:tcPr>
            <w:tcW w:w="1417"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经济效益</w:t>
            </w:r>
          </w:p>
        </w:tc>
        <w:tc>
          <w:tcPr>
            <w:tcW w:w="2709" w:type="dxa"/>
            <w:gridSpan w:val="4"/>
            <w:tcBorders/>
            <w:vAlign w:val="center"/>
          </w:tcPr>
          <w:p>
            <w:pPr>
              <w:pStyle w:val="style0"/>
              <w:autoSpaceDN w:val="false"/>
              <w:spacing w:lineRule="exact" w:line="320"/>
              <w:jc w:val="center"/>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lang w:val="en-US" w:eastAsia="zh-CN"/>
              </w:rPr>
              <w:t>指标1：落实党风廉政建设责任制</w:t>
            </w:r>
          </w:p>
        </w:tc>
        <w:tc>
          <w:tcPr>
            <w:tcW w:w="2684" w:type="dxa"/>
            <w:gridSpan w:val="6"/>
            <w:tcBorders/>
            <w:vAlign w:val="center"/>
          </w:tcPr>
          <w:p>
            <w:pPr>
              <w:pStyle w:val="style0"/>
              <w:autoSpaceDN w:val="false"/>
              <w:spacing w:lineRule="exact" w:line="320"/>
              <w:jc w:val="left"/>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lang w:val="en-US" w:eastAsia="zh-CN"/>
              </w:rPr>
              <w:t>开展违规收送红包礼金自查自纠</w:t>
            </w:r>
          </w:p>
        </w:tc>
      </w:tr>
      <w:tr>
        <w:tblPrEx/>
        <w:trPr>
          <w:trHeight w:val="454" w:hRule="atLeast"/>
          <w:jc w:val="center"/>
        </w:trPr>
        <w:tc>
          <w:tcPr>
            <w:tcW w:w="1441" w:type="dxa"/>
            <w:vMerge w:val="continue"/>
            <w:tcBorders/>
            <w:vAlign w:val="center"/>
          </w:tcPr>
          <w:p>
            <w:pPr>
              <w:pStyle w:val="style0"/>
              <w:spacing w:lineRule="exact" w:line="320"/>
              <w:rPr>
                <w:rFonts w:ascii="仿宋_GB2312" w:cs="仿宋_GB2312" w:eastAsia="仿宋_GB2312" w:hAnsi="仿宋_GB2312"/>
                <w:sz w:val="24"/>
              </w:rPr>
            </w:pPr>
          </w:p>
        </w:tc>
        <w:tc>
          <w:tcPr>
            <w:tcW w:w="1549" w:type="dxa"/>
            <w:gridSpan w:val="4"/>
            <w:vMerge w:val="continue"/>
            <w:tcBorders/>
            <w:vAlign w:val="center"/>
          </w:tcPr>
          <w:p>
            <w:pPr>
              <w:pStyle w:val="style0"/>
              <w:autoSpaceDN w:val="false"/>
              <w:spacing w:lineRule="exact" w:line="320"/>
              <w:rPr>
                <w:rFonts w:ascii="仿宋_GB2312" w:cs="仿宋_GB2312" w:eastAsia="仿宋_GB2312" w:hAnsi="仿宋_GB2312"/>
                <w:sz w:val="24"/>
              </w:rPr>
            </w:pPr>
          </w:p>
        </w:tc>
        <w:tc>
          <w:tcPr>
            <w:tcW w:w="1417"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生态效益</w:t>
            </w:r>
          </w:p>
        </w:tc>
        <w:tc>
          <w:tcPr>
            <w:tcW w:w="2709" w:type="dxa"/>
            <w:gridSpan w:val="4"/>
            <w:tcBorders/>
            <w:vAlign w:val="center"/>
          </w:tcPr>
          <w:p>
            <w:pPr>
              <w:pStyle w:val="style0"/>
              <w:autoSpaceDN w:val="false"/>
              <w:spacing w:lineRule="exact" w:line="320"/>
              <w:jc w:val="center"/>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lang w:val="en-US" w:eastAsia="zh-CN"/>
              </w:rPr>
              <w:t>指标1：推进“农文旅体”融合发展</w:t>
            </w:r>
          </w:p>
        </w:tc>
        <w:tc>
          <w:tcPr>
            <w:tcW w:w="2684" w:type="dxa"/>
            <w:gridSpan w:val="6"/>
            <w:tcBorders/>
            <w:vAlign w:val="center"/>
          </w:tcPr>
          <w:p>
            <w:pPr>
              <w:pStyle w:val="style0"/>
              <w:autoSpaceDN w:val="false"/>
              <w:spacing w:lineRule="exact" w:line="320"/>
              <w:jc w:val="center"/>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lang w:val="en-US" w:eastAsia="zh-CN"/>
              </w:rPr>
              <w:t>有序开展</w:t>
            </w:r>
          </w:p>
        </w:tc>
      </w:tr>
      <w:tr>
        <w:tblPrEx/>
        <w:trPr>
          <w:trHeight w:val="454" w:hRule="atLeast"/>
          <w:jc w:val="center"/>
        </w:trPr>
        <w:tc>
          <w:tcPr>
            <w:tcW w:w="1441" w:type="dxa"/>
            <w:vMerge w:val="continue"/>
            <w:tcBorders/>
            <w:vAlign w:val="center"/>
          </w:tcPr>
          <w:p>
            <w:pPr>
              <w:pStyle w:val="style0"/>
              <w:spacing w:lineRule="exact" w:line="320"/>
              <w:rPr>
                <w:rFonts w:ascii="仿宋_GB2312" w:cs="仿宋_GB2312" w:eastAsia="仿宋_GB2312" w:hAnsi="仿宋_GB2312"/>
                <w:sz w:val="24"/>
              </w:rPr>
            </w:pPr>
          </w:p>
        </w:tc>
        <w:tc>
          <w:tcPr>
            <w:tcW w:w="1549" w:type="dxa"/>
            <w:gridSpan w:val="4"/>
            <w:vMerge w:val="continue"/>
            <w:tcBorders/>
            <w:vAlign w:val="center"/>
          </w:tcPr>
          <w:p>
            <w:pPr>
              <w:pStyle w:val="style0"/>
              <w:autoSpaceDN w:val="false"/>
              <w:spacing w:lineRule="exact" w:line="320"/>
              <w:rPr>
                <w:rFonts w:ascii="仿宋_GB2312" w:cs="仿宋_GB2312" w:eastAsia="仿宋_GB2312" w:hAnsi="仿宋_GB2312"/>
                <w:sz w:val="24"/>
              </w:rPr>
            </w:pPr>
          </w:p>
        </w:tc>
        <w:tc>
          <w:tcPr>
            <w:tcW w:w="1417"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社会公众或服务对象满意度</w:t>
            </w:r>
          </w:p>
        </w:tc>
        <w:tc>
          <w:tcPr>
            <w:tcW w:w="2709" w:type="dxa"/>
            <w:gridSpan w:val="4"/>
            <w:tcBorders/>
            <w:vAlign w:val="center"/>
          </w:tcPr>
          <w:p>
            <w:pPr>
              <w:pStyle w:val="style0"/>
              <w:autoSpaceDN w:val="false"/>
              <w:spacing w:lineRule="exact" w:line="320"/>
              <w:jc w:val="center"/>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lang w:val="en-US" w:eastAsia="zh-CN"/>
              </w:rPr>
              <w:t>指标1：人民群众的满意度达95%以上。</w:t>
            </w:r>
          </w:p>
        </w:tc>
        <w:tc>
          <w:tcPr>
            <w:tcW w:w="2684" w:type="dxa"/>
            <w:gridSpan w:val="6"/>
            <w:tcBorders/>
            <w:vAlign w:val="center"/>
          </w:tcPr>
          <w:p>
            <w:pPr>
              <w:pStyle w:val="style0"/>
              <w:autoSpaceDN w:val="false"/>
              <w:spacing w:lineRule="exact" w:line="320"/>
              <w:jc w:val="center"/>
              <w:textAlignment w:val="center"/>
              <w:rPr>
                <w:rFonts w:ascii="仿宋_GB2312" w:cs="仿宋_GB2312" w:eastAsia="仿宋_GB2312" w:hAnsi="仿宋_GB2312" w:hint="eastAsia"/>
                <w:color w:val="000000"/>
                <w:sz w:val="24"/>
                <w:lang w:val="en-US" w:eastAsia="zh-CN"/>
              </w:rPr>
            </w:pPr>
            <w:r>
              <w:rPr>
                <w:rFonts w:ascii="仿宋_GB2312" w:cs="仿宋_GB2312" w:eastAsia="仿宋_GB2312" w:hAnsi="仿宋_GB2312" w:hint="eastAsia"/>
                <w:color w:val="000000"/>
                <w:sz w:val="24"/>
                <w:lang w:val="en-US" w:eastAsia="zh-CN"/>
              </w:rPr>
              <w:t>满意度98%</w:t>
            </w:r>
          </w:p>
        </w:tc>
      </w:tr>
      <w:tr>
        <w:tblPrEx/>
        <w:trPr>
          <w:trHeight w:val="567" w:hRule="atLeast"/>
          <w:jc w:val="center"/>
        </w:trPr>
        <w:tc>
          <w:tcPr>
            <w:tcW w:w="2990" w:type="dxa"/>
            <w:gridSpan w:val="5"/>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绩效自评综合得分</w:t>
            </w:r>
          </w:p>
        </w:tc>
        <w:tc>
          <w:tcPr>
            <w:tcW w:w="6810" w:type="dxa"/>
            <w:gridSpan w:val="12"/>
            <w:tcBorders/>
            <w:vAlign w:val="center"/>
          </w:tcPr>
          <w:p>
            <w:pPr>
              <w:pStyle w:val="style0"/>
              <w:autoSpaceDN w:val="false"/>
              <w:spacing w:lineRule="exact" w:line="320"/>
              <w:jc w:val="center"/>
              <w:textAlignment w:val="center"/>
              <w:rPr>
                <w:rFonts w:ascii="仿宋_GB2312" w:cs="仿宋_GB2312" w:eastAsia="仿宋_GB2312" w:hAnsi="仿宋_GB2312" w:hint="default"/>
                <w:color w:val="000000"/>
                <w:sz w:val="24"/>
                <w:lang w:val="en-US" w:eastAsia="zh-CN"/>
              </w:rPr>
            </w:pPr>
            <w:r>
              <w:rPr>
                <w:rFonts w:ascii="仿宋_GB2312" w:cs="仿宋_GB2312" w:eastAsia="仿宋_GB2312" w:hAnsi="仿宋_GB2312" w:hint="eastAsia"/>
                <w:color w:val="000000"/>
                <w:sz w:val="24"/>
                <w:lang w:val="en-US" w:eastAsia="zh-CN"/>
              </w:rPr>
              <w:t>98</w:t>
            </w:r>
          </w:p>
        </w:tc>
      </w:tr>
      <w:tr>
        <w:tblPrEx/>
        <w:trPr>
          <w:trHeight w:val="567" w:hRule="atLeast"/>
          <w:jc w:val="center"/>
        </w:trPr>
        <w:tc>
          <w:tcPr>
            <w:tcW w:w="2990" w:type="dxa"/>
            <w:gridSpan w:val="5"/>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评价等次</w:t>
            </w:r>
          </w:p>
        </w:tc>
        <w:tc>
          <w:tcPr>
            <w:tcW w:w="6810" w:type="dxa"/>
            <w:gridSpan w:val="12"/>
            <w:tcBorders/>
            <w:vAlign w:val="center"/>
          </w:tcPr>
          <w:p>
            <w:pPr>
              <w:pStyle w:val="style0"/>
              <w:autoSpaceDN w:val="false"/>
              <w:spacing w:lineRule="exact" w:line="320"/>
              <w:jc w:val="center"/>
              <w:textAlignment w:val="center"/>
              <w:rPr>
                <w:rFonts w:ascii="仿宋_GB2312" w:cs="仿宋_GB2312" w:eastAsia="仿宋_GB2312" w:hAnsi="仿宋_GB2312" w:hint="eastAsia"/>
                <w:color w:val="000000"/>
                <w:sz w:val="24"/>
                <w:lang w:eastAsia="zh-CN"/>
              </w:rPr>
            </w:pPr>
            <w:r>
              <w:rPr>
                <w:rFonts w:ascii="仿宋_GB2312" w:cs="仿宋_GB2312" w:eastAsia="仿宋_GB2312" w:hAnsi="仿宋_GB2312" w:hint="eastAsia"/>
                <w:color w:val="000000"/>
                <w:sz w:val="24"/>
                <w:lang w:eastAsia="zh-CN"/>
              </w:rPr>
              <w:t>优秀</w:t>
            </w:r>
          </w:p>
        </w:tc>
      </w:tr>
      <w:tr>
        <w:tblPrEx/>
        <w:trPr>
          <w:trHeight w:val="680" w:hRule="atLeast"/>
          <w:jc w:val="center"/>
        </w:trPr>
        <w:tc>
          <w:tcPr>
            <w:tcW w:w="9800" w:type="dxa"/>
            <w:gridSpan w:val="17"/>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黑体" w:cs="黑体" w:eastAsia="黑体" w:hAnsi="黑体" w:hint="eastAsia"/>
                <w:color w:val="000000"/>
                <w:sz w:val="28"/>
                <w:szCs w:val="28"/>
              </w:rPr>
              <w:t>四、评价人员</w:t>
            </w:r>
          </w:p>
        </w:tc>
      </w:tr>
      <w:tr>
        <w:tblPrEx/>
        <w:trPr>
          <w:trHeight w:val="567" w:hRule="atLeast"/>
          <w:jc w:val="center"/>
        </w:trPr>
        <w:tc>
          <w:tcPr>
            <w:tcW w:w="1654"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姓  名</w:t>
            </w:r>
          </w:p>
        </w:tc>
        <w:tc>
          <w:tcPr>
            <w:tcW w:w="3561" w:type="dxa"/>
            <w:gridSpan w:val="6"/>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职务/职称</w:t>
            </w:r>
          </w:p>
        </w:tc>
        <w:tc>
          <w:tcPr>
            <w:tcW w:w="1479" w:type="dxa"/>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单  位</w:t>
            </w:r>
          </w:p>
        </w:tc>
        <w:tc>
          <w:tcPr>
            <w:tcW w:w="3106" w:type="dxa"/>
            <w:gridSpan w:val="8"/>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签  字</w:t>
            </w:r>
          </w:p>
        </w:tc>
      </w:tr>
      <w:tr>
        <w:tblPrEx/>
        <w:trPr>
          <w:trHeight w:val="680" w:hRule="atLeast"/>
          <w:jc w:val="center"/>
        </w:trPr>
        <w:tc>
          <w:tcPr>
            <w:tcW w:w="1654" w:type="dxa"/>
            <w:gridSpan w:val="2"/>
            <w:tcBorders/>
            <w:vAlign w:val="center"/>
          </w:tcPr>
          <w:p>
            <w:pPr>
              <w:pStyle w:val="style0"/>
              <w:autoSpaceDN w:val="false"/>
              <w:spacing w:lineRule="exact" w:line="400"/>
              <w:jc w:val="center"/>
              <w:textAlignment w:val="center"/>
              <w:rPr>
                <w:rFonts w:ascii="仿宋_GB2312" w:cs="仿宋_GB2312" w:eastAsia="仿宋_GB2312" w:hAnsi="仿宋_GB2312"/>
                <w:color w:val="000000"/>
                <w:kern w:val="2"/>
                <w:sz w:val="24"/>
                <w:szCs w:val="24"/>
                <w:highlight w:val="yellow"/>
                <w:lang w:val="en-US" w:eastAsia="zh-CN"/>
              </w:rPr>
            </w:pPr>
            <w:r>
              <w:rPr>
                <w:rFonts w:ascii="仿宋_GB2312" w:cs="仿宋_GB2312" w:eastAsia="仿宋_GB2312" w:hAnsi="仿宋_GB2312" w:hint="eastAsia"/>
                <w:color w:val="000000"/>
                <w:szCs w:val="21"/>
                <w:highlight w:val="yellow"/>
                <w:lang w:eastAsia="zh-CN"/>
              </w:rPr>
              <w:t>许四海</w:t>
            </w:r>
          </w:p>
        </w:tc>
        <w:tc>
          <w:tcPr>
            <w:tcW w:w="3561" w:type="dxa"/>
            <w:gridSpan w:val="6"/>
            <w:tcBorders/>
            <w:vAlign w:val="center"/>
          </w:tcPr>
          <w:p>
            <w:pPr>
              <w:pStyle w:val="style0"/>
              <w:autoSpaceDN w:val="false"/>
              <w:spacing w:lineRule="exact" w:line="400"/>
              <w:jc w:val="center"/>
              <w:textAlignment w:val="center"/>
              <w:rPr>
                <w:rFonts w:ascii="仿宋_GB2312" w:cs="仿宋_GB2312" w:eastAsia="仿宋_GB2312" w:hAnsi="仿宋_GB2312"/>
                <w:color w:val="000000"/>
                <w:kern w:val="2"/>
                <w:sz w:val="24"/>
                <w:szCs w:val="24"/>
                <w:highlight w:val="yellow"/>
                <w:lang w:val="en-US" w:eastAsia="zh-CN"/>
              </w:rPr>
            </w:pPr>
            <w:r>
              <w:rPr>
                <w:rFonts w:ascii="仿宋_GB2312" w:cs="仿宋_GB2312" w:eastAsia="仿宋_GB2312" w:hAnsi="仿宋_GB2312" w:hint="eastAsia"/>
                <w:color w:val="000000"/>
                <w:szCs w:val="21"/>
                <w:highlight w:val="yellow"/>
              </w:rPr>
              <w:t>主  任</w:t>
            </w:r>
          </w:p>
        </w:tc>
        <w:tc>
          <w:tcPr>
            <w:tcW w:w="1479" w:type="dxa"/>
            <w:tcBorders/>
            <w:vAlign w:val="center"/>
          </w:tcPr>
          <w:p>
            <w:pPr>
              <w:pStyle w:val="style0"/>
              <w:autoSpaceDN w:val="false"/>
              <w:spacing w:lineRule="exact" w:line="400"/>
              <w:jc w:val="center"/>
              <w:textAlignment w:val="center"/>
              <w:rPr>
                <w:rFonts w:ascii="仿宋_GB2312" w:cs="仿宋_GB2312" w:eastAsia="仿宋_GB2312" w:hAnsi="仿宋_GB2312"/>
                <w:color w:val="000000"/>
                <w:kern w:val="2"/>
                <w:sz w:val="24"/>
                <w:szCs w:val="24"/>
                <w:highlight w:val="yellow"/>
                <w:lang w:val="en-US" w:eastAsia="zh-CN"/>
              </w:rPr>
            </w:pPr>
            <w:r>
              <w:rPr>
                <w:rFonts w:ascii="仿宋_GB2312" w:cs="仿宋_GB2312" w:eastAsia="仿宋_GB2312" w:hAnsi="仿宋_GB2312" w:hint="eastAsia"/>
                <w:color w:val="000000"/>
                <w:szCs w:val="21"/>
                <w:highlight w:val="yellow"/>
              </w:rPr>
              <w:t>区政府办</w:t>
            </w:r>
          </w:p>
        </w:tc>
        <w:tc>
          <w:tcPr>
            <w:tcW w:w="3106" w:type="dxa"/>
            <w:gridSpan w:val="8"/>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r>
      <w:tr>
        <w:tblPrEx/>
        <w:trPr>
          <w:trHeight w:val="680" w:hRule="atLeast"/>
          <w:jc w:val="center"/>
        </w:trPr>
        <w:tc>
          <w:tcPr>
            <w:tcW w:w="1654" w:type="dxa"/>
            <w:gridSpan w:val="2"/>
            <w:tcBorders/>
            <w:vAlign w:val="center"/>
          </w:tcPr>
          <w:p>
            <w:pPr>
              <w:pStyle w:val="style0"/>
              <w:autoSpaceDN w:val="false"/>
              <w:spacing w:lineRule="exact" w:line="400"/>
              <w:jc w:val="center"/>
              <w:textAlignment w:val="center"/>
              <w:rPr>
                <w:rFonts w:ascii="仿宋_GB2312" w:cs="仿宋_GB2312" w:eastAsia="仿宋_GB2312" w:hAnsi="仿宋_GB2312"/>
                <w:color w:val="000000"/>
                <w:kern w:val="2"/>
                <w:sz w:val="24"/>
                <w:szCs w:val="24"/>
                <w:highlight w:val="yellow"/>
                <w:lang w:val="en-US" w:eastAsia="zh-CN"/>
              </w:rPr>
            </w:pPr>
            <w:r>
              <w:rPr>
                <w:rFonts w:ascii="仿宋_GB2312" w:cs="仿宋_GB2312" w:eastAsia="仿宋_GB2312" w:hAnsi="仿宋_GB2312" w:hint="eastAsia"/>
                <w:color w:val="000000"/>
                <w:kern w:val="2"/>
                <w:sz w:val="24"/>
                <w:szCs w:val="24"/>
                <w:highlight w:val="yellow"/>
                <w:lang w:val="en-US" w:eastAsia="zh-CN"/>
              </w:rPr>
              <w:t>白邦红</w:t>
            </w:r>
          </w:p>
        </w:tc>
        <w:tc>
          <w:tcPr>
            <w:tcW w:w="3561" w:type="dxa"/>
            <w:gridSpan w:val="6"/>
            <w:tcBorders/>
            <w:vAlign w:val="center"/>
          </w:tcPr>
          <w:p>
            <w:pPr>
              <w:pStyle w:val="style0"/>
              <w:autoSpaceDN w:val="false"/>
              <w:spacing w:lineRule="exact" w:line="400"/>
              <w:jc w:val="center"/>
              <w:textAlignment w:val="center"/>
              <w:rPr>
                <w:rFonts w:ascii="仿宋_GB2312" w:cs="仿宋_GB2312" w:eastAsia="仿宋_GB2312" w:hAnsi="仿宋_GB2312"/>
                <w:color w:val="000000"/>
                <w:kern w:val="2"/>
                <w:sz w:val="24"/>
                <w:szCs w:val="24"/>
                <w:highlight w:val="yellow"/>
                <w:lang w:val="en-US" w:eastAsia="zh-CN"/>
              </w:rPr>
            </w:pPr>
            <w:r>
              <w:rPr>
                <w:rFonts w:ascii="仿宋_GB2312" w:cs="仿宋_GB2312" w:eastAsia="仿宋_GB2312" w:hAnsi="仿宋_GB2312" w:hint="eastAsia"/>
                <w:color w:val="000000"/>
                <w:szCs w:val="21"/>
                <w:highlight w:val="yellow"/>
              </w:rPr>
              <w:t>副主任</w:t>
            </w:r>
          </w:p>
        </w:tc>
        <w:tc>
          <w:tcPr>
            <w:tcW w:w="1479" w:type="dxa"/>
            <w:tcBorders/>
            <w:vAlign w:val="center"/>
          </w:tcPr>
          <w:p>
            <w:pPr>
              <w:pStyle w:val="style0"/>
              <w:autoSpaceDN w:val="false"/>
              <w:spacing w:lineRule="exact" w:line="400"/>
              <w:jc w:val="center"/>
              <w:textAlignment w:val="center"/>
              <w:rPr>
                <w:rFonts w:ascii="仿宋_GB2312" w:cs="仿宋_GB2312" w:eastAsia="仿宋_GB2312" w:hAnsi="仿宋_GB2312"/>
                <w:color w:val="000000"/>
                <w:kern w:val="2"/>
                <w:sz w:val="24"/>
                <w:szCs w:val="24"/>
                <w:highlight w:val="yellow"/>
                <w:lang w:val="en-US" w:eastAsia="zh-CN"/>
              </w:rPr>
            </w:pPr>
            <w:r>
              <w:rPr>
                <w:rFonts w:ascii="仿宋_GB2312" w:cs="仿宋_GB2312" w:eastAsia="仿宋_GB2312" w:hAnsi="仿宋_GB2312" w:hint="eastAsia"/>
                <w:color w:val="000000"/>
                <w:szCs w:val="21"/>
                <w:highlight w:val="yellow"/>
              </w:rPr>
              <w:t>区政府办</w:t>
            </w:r>
          </w:p>
        </w:tc>
        <w:tc>
          <w:tcPr>
            <w:tcW w:w="3106" w:type="dxa"/>
            <w:gridSpan w:val="8"/>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r>
      <w:tr>
        <w:tblPrEx/>
        <w:trPr>
          <w:trHeight w:val="680" w:hRule="atLeast"/>
          <w:jc w:val="center"/>
        </w:trPr>
        <w:tc>
          <w:tcPr>
            <w:tcW w:w="1654"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3561" w:type="dxa"/>
            <w:gridSpan w:val="6"/>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1479" w:type="dxa"/>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3106" w:type="dxa"/>
            <w:gridSpan w:val="8"/>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r>
      <w:tr>
        <w:tblPrEx/>
        <w:trPr>
          <w:trHeight w:val="680" w:hRule="atLeast"/>
          <w:jc w:val="center"/>
        </w:trPr>
        <w:tc>
          <w:tcPr>
            <w:tcW w:w="1654" w:type="dxa"/>
            <w:gridSpan w:val="2"/>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3561" w:type="dxa"/>
            <w:gridSpan w:val="6"/>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1479" w:type="dxa"/>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c>
          <w:tcPr>
            <w:tcW w:w="3106" w:type="dxa"/>
            <w:gridSpan w:val="8"/>
            <w:tcBorders/>
            <w:vAlign w:val="center"/>
          </w:tcPr>
          <w:p>
            <w:pPr>
              <w:pStyle w:val="style0"/>
              <w:autoSpaceDN w:val="false"/>
              <w:spacing w:lineRule="exact" w:line="320"/>
              <w:jc w:val="center"/>
              <w:textAlignment w:val="center"/>
              <w:rPr>
                <w:rFonts w:ascii="仿宋_GB2312" w:cs="仿宋_GB2312" w:eastAsia="仿宋_GB2312" w:hAnsi="仿宋_GB2312"/>
                <w:color w:val="000000"/>
                <w:sz w:val="24"/>
              </w:rPr>
            </w:pPr>
          </w:p>
        </w:tc>
      </w:tr>
      <w:tr>
        <w:tblPrEx/>
        <w:trPr>
          <w:trHeight w:val="2072" w:hRule="atLeast"/>
          <w:jc w:val="center"/>
        </w:trPr>
        <w:tc>
          <w:tcPr>
            <w:tcW w:w="9800" w:type="dxa"/>
            <w:gridSpan w:val="17"/>
            <w:tcBorders/>
            <w:vAlign w:val="center"/>
          </w:tcPr>
          <w:p>
            <w:pPr>
              <w:pStyle w:val="style0"/>
              <w:autoSpaceDN w:val="false"/>
              <w:spacing w:lineRule="exact" w:line="320"/>
              <w:jc w:val="left"/>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评价组组长（签字）：</w:t>
            </w:r>
          </w:p>
          <w:p>
            <w:pPr>
              <w:pStyle w:val="style0"/>
              <w:autoSpaceDN w:val="false"/>
              <w:spacing w:lineRule="exact" w:line="320"/>
              <w:jc w:val="left"/>
              <w:textAlignment w:val="center"/>
              <w:rPr>
                <w:rFonts w:ascii="仿宋_GB2312" w:cs="仿宋_GB2312" w:eastAsia="仿宋_GB2312" w:hAnsi="仿宋_GB2312"/>
                <w:color w:val="000000"/>
                <w:sz w:val="24"/>
              </w:rPr>
            </w:pPr>
          </w:p>
          <w:p>
            <w:pPr>
              <w:pStyle w:val="style0"/>
              <w:autoSpaceDN w:val="false"/>
              <w:spacing w:lineRule="exact" w:line="320"/>
              <w:jc w:val="left"/>
              <w:textAlignment w:val="center"/>
              <w:rPr>
                <w:rFonts w:ascii="仿宋_GB2312" w:cs="仿宋_GB2312" w:eastAsia="仿宋_GB2312" w:hAnsi="仿宋_GB2312"/>
                <w:color w:val="000000"/>
                <w:sz w:val="24"/>
              </w:rPr>
            </w:pPr>
          </w:p>
          <w:p>
            <w:pPr>
              <w:pStyle w:val="style0"/>
              <w:autoSpaceDN w:val="false"/>
              <w:spacing w:lineRule="exact" w:line="320"/>
              <w:jc w:val="left"/>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 xml:space="preserve">                                                               年    月    日</w:t>
            </w:r>
          </w:p>
        </w:tc>
      </w:tr>
      <w:tr>
        <w:tblPrEx/>
        <w:trPr>
          <w:trHeight w:val="2262" w:hRule="atLeast"/>
          <w:jc w:val="center"/>
        </w:trPr>
        <w:tc>
          <w:tcPr>
            <w:tcW w:w="9800" w:type="dxa"/>
            <w:gridSpan w:val="17"/>
            <w:tcBorders/>
            <w:vAlign w:val="center"/>
          </w:tcPr>
          <w:p>
            <w:pPr>
              <w:pStyle w:val="style0"/>
              <w:autoSpaceDN w:val="false"/>
              <w:spacing w:lineRule="exact" w:line="320"/>
              <w:jc w:val="left"/>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部门（单位）意见：</w:t>
            </w:r>
          </w:p>
          <w:p>
            <w:pPr>
              <w:pStyle w:val="style0"/>
              <w:autoSpaceDN w:val="false"/>
              <w:spacing w:lineRule="exact" w:line="320"/>
              <w:jc w:val="left"/>
              <w:textAlignment w:val="center"/>
              <w:rPr>
                <w:rFonts w:ascii="仿宋_GB2312" w:cs="仿宋_GB2312" w:eastAsia="仿宋_GB2312" w:hAnsi="仿宋_GB2312"/>
                <w:color w:val="000000"/>
                <w:sz w:val="24"/>
              </w:rPr>
            </w:pPr>
          </w:p>
          <w:p>
            <w:pPr>
              <w:pStyle w:val="style0"/>
              <w:autoSpaceDN w:val="false"/>
              <w:spacing w:lineRule="exact" w:line="320"/>
              <w:jc w:val="left"/>
              <w:textAlignment w:val="center"/>
              <w:rPr>
                <w:rFonts w:ascii="仿宋_GB2312" w:cs="仿宋_GB2312" w:eastAsia="仿宋_GB2312" w:hAnsi="仿宋_GB2312"/>
                <w:color w:val="000000"/>
                <w:sz w:val="24"/>
              </w:rPr>
            </w:pPr>
          </w:p>
          <w:p>
            <w:pPr>
              <w:pStyle w:val="style0"/>
              <w:autoSpaceDN w:val="false"/>
              <w:spacing w:lineRule="exact" w:line="320"/>
              <w:jc w:val="left"/>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 xml:space="preserve">                                         部门（单位）负责人（签章）：</w:t>
            </w:r>
          </w:p>
          <w:p>
            <w:pPr>
              <w:pStyle w:val="style0"/>
              <w:autoSpaceDN w:val="false"/>
              <w:spacing w:lineRule="exact" w:line="320"/>
              <w:jc w:val="left"/>
              <w:textAlignment w:val="center"/>
              <w:rPr>
                <w:rFonts w:ascii="仿宋_GB2312" w:cs="仿宋_GB2312" w:eastAsia="仿宋_GB2312" w:hAnsi="仿宋_GB2312"/>
                <w:color w:val="000000"/>
                <w:sz w:val="24"/>
              </w:rPr>
            </w:pPr>
            <w:r>
              <w:rPr>
                <w:rFonts w:ascii="仿宋_GB2312" w:cs="仿宋_GB2312" w:eastAsia="仿宋_GB2312" w:hAnsi="仿宋_GB2312" w:hint="eastAsia"/>
                <w:color w:val="000000"/>
                <w:sz w:val="24"/>
              </w:rPr>
              <w:t xml:space="preserve">                                                               年    月    日</w:t>
            </w:r>
          </w:p>
        </w:tc>
      </w:tr>
      <w:tr>
        <w:tblPrEx/>
        <w:trPr>
          <w:trHeight w:val="2434" w:hRule="atLeast"/>
          <w:jc w:val="center"/>
        </w:trPr>
        <w:tc>
          <w:tcPr>
            <w:tcW w:w="9800" w:type="dxa"/>
            <w:gridSpan w:val="17"/>
            <w:tcBorders/>
            <w:vAlign w:val="center"/>
          </w:tcPr>
          <w:p>
            <w:pPr>
              <w:pStyle w:val="style0"/>
              <w:spacing w:lineRule="exact" w:line="320"/>
              <w:rPr>
                <w:rFonts w:eastAsia="仿宋_GB2312"/>
                <w:sz w:val="24"/>
              </w:rPr>
            </w:pPr>
            <w:r>
              <w:rPr>
                <w:rFonts w:eastAsia="仿宋_GB2312" w:hint="eastAsia"/>
                <w:sz w:val="24"/>
              </w:rPr>
              <w:t>财政部门归口业务科室意见：</w:t>
            </w:r>
          </w:p>
          <w:p>
            <w:pPr>
              <w:pStyle w:val="style0"/>
              <w:spacing w:lineRule="exact" w:line="320"/>
              <w:rPr>
                <w:rFonts w:eastAsia="仿宋_GB2312"/>
                <w:sz w:val="24"/>
              </w:rPr>
            </w:pPr>
          </w:p>
          <w:p>
            <w:pPr>
              <w:pStyle w:val="style0"/>
              <w:spacing w:lineRule="exact" w:line="320"/>
              <w:rPr>
                <w:rFonts w:eastAsia="仿宋_GB2312"/>
                <w:sz w:val="24"/>
              </w:rPr>
            </w:pPr>
          </w:p>
          <w:p>
            <w:pPr>
              <w:pStyle w:val="style0"/>
              <w:spacing w:lineRule="exact" w:line="320"/>
              <w:rPr>
                <w:rFonts w:eastAsia="仿宋_GB2312"/>
                <w:sz w:val="24"/>
              </w:rPr>
            </w:pPr>
            <w:r>
              <w:rPr>
                <w:rFonts w:eastAsia="仿宋_GB2312" w:hint="eastAsia"/>
                <w:sz w:val="24"/>
              </w:rPr>
              <w:t xml:space="preserve">                                  财政部门归口业务股室负责人（签章）：</w:t>
            </w:r>
          </w:p>
          <w:p>
            <w:pPr>
              <w:pStyle w:val="style0"/>
              <w:autoSpaceDN w:val="false"/>
              <w:spacing w:lineRule="exact" w:line="320"/>
              <w:jc w:val="left"/>
              <w:textAlignment w:val="center"/>
              <w:rPr>
                <w:rFonts w:ascii="仿宋_GB2312" w:cs="仿宋_GB2312" w:eastAsia="仿宋_GB2312" w:hAnsi="仿宋_GB2312"/>
                <w:color w:val="000000"/>
                <w:sz w:val="24"/>
              </w:rPr>
            </w:pPr>
            <w:r>
              <w:rPr>
                <w:rFonts w:eastAsia="仿宋_GB2312" w:hint="eastAsia"/>
                <w:sz w:val="24"/>
              </w:rPr>
              <w:t xml:space="preserve">                                                                 年    月   日</w:t>
            </w:r>
          </w:p>
        </w:tc>
      </w:tr>
    </w:tbl>
    <w:p>
      <w:pPr>
        <w:pStyle w:val="style0"/>
        <w:spacing w:lineRule="exact" w:line="320"/>
        <w:rPr>
          <w:rFonts w:eastAsia="仿宋_GB2312" w:hint="eastAsia"/>
          <w:sz w:val="24"/>
        </w:rPr>
      </w:pPr>
    </w:p>
    <w:p>
      <w:pPr>
        <w:pStyle w:val="style0"/>
        <w:spacing w:lineRule="exact" w:line="320"/>
        <w:rPr>
          <w:rFonts w:eastAsia="仿宋_GB2312"/>
          <w:sz w:val="24"/>
        </w:rPr>
      </w:pPr>
      <w:r>
        <w:rPr>
          <w:rFonts w:eastAsia="仿宋_GB2312" w:hint="eastAsia"/>
          <w:sz w:val="24"/>
        </w:rPr>
        <w:t>填报人（签名）：</w:t>
      </w:r>
      <w:r>
        <w:rPr>
          <w:rFonts w:eastAsia="仿宋_GB2312" w:hint="eastAsia"/>
          <w:sz w:val="24"/>
          <w:lang w:eastAsia="zh-CN"/>
        </w:rPr>
        <w:t>李细荣</w:t>
      </w:r>
      <w:r>
        <w:rPr>
          <w:rFonts w:eastAsia="仿宋_GB2312" w:hint="eastAsia"/>
          <w:sz w:val="24"/>
        </w:rPr>
        <w:t xml:space="preserve">  </w:t>
      </w:r>
      <w:r>
        <w:rPr>
          <w:rFonts w:eastAsia="仿宋_GB2312" w:hint="eastAsia"/>
          <w:sz w:val="24"/>
          <w:lang w:val="en-US" w:eastAsia="zh-CN"/>
        </w:rPr>
        <w:t xml:space="preserve">     </w:t>
      </w:r>
      <w:r>
        <w:rPr>
          <w:rFonts w:eastAsia="仿宋_GB2312" w:hint="eastAsia"/>
          <w:sz w:val="24"/>
        </w:rPr>
        <w:t xml:space="preserve">                联系电话：</w:t>
      </w:r>
      <w:r>
        <w:rPr>
          <w:rFonts w:eastAsia="仿宋_GB2312" w:hint="default"/>
          <w:sz w:val="24"/>
          <w:lang w:val="en-US"/>
        </w:rPr>
        <w:t>13467306433</w:t>
      </w:r>
    </w:p>
    <w:tbl>
      <w:tblPr>
        <w:tblStyle w:val="style105"/>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9558"/>
      </w:tblGrid>
      <w:tr>
        <w:trPr>
          <w:trHeight w:val="12998" w:hRule="atLeast"/>
          <w:jc w:val="center"/>
        </w:trPr>
        <w:tc>
          <w:tcPr>
            <w:tcW w:w="9558" w:type="dxa"/>
            <w:tcBorders/>
          </w:tcPr>
          <w:p>
            <w:pPr>
              <w:pStyle w:val="style0"/>
              <w:jc w:val="center"/>
              <w:rPr>
                <w:rFonts w:ascii="仿宋" w:cs="仿宋" w:eastAsia="仿宋" w:hAnsi="仿宋" w:hint="eastAsia"/>
                <w:sz w:val="30"/>
                <w:szCs w:val="30"/>
              </w:rPr>
            </w:pPr>
            <w:r>
              <w:rPr>
                <w:rFonts w:ascii="仿宋" w:cs="仿宋" w:eastAsia="仿宋" w:hAnsi="仿宋" w:hint="eastAsia"/>
                <w:sz w:val="30"/>
                <w:szCs w:val="30"/>
              </w:rPr>
              <w:t>五、评价报告综述（文字部分）</w:t>
            </w:r>
          </w:p>
          <w:p>
            <w:pPr>
              <w:pStyle w:val="style0"/>
              <w:spacing w:lineRule="exact" w:line="560"/>
              <w:ind w:firstLine="640" w:firstLineChars="200"/>
              <w:rPr>
                <w:rFonts w:ascii="仿宋" w:cs="仿宋_GB2312" w:eastAsia="仿宋" w:hAnsi="仿宋"/>
                <w:bCs/>
                <w:sz w:val="32"/>
                <w:szCs w:val="32"/>
              </w:rPr>
            </w:pPr>
            <w:r>
              <w:rPr>
                <w:rFonts w:ascii="仿宋" w:cs="仿宋_GB2312" w:eastAsia="仿宋" w:hAnsi="仿宋"/>
                <w:bCs/>
                <w:sz w:val="32"/>
                <w:szCs w:val="32"/>
              </w:rPr>
              <w:t>根据《君山区财政局关于开展 2022 年度财政支出绩效自评工作的通知》（岳君财发〔2023〕40 号）文件精神，为全面推进部门整体绩效目标的实现，提升财政资金的使用效率，强化预算支出的责任和效率，我单位对 2022 年部门整体支出开展了绩效自评，现将具体情况报告如下：</w:t>
            </w:r>
          </w:p>
          <w:p>
            <w:pPr>
              <w:pStyle w:val="style0"/>
              <w:spacing w:lineRule="exact" w:line="560"/>
              <w:ind w:firstLine="600" w:firstLineChars="200"/>
              <w:rPr>
                <w:rFonts w:ascii="仿宋" w:cs="仿宋" w:eastAsia="仿宋" w:hAnsi="仿宋" w:hint="eastAsia"/>
                <w:sz w:val="30"/>
                <w:szCs w:val="30"/>
              </w:rPr>
            </w:pPr>
            <w:r>
              <w:rPr>
                <w:rFonts w:ascii="仿宋" w:cs="仿宋" w:eastAsia="仿宋" w:hAnsi="仿宋" w:hint="eastAsia"/>
                <w:sz w:val="30"/>
                <w:szCs w:val="30"/>
              </w:rPr>
              <w:t>一、部门（单位）概况</w:t>
            </w:r>
          </w:p>
          <w:p>
            <w:pPr>
              <w:pStyle w:val="style0"/>
              <w:spacing w:lineRule="exact" w:line="580"/>
              <w:ind w:firstLine="600" w:firstLineChars="200"/>
              <w:rPr>
                <w:rFonts w:ascii="仿宋" w:cs="仿宋" w:eastAsia="仿宋" w:hAnsi="仿宋" w:hint="eastAsia"/>
                <w:sz w:val="30"/>
                <w:szCs w:val="30"/>
              </w:rPr>
            </w:pPr>
            <w:r>
              <w:rPr>
                <w:rFonts w:ascii="仿宋" w:cs="仿宋" w:eastAsia="仿宋" w:hAnsi="仿宋" w:hint="eastAsia"/>
                <w:sz w:val="30"/>
                <w:szCs w:val="30"/>
              </w:rPr>
              <w:t>（一）机构设置情况</w:t>
            </w:r>
          </w:p>
          <w:p>
            <w:pPr>
              <w:pStyle w:val="style0"/>
              <w:spacing w:lineRule="exact" w:line="580"/>
              <w:ind w:firstLine="600" w:firstLineChars="200"/>
              <w:rPr>
                <w:rFonts w:ascii="仿宋" w:cs="仿宋" w:eastAsia="仿宋" w:hAnsi="仿宋" w:hint="eastAsia"/>
                <w:sz w:val="30"/>
                <w:szCs w:val="30"/>
              </w:rPr>
            </w:pPr>
            <w:r>
              <w:rPr>
                <w:rFonts w:ascii="仿宋" w:cs="仿宋" w:eastAsia="仿宋" w:hAnsi="仿宋" w:hint="eastAsia"/>
                <w:sz w:val="30"/>
                <w:szCs w:val="30"/>
              </w:rPr>
              <w:t>区人民政府办公室内设秘书一室、秘书二室（保密室）、总值班室、督查室、政工人事室、行政室、金融室、电子政务室、禁毒办等9个科室。</w:t>
            </w:r>
          </w:p>
          <w:p>
            <w:pPr>
              <w:pStyle w:val="style0"/>
              <w:spacing w:lineRule="exact" w:line="580"/>
              <w:ind w:firstLine="600" w:firstLineChars="200"/>
              <w:rPr>
                <w:rFonts w:ascii="仿宋" w:cs="仿宋" w:eastAsia="仿宋" w:hAnsi="仿宋" w:hint="eastAsia"/>
                <w:sz w:val="30"/>
                <w:szCs w:val="30"/>
              </w:rPr>
            </w:pPr>
            <w:r>
              <w:rPr>
                <w:rFonts w:ascii="仿宋" w:cs="仿宋" w:eastAsia="仿宋" w:hAnsi="仿宋" w:hint="eastAsia"/>
                <w:sz w:val="30"/>
                <w:szCs w:val="30"/>
              </w:rPr>
              <w:t>（</w:t>
            </w:r>
            <w:r>
              <w:rPr>
                <w:rFonts w:ascii="仿宋" w:cs="仿宋" w:eastAsia="仿宋" w:hAnsi="仿宋" w:hint="eastAsia"/>
                <w:sz w:val="30"/>
                <w:szCs w:val="30"/>
                <w:lang w:val="en-US" w:eastAsia="zh-CN"/>
              </w:rPr>
              <w:t>二</w:t>
            </w:r>
            <w:r>
              <w:rPr>
                <w:rFonts w:ascii="仿宋" w:cs="仿宋" w:eastAsia="仿宋" w:hAnsi="仿宋" w:hint="eastAsia"/>
                <w:sz w:val="30"/>
                <w:szCs w:val="30"/>
              </w:rPr>
              <w:t>）单位主要职能</w:t>
            </w:r>
          </w:p>
          <w:p>
            <w:pPr>
              <w:pStyle w:val="style0"/>
              <w:spacing w:lineRule="exact" w:line="580"/>
              <w:ind w:firstLine="600" w:firstLineChars="200"/>
              <w:rPr>
                <w:rFonts w:ascii="仿宋" w:cs="仿宋" w:eastAsia="仿宋" w:hAnsi="仿宋" w:hint="eastAsia"/>
                <w:sz w:val="30"/>
                <w:szCs w:val="30"/>
              </w:rPr>
            </w:pPr>
            <w:r>
              <w:rPr>
                <w:rFonts w:ascii="仿宋" w:cs="仿宋" w:eastAsia="仿宋" w:hAnsi="仿宋" w:hint="eastAsia"/>
                <w:sz w:val="30"/>
                <w:szCs w:val="30"/>
              </w:rPr>
              <w:t>1.协助区人民政府领导组织起草或审核以区人民政府、区人民政府办公室名义发布的公文。</w:t>
            </w:r>
          </w:p>
          <w:p>
            <w:pPr>
              <w:pStyle w:val="style0"/>
              <w:spacing w:lineRule="exact" w:line="580"/>
              <w:ind w:firstLine="600" w:firstLineChars="200"/>
              <w:rPr>
                <w:rFonts w:ascii="仿宋" w:cs="仿宋" w:eastAsia="仿宋" w:hAnsi="仿宋" w:hint="eastAsia"/>
                <w:sz w:val="30"/>
                <w:szCs w:val="30"/>
              </w:rPr>
            </w:pPr>
            <w:r>
              <w:rPr>
                <w:rFonts w:ascii="仿宋" w:cs="仿宋" w:eastAsia="仿宋" w:hAnsi="仿宋" w:hint="eastAsia"/>
                <w:sz w:val="30"/>
                <w:szCs w:val="30"/>
              </w:rPr>
              <w:t>2.受理并研究区人民政府各部门和各镇（办事处）、场请示区人民政府的事项，提出审核意见；对区人民政府部门间的分歧事项提出处理意见，报区人民政府领导决定。</w:t>
            </w:r>
          </w:p>
          <w:p>
            <w:pPr>
              <w:pStyle w:val="style0"/>
              <w:spacing w:lineRule="exact" w:line="580"/>
              <w:ind w:firstLine="600" w:firstLineChars="200"/>
              <w:rPr>
                <w:rFonts w:ascii="仿宋" w:cs="仿宋" w:eastAsia="仿宋" w:hAnsi="仿宋" w:hint="eastAsia"/>
                <w:sz w:val="30"/>
                <w:szCs w:val="30"/>
              </w:rPr>
            </w:pPr>
            <w:r>
              <w:rPr>
                <w:rFonts w:ascii="仿宋" w:cs="仿宋" w:eastAsia="仿宋" w:hAnsi="仿宋" w:hint="eastAsia"/>
                <w:sz w:val="30"/>
                <w:szCs w:val="30"/>
              </w:rPr>
              <w:t>3.负责区人民政府会议的筹备工作，协助区人民政府领导同志组织实施会议决定事项；根据区人民政府领导的指示和区人民政府的工作部署，对全区经济建设、社会发展和改革开放等全局性工作的重大课题进行调查研究，及时反映情况，提出建议；收集、整理、传递政务信息，为区人民政府领导决策和指导工作提供信息服务。</w:t>
            </w:r>
          </w:p>
          <w:p>
            <w:pPr>
              <w:pStyle w:val="style0"/>
              <w:spacing w:lineRule="exact" w:line="580"/>
              <w:ind w:firstLine="600" w:firstLineChars="200"/>
              <w:rPr>
                <w:rFonts w:ascii="仿宋" w:cs="仿宋" w:eastAsia="仿宋" w:hAnsi="仿宋" w:hint="eastAsia"/>
                <w:sz w:val="30"/>
                <w:szCs w:val="30"/>
              </w:rPr>
            </w:pPr>
            <w:r>
              <w:rPr>
                <w:rFonts w:ascii="仿宋" w:cs="仿宋" w:eastAsia="仿宋" w:hAnsi="仿宋" w:hint="eastAsia"/>
                <w:sz w:val="30"/>
                <w:szCs w:val="30"/>
              </w:rPr>
              <w:t>4.督促检查区人民政府各部门和各镇（办事处）、场对区人民政府公文、区人民政府决定事项及区政府领导有关指示的贯彻落实情况，及时向区人民政府领导报告；负责组织对区人民政府系统年度工作目标的制定、进度督查和年度绩效评估工作。</w:t>
            </w:r>
          </w:p>
          <w:p>
            <w:pPr>
              <w:pStyle w:val="style0"/>
              <w:spacing w:lineRule="exact" w:line="580"/>
              <w:ind w:firstLine="600" w:firstLineChars="200"/>
              <w:rPr>
                <w:rFonts w:ascii="仿宋" w:cs="仿宋" w:eastAsia="仿宋" w:hAnsi="仿宋" w:hint="eastAsia"/>
                <w:sz w:val="30"/>
                <w:szCs w:val="30"/>
              </w:rPr>
            </w:pPr>
            <w:r>
              <w:rPr>
                <w:rFonts w:ascii="仿宋" w:cs="仿宋" w:eastAsia="仿宋" w:hAnsi="仿宋" w:hint="eastAsia"/>
                <w:sz w:val="30"/>
                <w:szCs w:val="30"/>
              </w:rPr>
              <w:t>5.负责区人民政府日常值班工作，及时报告重要情况，传达和督促落实区人民政府领导指示。</w:t>
            </w:r>
          </w:p>
          <w:p>
            <w:pPr>
              <w:pStyle w:val="style0"/>
              <w:spacing w:lineRule="exact" w:line="580"/>
              <w:ind w:firstLine="600" w:firstLineChars="200"/>
              <w:rPr>
                <w:rFonts w:ascii="仿宋" w:cs="仿宋" w:eastAsia="仿宋" w:hAnsi="仿宋" w:hint="eastAsia"/>
                <w:sz w:val="30"/>
                <w:szCs w:val="30"/>
              </w:rPr>
            </w:pPr>
            <w:r>
              <w:rPr>
                <w:rFonts w:ascii="仿宋" w:cs="仿宋" w:eastAsia="仿宋" w:hAnsi="仿宋" w:hint="eastAsia"/>
                <w:sz w:val="30"/>
                <w:szCs w:val="30"/>
              </w:rPr>
              <w:t>6.组织办理和答复人大代表建议和政协委员提案。</w:t>
            </w:r>
          </w:p>
          <w:p>
            <w:pPr>
              <w:pStyle w:val="style0"/>
              <w:spacing w:lineRule="exact" w:line="580"/>
              <w:ind w:firstLine="600" w:firstLineChars="200"/>
              <w:rPr>
                <w:rFonts w:ascii="仿宋" w:cs="仿宋" w:eastAsia="仿宋" w:hAnsi="仿宋" w:hint="eastAsia"/>
                <w:sz w:val="30"/>
                <w:szCs w:val="30"/>
              </w:rPr>
            </w:pPr>
            <w:r>
              <w:rPr>
                <w:rFonts w:ascii="仿宋" w:cs="仿宋" w:eastAsia="仿宋" w:hAnsi="仿宋" w:hint="eastAsia"/>
                <w:sz w:val="30"/>
                <w:szCs w:val="30"/>
              </w:rPr>
              <w:t>7.承办区委、区人民政府交办的其他事项。</w:t>
            </w:r>
          </w:p>
          <w:p>
            <w:pPr>
              <w:pStyle w:val="style0"/>
              <w:spacing w:lineRule="exact" w:line="560"/>
              <w:ind w:firstLine="600" w:firstLineChars="200"/>
              <w:rPr>
                <w:rFonts w:ascii="仿宋" w:cs="仿宋" w:eastAsia="仿宋" w:hAnsi="仿宋" w:hint="eastAsia"/>
                <w:sz w:val="30"/>
                <w:szCs w:val="30"/>
              </w:rPr>
            </w:pPr>
            <w:r>
              <w:rPr>
                <w:rFonts w:ascii="仿宋" w:cs="仿宋" w:eastAsia="仿宋" w:hAnsi="仿宋" w:hint="eastAsia"/>
                <w:sz w:val="30"/>
                <w:szCs w:val="30"/>
              </w:rPr>
              <w:t>二、部门（单位）整体支出管理及使用情况</w:t>
            </w:r>
          </w:p>
          <w:p>
            <w:pPr>
              <w:pStyle w:val="style0"/>
              <w:spacing w:lineRule="exact" w:line="580"/>
              <w:ind w:firstLine="640" w:firstLineChars="200"/>
              <w:rPr>
                <w:rFonts w:ascii="仿宋" w:cs="仿宋_GB2312" w:eastAsia="仿宋" w:hAnsi="仿宋"/>
                <w:sz w:val="32"/>
                <w:szCs w:val="32"/>
              </w:rPr>
            </w:pPr>
            <w:r>
              <w:rPr>
                <w:rFonts w:ascii="仿宋" w:cs="仿宋_GB2312" w:eastAsia="仿宋" w:hAnsi="仿宋" w:hint="eastAsia"/>
                <w:sz w:val="32"/>
                <w:szCs w:val="32"/>
              </w:rPr>
              <w:t>（一）单位整体支出管理情况</w:t>
            </w:r>
          </w:p>
          <w:p>
            <w:pPr>
              <w:pStyle w:val="style0"/>
              <w:spacing w:lineRule="exact" w:line="580"/>
              <w:ind w:firstLine="640" w:firstLineChars="200"/>
              <w:rPr>
                <w:rFonts w:ascii="仿宋" w:cs="仿宋_GB2312" w:eastAsia="仿宋" w:hAnsi="仿宋"/>
                <w:sz w:val="32"/>
                <w:szCs w:val="32"/>
              </w:rPr>
            </w:pPr>
            <w:r>
              <w:rPr>
                <w:rFonts w:ascii="仿宋" w:cs="仿宋_GB2312" w:eastAsia="仿宋" w:hAnsi="仿宋" w:hint="eastAsia"/>
                <w:sz w:val="32"/>
                <w:szCs w:val="32"/>
              </w:rPr>
              <w:t>1.严格预算支出管理。在支出预算编制上，人员经费按照配置定额，逐人核定编制，公用经费分类分档，按定额编制；根据“总量控制、计划管理”的要求从严控制行政经费，压缩公务费开支，严格控制“三公”经费，资产的配置严格政府采购，按照预算科目和项目资金的规定使用财政资金，保障部门整体支出的规范化、制度化。</w:t>
            </w:r>
          </w:p>
          <w:p>
            <w:pPr>
              <w:pStyle w:val="style0"/>
              <w:spacing w:lineRule="exact" w:line="580"/>
              <w:ind w:firstLine="640" w:firstLineChars="200"/>
              <w:rPr>
                <w:rFonts w:ascii="仿宋" w:cs="仿宋_GB2312" w:eastAsia="仿宋" w:hAnsi="仿宋"/>
                <w:sz w:val="32"/>
                <w:szCs w:val="32"/>
              </w:rPr>
            </w:pPr>
            <w:r>
              <w:rPr>
                <w:rFonts w:ascii="仿宋" w:cs="仿宋_GB2312" w:eastAsia="仿宋" w:hAnsi="仿宋" w:hint="eastAsia"/>
                <w:sz w:val="32"/>
                <w:szCs w:val="32"/>
              </w:rPr>
              <w:t>2.财务管理上，按照国家相关法律法规，制定了机关财务、公物购置使用、接待、会务、因公出国、车辆使用等管理制度，并严格按照制度管理和执行，防范风险，保证财政资金的安全和高效运行。</w:t>
            </w:r>
          </w:p>
          <w:p>
            <w:pPr>
              <w:pStyle w:val="style0"/>
              <w:spacing w:lineRule="exact" w:line="580"/>
              <w:ind w:firstLine="640" w:firstLineChars="200"/>
              <w:rPr>
                <w:rFonts w:ascii="仿宋" w:cs="仿宋_GB2312" w:eastAsia="仿宋" w:hAnsi="仿宋"/>
                <w:sz w:val="32"/>
                <w:szCs w:val="32"/>
              </w:rPr>
            </w:pPr>
            <w:r>
              <w:rPr>
                <w:rFonts w:ascii="仿宋" w:cs="仿宋_GB2312" w:eastAsia="仿宋" w:hAnsi="仿宋" w:hint="eastAsia"/>
                <w:sz w:val="32"/>
                <w:szCs w:val="32"/>
              </w:rPr>
              <w:t>（二）单位整体收支情况</w:t>
            </w:r>
          </w:p>
          <w:p>
            <w:pPr>
              <w:pStyle w:val="style0"/>
              <w:spacing w:lineRule="exact" w:line="580"/>
              <w:ind w:firstLine="640" w:firstLineChars="200"/>
              <w:rPr>
                <w:rFonts w:ascii="仿宋" w:cs="仿宋_GB2312" w:eastAsia="仿宋" w:hAnsi="仿宋"/>
                <w:sz w:val="32"/>
                <w:szCs w:val="32"/>
              </w:rPr>
            </w:pPr>
            <w:r>
              <w:rPr>
                <w:rFonts w:ascii="仿宋" w:cs="仿宋_GB2312" w:eastAsia="仿宋" w:hAnsi="仿宋" w:hint="eastAsia"/>
                <w:sz w:val="32"/>
                <w:szCs w:val="32"/>
              </w:rPr>
              <w:t>1、收入情况：全年预算总收入</w:t>
            </w:r>
            <w:r>
              <w:rPr>
                <w:rFonts w:ascii="仿宋" w:cs="仿宋_GB2312" w:eastAsia="仿宋" w:hAnsi="仿宋" w:hint="eastAsia"/>
                <w:sz w:val="32"/>
                <w:szCs w:val="32"/>
                <w:lang w:val="en-US" w:eastAsia="zh-CN"/>
              </w:rPr>
              <w:t>1443.09</w:t>
            </w:r>
            <w:r>
              <w:rPr>
                <w:rFonts w:ascii="仿宋" w:cs="仿宋_GB2312" w:eastAsia="仿宋" w:hAnsi="仿宋" w:hint="eastAsia"/>
                <w:sz w:val="32"/>
                <w:szCs w:val="32"/>
              </w:rPr>
              <w:t>万元。</w:t>
            </w:r>
          </w:p>
          <w:p>
            <w:pPr>
              <w:pStyle w:val="style0"/>
              <w:spacing w:lineRule="exact" w:line="580"/>
              <w:ind w:firstLine="640" w:firstLineChars="200"/>
              <w:rPr>
                <w:rFonts w:ascii="仿宋" w:cs="仿宋_GB2312" w:eastAsia="仿宋" w:hAnsi="仿宋" w:hint="eastAsia"/>
                <w:sz w:val="32"/>
                <w:szCs w:val="32"/>
              </w:rPr>
            </w:pPr>
            <w:r>
              <w:rPr>
                <w:rFonts w:ascii="仿宋" w:cs="仿宋_GB2312" w:eastAsia="仿宋" w:hAnsi="仿宋" w:hint="eastAsia"/>
                <w:sz w:val="32"/>
                <w:szCs w:val="32"/>
              </w:rPr>
              <w:t>2、支出情况：全年</w:t>
            </w:r>
            <w:r>
              <w:rPr>
                <w:rFonts w:ascii="仿宋" w:cs="仿宋_GB2312" w:eastAsia="仿宋" w:hAnsi="仿宋" w:hint="eastAsia"/>
                <w:sz w:val="32"/>
                <w:szCs w:val="32"/>
                <w:lang w:val="en-US" w:eastAsia="zh-CN"/>
              </w:rPr>
              <w:t>整体</w:t>
            </w:r>
            <w:r>
              <w:rPr>
                <w:rFonts w:ascii="仿宋" w:cs="仿宋_GB2312" w:eastAsia="仿宋" w:hAnsi="仿宋" w:hint="eastAsia"/>
                <w:sz w:val="32"/>
                <w:szCs w:val="32"/>
              </w:rPr>
              <w:t>支出</w:t>
            </w:r>
            <w:r>
              <w:rPr>
                <w:rFonts w:ascii="仿宋" w:cs="仿宋_GB2312" w:eastAsia="仿宋" w:hAnsi="仿宋" w:hint="eastAsia"/>
                <w:sz w:val="32"/>
                <w:szCs w:val="32"/>
                <w:lang w:val="en-US" w:eastAsia="zh-CN"/>
              </w:rPr>
              <w:t>1434.24</w:t>
            </w:r>
            <w:r>
              <w:rPr>
                <w:rFonts w:ascii="仿宋" w:cs="仿宋_GB2312" w:eastAsia="仿宋" w:hAnsi="仿宋" w:hint="eastAsia"/>
                <w:sz w:val="32"/>
                <w:szCs w:val="32"/>
              </w:rPr>
              <w:t>万元，其中：</w:t>
            </w:r>
          </w:p>
          <w:p>
            <w:pPr>
              <w:pStyle w:val="style0"/>
              <w:spacing w:lineRule="exact" w:line="580"/>
              <w:ind w:firstLine="640" w:firstLineChars="200"/>
              <w:rPr>
                <w:rFonts w:ascii="仿宋" w:cs="仿宋_GB2312" w:eastAsia="仿宋" w:hAnsi="仿宋" w:hint="eastAsia"/>
                <w:sz w:val="32"/>
                <w:szCs w:val="32"/>
              </w:rPr>
            </w:pPr>
            <w:r>
              <w:rPr>
                <w:rFonts w:ascii="仿宋" w:cs="仿宋_GB2312" w:eastAsia="仿宋" w:hAnsi="仿宋" w:hint="eastAsia"/>
                <w:sz w:val="32"/>
                <w:szCs w:val="32"/>
                <w:lang w:eastAsia="zh-CN"/>
              </w:rPr>
              <w:t>（</w:t>
            </w:r>
            <w:r>
              <w:rPr>
                <w:rFonts w:ascii="仿宋" w:cs="仿宋_GB2312" w:eastAsia="仿宋" w:hAnsi="仿宋" w:hint="eastAsia"/>
                <w:sz w:val="32"/>
                <w:szCs w:val="32"/>
                <w:lang w:val="en-US" w:eastAsia="zh-CN"/>
              </w:rPr>
              <w:t>1</w:t>
            </w:r>
            <w:r>
              <w:rPr>
                <w:rFonts w:ascii="仿宋" w:cs="仿宋_GB2312" w:eastAsia="仿宋" w:hAnsi="仿宋" w:hint="eastAsia"/>
                <w:sz w:val="32"/>
                <w:szCs w:val="32"/>
                <w:lang w:eastAsia="zh-CN"/>
              </w:rPr>
              <w:t>）</w:t>
            </w:r>
            <w:r>
              <w:rPr>
                <w:rFonts w:ascii="华文仿宋" w:eastAsia="华文仿宋" w:hAnsi="华文仿宋" w:hint="eastAsia"/>
                <w:sz w:val="32"/>
                <w:szCs w:val="32"/>
              </w:rPr>
              <w:t>202</w:t>
            </w:r>
            <w:r>
              <w:rPr>
                <w:rFonts w:ascii="华文仿宋" w:eastAsia="华文仿宋" w:hAnsi="华文仿宋" w:hint="eastAsia"/>
                <w:sz w:val="32"/>
                <w:szCs w:val="32"/>
                <w:lang w:val="en-US" w:eastAsia="zh-CN"/>
              </w:rPr>
              <w:t>2</w:t>
            </w:r>
            <w:r>
              <w:rPr>
                <w:rFonts w:ascii="华文仿宋" w:eastAsia="华文仿宋" w:hAnsi="华文仿宋" w:hint="eastAsia"/>
                <w:sz w:val="32"/>
                <w:szCs w:val="32"/>
              </w:rPr>
              <w:t>年我</w:t>
            </w:r>
            <w:r>
              <w:rPr>
                <w:rFonts w:ascii="华文仿宋" w:eastAsia="华文仿宋" w:hAnsi="华文仿宋" w:hint="eastAsia"/>
                <w:sz w:val="32"/>
                <w:szCs w:val="32"/>
                <w:lang w:eastAsia="zh-CN"/>
              </w:rPr>
              <w:t>单位</w:t>
            </w:r>
            <w:r>
              <w:rPr>
                <w:rFonts w:ascii="华文仿宋" w:eastAsia="华文仿宋" w:hAnsi="华文仿宋" w:hint="eastAsia"/>
                <w:sz w:val="32"/>
                <w:szCs w:val="32"/>
              </w:rPr>
              <w:t>全年基本支出</w:t>
            </w:r>
            <w:r>
              <w:rPr>
                <w:rFonts w:ascii="仿宋" w:cs="仿宋_GB2312" w:eastAsia="仿宋" w:hAnsi="仿宋" w:hint="eastAsia"/>
                <w:sz w:val="32"/>
                <w:szCs w:val="32"/>
                <w:lang w:val="en-US" w:eastAsia="zh-CN"/>
              </w:rPr>
              <w:t>1359.2</w:t>
            </w:r>
            <w:r>
              <w:rPr>
                <w:rFonts w:ascii="华文仿宋" w:eastAsia="华文仿宋" w:hAnsi="华文仿宋" w:hint="eastAsia"/>
                <w:sz w:val="32"/>
                <w:szCs w:val="32"/>
              </w:rPr>
              <w:t>万元。</w:t>
            </w:r>
            <w:r>
              <w:rPr>
                <w:rFonts w:ascii="华文仿宋" w:eastAsia="华文仿宋" w:hAnsi="华文仿宋" w:hint="eastAsia"/>
                <w:color w:val="auto"/>
                <w:sz w:val="32"/>
                <w:szCs w:val="32"/>
              </w:rPr>
              <w:t>其中人员支出</w:t>
            </w:r>
            <w:r>
              <w:rPr>
                <w:rFonts w:ascii="仿宋" w:cs="仿宋_GB2312" w:eastAsia="仿宋" w:hAnsi="仿宋" w:hint="eastAsia"/>
                <w:sz w:val="32"/>
                <w:szCs w:val="32"/>
                <w:lang w:val="en-US" w:eastAsia="zh-CN"/>
              </w:rPr>
              <w:t>898.7</w:t>
            </w:r>
            <w:r>
              <w:rPr>
                <w:rFonts w:ascii="华文仿宋" w:eastAsia="华文仿宋" w:hAnsi="华文仿宋" w:hint="eastAsia"/>
                <w:color w:val="auto"/>
                <w:sz w:val="32"/>
                <w:szCs w:val="32"/>
              </w:rPr>
              <w:t>万元，主要包括：基本工资、津贴补贴、奖金、社会保障费、其他工资福利支出、退休费、生活补贴和住房公积金等；公用支出</w:t>
            </w:r>
            <w:r>
              <w:rPr>
                <w:rFonts w:ascii="仿宋" w:cs="仿宋_GB2312" w:eastAsia="仿宋" w:hAnsi="仿宋" w:hint="eastAsia"/>
                <w:sz w:val="32"/>
                <w:szCs w:val="32"/>
                <w:lang w:val="en-US" w:eastAsia="zh-CN"/>
              </w:rPr>
              <w:t>460.23</w:t>
            </w:r>
            <w:r>
              <w:rPr>
                <w:rFonts w:ascii="华文仿宋" w:eastAsia="华文仿宋" w:hAnsi="华文仿宋" w:hint="eastAsia"/>
                <w:color w:val="auto"/>
                <w:sz w:val="32"/>
                <w:szCs w:val="32"/>
              </w:rPr>
              <w:t>万元，</w:t>
            </w:r>
            <w:r>
              <w:rPr>
                <w:rFonts w:ascii="华文仿宋" w:eastAsia="华文仿宋" w:hAnsi="华文仿宋" w:hint="eastAsia"/>
                <w:sz w:val="32"/>
                <w:szCs w:val="32"/>
              </w:rPr>
              <w:t>主要包括：办公费、电费、差旅费、公务接待费、劳务费以及其他商品和服务支出等。</w:t>
            </w:r>
          </w:p>
          <w:p>
            <w:pPr>
              <w:pStyle w:val="style0"/>
              <w:spacing w:lineRule="exact" w:line="580"/>
              <w:ind w:firstLine="640" w:firstLineChars="200"/>
              <w:rPr>
                <w:rFonts w:ascii="仿宋" w:cs="仿宋_GB2312" w:eastAsia="仿宋" w:hAnsi="仿宋"/>
                <w:sz w:val="32"/>
                <w:szCs w:val="32"/>
              </w:rPr>
            </w:pPr>
            <w:r>
              <w:rPr>
                <w:rFonts w:ascii="仿宋" w:cs="仿宋_GB2312" w:eastAsia="仿宋" w:hAnsi="仿宋" w:hint="eastAsia"/>
                <w:sz w:val="32"/>
                <w:szCs w:val="32"/>
                <w:lang w:eastAsia="zh-CN"/>
              </w:rPr>
              <w:t>（</w:t>
            </w:r>
            <w:r>
              <w:rPr>
                <w:rFonts w:ascii="仿宋" w:cs="仿宋_GB2312" w:eastAsia="仿宋" w:hAnsi="仿宋" w:hint="eastAsia"/>
                <w:sz w:val="32"/>
                <w:szCs w:val="32"/>
                <w:lang w:val="en-US" w:eastAsia="zh-CN"/>
              </w:rPr>
              <w:t>2</w:t>
            </w:r>
            <w:r>
              <w:rPr>
                <w:rFonts w:ascii="仿宋" w:cs="仿宋_GB2312" w:eastAsia="仿宋" w:hAnsi="仿宋" w:hint="eastAsia"/>
                <w:sz w:val="32"/>
                <w:szCs w:val="32"/>
                <w:lang w:eastAsia="zh-CN"/>
              </w:rPr>
              <w:t>）</w:t>
            </w:r>
            <w:r>
              <w:rPr>
                <w:rFonts w:ascii="仿宋" w:cs="仿宋_GB2312" w:eastAsia="仿宋" w:hAnsi="仿宋" w:hint="eastAsia"/>
                <w:sz w:val="32"/>
                <w:szCs w:val="32"/>
              </w:rPr>
              <w:t>项目支出</w:t>
            </w:r>
            <w:r>
              <w:rPr>
                <w:rFonts w:ascii="仿宋" w:cs="仿宋_GB2312" w:eastAsia="仿宋" w:hAnsi="仿宋" w:hint="eastAsia"/>
                <w:sz w:val="32"/>
                <w:szCs w:val="32"/>
                <w:lang w:val="en-US" w:eastAsia="zh-CN"/>
              </w:rPr>
              <w:t>75.04</w:t>
            </w:r>
            <w:r>
              <w:rPr>
                <w:rFonts w:ascii="仿宋" w:cs="仿宋_GB2312" w:eastAsia="仿宋" w:hAnsi="仿宋" w:hint="eastAsia"/>
                <w:sz w:val="32"/>
                <w:szCs w:val="32"/>
              </w:rPr>
              <w:t>万元。</w:t>
            </w:r>
          </w:p>
          <w:p>
            <w:pPr>
              <w:pStyle w:val="style0"/>
              <w:spacing w:lineRule="exact" w:line="580"/>
              <w:ind w:firstLine="640" w:firstLineChars="200"/>
              <w:rPr>
                <w:rFonts w:ascii="仿宋" w:cs="仿宋_GB2312" w:eastAsia="仿宋" w:hAnsi="仿宋" w:hint="eastAsia"/>
                <w:sz w:val="32"/>
                <w:szCs w:val="32"/>
              </w:rPr>
            </w:pPr>
            <w:r>
              <w:rPr>
                <w:rFonts w:ascii="仿宋" w:cs="仿宋_GB2312" w:eastAsia="仿宋" w:hAnsi="仿宋" w:hint="eastAsia"/>
                <w:sz w:val="32"/>
                <w:szCs w:val="32"/>
                <w:lang w:val="en-US" w:eastAsia="zh-CN"/>
              </w:rPr>
              <w:t>3、结余情况：2022年度累计结余8.85万元。</w:t>
            </w:r>
          </w:p>
          <w:p>
            <w:pPr>
              <w:pStyle w:val="style0"/>
              <w:spacing w:lineRule="exact" w:line="580"/>
              <w:ind w:firstLine="640" w:firstLineChars="200"/>
              <w:rPr>
                <w:rFonts w:ascii="仿宋" w:cs="仿宋_GB2312" w:eastAsia="仿宋" w:hAnsi="仿宋" w:hint="eastAsia"/>
                <w:sz w:val="32"/>
                <w:szCs w:val="32"/>
              </w:rPr>
            </w:pPr>
            <w:r>
              <w:rPr>
                <w:rFonts w:ascii="仿宋" w:cs="仿宋_GB2312" w:eastAsia="仿宋" w:hAnsi="仿宋" w:hint="eastAsia"/>
                <w:sz w:val="32"/>
                <w:szCs w:val="32"/>
                <w:lang w:val="en-US" w:eastAsia="zh-CN"/>
              </w:rPr>
              <w:t>4</w:t>
            </w:r>
            <w:r>
              <w:rPr>
                <w:rFonts w:ascii="仿宋" w:cs="仿宋_GB2312" w:eastAsia="仿宋" w:hAnsi="仿宋" w:hint="eastAsia"/>
                <w:sz w:val="32"/>
                <w:szCs w:val="32"/>
              </w:rPr>
              <w:t>、三公经费支出情况：全年三公经费总支出</w:t>
            </w:r>
            <w:r>
              <w:rPr>
                <w:rFonts w:ascii="仿宋" w:cs="仿宋_GB2312" w:eastAsia="仿宋" w:hAnsi="仿宋" w:hint="eastAsia"/>
                <w:sz w:val="32"/>
                <w:szCs w:val="32"/>
                <w:lang w:val="en-US" w:eastAsia="zh-CN"/>
              </w:rPr>
              <w:t>9.91</w:t>
            </w:r>
            <w:r>
              <w:rPr>
                <w:rFonts w:ascii="仿宋" w:cs="仿宋_GB2312" w:eastAsia="仿宋" w:hAnsi="仿宋" w:hint="eastAsia"/>
                <w:sz w:val="32"/>
                <w:szCs w:val="32"/>
              </w:rPr>
              <w:t>万元，其中：公务用车购置及运行维护费支出</w:t>
            </w:r>
            <w:r>
              <w:rPr>
                <w:rFonts w:ascii="仿宋" w:cs="仿宋_GB2312" w:eastAsia="仿宋" w:hAnsi="仿宋" w:hint="eastAsia"/>
                <w:sz w:val="32"/>
                <w:szCs w:val="32"/>
                <w:lang w:val="en-US" w:eastAsia="zh-CN"/>
              </w:rPr>
              <w:t>5.89</w:t>
            </w:r>
            <w:r>
              <w:rPr>
                <w:rFonts w:ascii="仿宋" w:cs="仿宋_GB2312" w:eastAsia="仿宋" w:hAnsi="仿宋" w:hint="eastAsia"/>
                <w:sz w:val="32"/>
                <w:szCs w:val="32"/>
              </w:rPr>
              <w:t>万元；公务接待费</w:t>
            </w:r>
            <w:r>
              <w:rPr>
                <w:rFonts w:ascii="仿宋" w:cs="仿宋_GB2312" w:eastAsia="仿宋" w:hAnsi="仿宋" w:hint="eastAsia"/>
                <w:sz w:val="32"/>
                <w:szCs w:val="32"/>
                <w:lang w:val="en-US" w:eastAsia="zh-CN"/>
              </w:rPr>
              <w:t>4.02</w:t>
            </w:r>
            <w:r>
              <w:rPr>
                <w:rFonts w:ascii="仿宋" w:cs="仿宋_GB2312" w:eastAsia="仿宋" w:hAnsi="仿宋" w:hint="eastAsia"/>
                <w:sz w:val="32"/>
                <w:szCs w:val="32"/>
              </w:rPr>
              <w:t>万元。</w:t>
            </w:r>
          </w:p>
          <w:p>
            <w:pPr>
              <w:pStyle w:val="style0"/>
              <w:tabs>
                <w:tab w:val="left" w:leader="none" w:pos="4364"/>
              </w:tabs>
              <w:spacing w:lineRule="exact" w:line="600"/>
              <w:ind w:firstLine="643" w:firstLineChars="201"/>
              <w:rPr>
                <w:rFonts w:ascii="华文仿宋" w:eastAsia="华文仿宋" w:hAnsi="华文仿宋"/>
                <w:sz w:val="32"/>
                <w:szCs w:val="32"/>
              </w:rPr>
            </w:pPr>
            <w:r>
              <w:rPr>
                <w:rFonts w:ascii="仿宋" w:cs="仿宋_GB2312" w:eastAsia="仿宋" w:hAnsi="仿宋" w:hint="eastAsia"/>
                <w:sz w:val="32"/>
                <w:szCs w:val="32"/>
                <w:lang w:eastAsia="zh-CN"/>
              </w:rPr>
              <w:t>（</w:t>
            </w:r>
            <w:r>
              <w:rPr>
                <w:rFonts w:ascii="仿宋" w:cs="仿宋_GB2312" w:eastAsia="仿宋" w:hAnsi="仿宋" w:hint="eastAsia"/>
                <w:sz w:val="32"/>
                <w:szCs w:val="32"/>
                <w:lang w:val="en-US" w:eastAsia="zh-CN"/>
              </w:rPr>
              <w:t>三</w:t>
            </w:r>
            <w:r>
              <w:rPr>
                <w:rFonts w:ascii="仿宋" w:cs="仿宋_GB2312" w:eastAsia="仿宋" w:hAnsi="仿宋" w:hint="eastAsia"/>
                <w:sz w:val="32"/>
                <w:szCs w:val="32"/>
                <w:lang w:eastAsia="zh-CN"/>
              </w:rPr>
              <w:t>）</w:t>
            </w:r>
            <w:r>
              <w:rPr>
                <w:rFonts w:ascii="华文仿宋" w:eastAsia="华文仿宋" w:hAnsi="华文仿宋" w:hint="eastAsia"/>
                <w:sz w:val="32"/>
                <w:szCs w:val="32"/>
              </w:rPr>
              <w:t>专项支出</w:t>
            </w:r>
          </w:p>
          <w:p>
            <w:pPr>
              <w:pStyle w:val="style0"/>
              <w:tabs>
                <w:tab w:val="left" w:leader="none" w:pos="4364"/>
              </w:tabs>
              <w:spacing w:lineRule="exact" w:line="600"/>
              <w:ind w:firstLine="643" w:firstLineChars="201"/>
              <w:rPr>
                <w:rFonts w:ascii="华文仿宋" w:eastAsia="华文仿宋" w:hAnsi="华文仿宋"/>
                <w:color w:val="auto"/>
                <w:sz w:val="32"/>
                <w:szCs w:val="32"/>
              </w:rPr>
            </w:pPr>
            <w:r>
              <w:rPr>
                <w:rFonts w:ascii="华文仿宋" w:eastAsia="华文仿宋" w:hAnsi="华文仿宋" w:hint="eastAsia"/>
                <w:sz w:val="32"/>
                <w:szCs w:val="32"/>
              </w:rPr>
              <w:t>项目支出是在基本支出之外为完成其特定工作任务而发生的支出，</w:t>
            </w:r>
            <w:r>
              <w:rPr>
                <w:rFonts w:ascii="华文仿宋" w:eastAsia="华文仿宋" w:hAnsi="华文仿宋" w:hint="eastAsia"/>
                <w:color w:val="auto"/>
                <w:sz w:val="32"/>
                <w:szCs w:val="32"/>
              </w:rPr>
              <w:t>主要用于</w:t>
            </w:r>
            <w:r>
              <w:rPr>
                <w:rFonts w:ascii="仿宋" w:cs="仿宋_GB2312" w:eastAsia="仿宋" w:hAnsi="仿宋" w:hint="eastAsia"/>
                <w:sz w:val="32"/>
                <w:szCs w:val="32"/>
                <w:lang w:val="en-US" w:eastAsia="zh-CN"/>
              </w:rPr>
              <w:t>2021年度股权挂牌企业补助资金</w:t>
            </w:r>
            <w:r>
              <w:rPr>
                <w:rFonts w:ascii="仿宋" w:cs="仿宋_GB2312" w:eastAsia="仿宋" w:hAnsi="仿宋" w:hint="eastAsia"/>
                <w:sz w:val="32"/>
                <w:szCs w:val="32"/>
                <w:lang w:eastAsia="zh-CN"/>
              </w:rPr>
              <w:t>、</w:t>
            </w:r>
            <w:r>
              <w:rPr>
                <w:rFonts w:ascii="仿宋" w:cs="仿宋_GB2312" w:eastAsia="仿宋" w:hAnsi="仿宋" w:hint="eastAsia"/>
                <w:sz w:val="32"/>
                <w:szCs w:val="32"/>
                <w:lang w:val="en-US" w:eastAsia="zh-CN"/>
              </w:rPr>
              <w:t>2021年度第二批股权挂牌企业补助资金</w:t>
            </w:r>
            <w:r>
              <w:rPr>
                <w:rFonts w:ascii="仿宋" w:cs="仿宋_GB2312" w:eastAsia="仿宋" w:hAnsi="仿宋" w:hint="eastAsia"/>
                <w:sz w:val="32"/>
                <w:szCs w:val="32"/>
              </w:rPr>
              <w:t>、</w:t>
            </w:r>
            <w:r>
              <w:rPr>
                <w:rFonts w:ascii="仿宋" w:cs="仿宋_GB2312" w:eastAsia="仿宋" w:hAnsi="仿宋" w:hint="eastAsia"/>
                <w:sz w:val="32"/>
                <w:szCs w:val="32"/>
                <w:lang w:val="en-US" w:eastAsia="zh-CN"/>
              </w:rPr>
              <w:t>业务工作经费、维稳工作经费</w:t>
            </w:r>
            <w:r>
              <w:rPr>
                <w:rFonts w:ascii="华文仿宋" w:eastAsia="华文仿宋" w:hAnsi="华文仿宋" w:hint="eastAsia"/>
                <w:color w:val="auto"/>
                <w:sz w:val="32"/>
                <w:szCs w:val="32"/>
              </w:rPr>
              <w:t>。</w:t>
            </w:r>
          </w:p>
          <w:p>
            <w:pPr>
              <w:pStyle w:val="style0"/>
              <w:tabs>
                <w:tab w:val="left" w:leader="none" w:pos="4364"/>
              </w:tabs>
              <w:spacing w:lineRule="exact" w:line="600"/>
              <w:ind w:firstLine="643" w:firstLineChars="201"/>
              <w:rPr>
                <w:rFonts w:ascii="华文仿宋" w:eastAsia="华文仿宋" w:hAnsi="华文仿宋"/>
                <w:sz w:val="32"/>
                <w:szCs w:val="32"/>
              </w:rPr>
            </w:pPr>
            <w:r>
              <w:rPr>
                <w:rFonts w:ascii="华文仿宋" w:eastAsia="华文仿宋" w:hAnsi="华文仿宋" w:hint="eastAsia"/>
                <w:sz w:val="32"/>
                <w:szCs w:val="32"/>
              </w:rPr>
              <w:t>（1）专项资金安排落实、总投入等情况分析</w:t>
            </w:r>
          </w:p>
          <w:p>
            <w:pPr>
              <w:pStyle w:val="style0"/>
              <w:spacing w:lineRule="exact" w:line="580"/>
              <w:ind w:firstLine="640" w:firstLineChars="200"/>
              <w:rPr>
                <w:rFonts w:ascii="仿宋" w:cs="仿宋_GB2312" w:eastAsia="仿宋" w:hAnsi="仿宋" w:hint="eastAsia"/>
                <w:sz w:val="32"/>
                <w:szCs w:val="32"/>
              </w:rPr>
            </w:pPr>
            <w:r>
              <w:rPr>
                <w:rFonts w:ascii="仿宋" w:cs="仿宋_GB2312" w:eastAsia="仿宋" w:hAnsi="仿宋" w:hint="eastAsia"/>
                <w:sz w:val="32"/>
                <w:szCs w:val="32"/>
              </w:rPr>
              <w:t>202</w:t>
            </w:r>
            <w:r>
              <w:rPr>
                <w:rFonts w:ascii="仿宋" w:cs="仿宋_GB2312" w:eastAsia="仿宋" w:hAnsi="仿宋" w:hint="eastAsia"/>
                <w:sz w:val="32"/>
                <w:szCs w:val="32"/>
                <w:lang w:val="en-US" w:eastAsia="zh-CN"/>
              </w:rPr>
              <w:t>2</w:t>
            </w:r>
            <w:r>
              <w:rPr>
                <w:rFonts w:ascii="仿宋" w:cs="仿宋_GB2312" w:eastAsia="仿宋" w:hAnsi="仿宋" w:hint="eastAsia"/>
                <w:sz w:val="32"/>
                <w:szCs w:val="32"/>
              </w:rPr>
              <w:t>年我</w:t>
            </w:r>
            <w:r>
              <w:rPr>
                <w:rFonts w:ascii="仿宋" w:cs="仿宋_GB2312" w:eastAsia="仿宋" w:hAnsi="仿宋" w:hint="eastAsia"/>
                <w:sz w:val="32"/>
                <w:szCs w:val="32"/>
                <w:lang w:eastAsia="zh-CN"/>
              </w:rPr>
              <w:t>单位</w:t>
            </w:r>
            <w:r>
              <w:rPr>
                <w:rFonts w:ascii="华文仿宋" w:eastAsia="华文仿宋" w:hAnsi="华文仿宋" w:hint="eastAsia"/>
                <w:sz w:val="32"/>
                <w:szCs w:val="32"/>
              </w:rPr>
              <w:t>专项资金安排</w:t>
            </w:r>
            <w:r>
              <w:rPr>
                <w:rFonts w:ascii="仿宋" w:cs="仿宋_GB2312" w:eastAsia="仿宋" w:hAnsi="仿宋" w:hint="eastAsia"/>
                <w:sz w:val="32"/>
                <w:szCs w:val="32"/>
              </w:rPr>
              <w:t>为</w:t>
            </w:r>
            <w:r>
              <w:rPr>
                <w:rFonts w:ascii="仿宋" w:cs="仿宋_GB2312" w:eastAsia="仿宋" w:hAnsi="仿宋" w:hint="eastAsia"/>
                <w:sz w:val="32"/>
                <w:szCs w:val="32"/>
                <w:lang w:val="en-US" w:eastAsia="zh-CN"/>
              </w:rPr>
              <w:t>75.04</w:t>
            </w:r>
            <w:r>
              <w:rPr>
                <w:rFonts w:ascii="仿宋" w:cs="仿宋_GB2312" w:eastAsia="仿宋" w:hAnsi="仿宋" w:hint="eastAsia"/>
                <w:sz w:val="32"/>
                <w:szCs w:val="32"/>
              </w:rPr>
              <w:t>万元，</w:t>
            </w:r>
            <w:r>
              <w:rPr>
                <w:rFonts w:ascii="仿宋" w:cs="仿宋_GB2312" w:eastAsia="仿宋" w:hAnsi="仿宋" w:hint="eastAsia"/>
                <w:sz w:val="32"/>
                <w:szCs w:val="32"/>
                <w:lang w:val="en-US" w:eastAsia="zh-CN"/>
              </w:rPr>
              <w:t>全部</w:t>
            </w:r>
            <w:r>
              <w:rPr>
                <w:rFonts w:ascii="仿宋" w:cs="仿宋_GB2312" w:eastAsia="仿宋" w:hAnsi="仿宋" w:hint="eastAsia"/>
                <w:sz w:val="32"/>
                <w:szCs w:val="32"/>
              </w:rPr>
              <w:t>用于</w:t>
            </w:r>
            <w:r>
              <w:rPr>
                <w:rFonts w:ascii="仿宋" w:cs="仿宋_GB2312" w:eastAsia="仿宋" w:hAnsi="仿宋" w:hint="eastAsia"/>
                <w:sz w:val="32"/>
                <w:szCs w:val="32"/>
                <w:lang w:val="en-US" w:eastAsia="zh-CN"/>
              </w:rPr>
              <w:t>2021年度股权挂牌企业补助资金</w:t>
            </w:r>
            <w:r>
              <w:rPr>
                <w:rFonts w:ascii="仿宋" w:cs="仿宋_GB2312" w:eastAsia="仿宋" w:hAnsi="仿宋" w:hint="eastAsia"/>
                <w:sz w:val="32"/>
                <w:szCs w:val="32"/>
                <w:lang w:eastAsia="zh-CN"/>
              </w:rPr>
              <w:t>、</w:t>
            </w:r>
            <w:r>
              <w:rPr>
                <w:rFonts w:ascii="仿宋" w:cs="仿宋_GB2312" w:eastAsia="仿宋" w:hAnsi="仿宋" w:hint="eastAsia"/>
                <w:sz w:val="32"/>
                <w:szCs w:val="32"/>
                <w:lang w:val="en-US" w:eastAsia="zh-CN"/>
              </w:rPr>
              <w:t>2021年度第二批股权挂牌企业补助资金</w:t>
            </w:r>
            <w:r>
              <w:rPr>
                <w:rFonts w:ascii="仿宋" w:cs="仿宋_GB2312" w:eastAsia="仿宋" w:hAnsi="仿宋" w:hint="eastAsia"/>
                <w:sz w:val="32"/>
                <w:szCs w:val="32"/>
              </w:rPr>
              <w:t>、</w:t>
            </w:r>
            <w:r>
              <w:rPr>
                <w:rFonts w:ascii="仿宋" w:cs="仿宋_GB2312" w:eastAsia="仿宋" w:hAnsi="仿宋" w:hint="eastAsia"/>
                <w:sz w:val="32"/>
                <w:szCs w:val="32"/>
                <w:lang w:val="en-US" w:eastAsia="zh-CN"/>
              </w:rPr>
              <w:t>业务工作经费、维稳工作经费</w:t>
            </w:r>
            <w:r>
              <w:rPr>
                <w:rFonts w:ascii="仿宋" w:cs="仿宋_GB2312" w:eastAsia="仿宋" w:hAnsi="仿宋" w:hint="eastAsia"/>
                <w:sz w:val="32"/>
                <w:szCs w:val="32"/>
              </w:rPr>
              <w:t>。</w:t>
            </w:r>
          </w:p>
          <w:p>
            <w:pPr>
              <w:pStyle w:val="style0"/>
              <w:tabs>
                <w:tab w:val="left" w:leader="none" w:pos="4364"/>
              </w:tabs>
              <w:spacing w:lineRule="exact" w:line="600"/>
              <w:ind w:firstLine="643" w:firstLineChars="201"/>
              <w:rPr>
                <w:rFonts w:ascii="华文仿宋" w:eastAsia="华文仿宋" w:hAnsi="华文仿宋"/>
                <w:color w:val="auto"/>
                <w:sz w:val="32"/>
                <w:szCs w:val="32"/>
              </w:rPr>
            </w:pPr>
            <w:r>
              <w:rPr>
                <w:rFonts w:ascii="华文仿宋" w:eastAsia="华文仿宋" w:hAnsi="华文仿宋" w:hint="eastAsia"/>
                <w:color w:val="auto"/>
                <w:sz w:val="32"/>
                <w:szCs w:val="32"/>
              </w:rPr>
              <w:t>（2）专项资金实际使用情况分析</w:t>
            </w:r>
          </w:p>
          <w:p>
            <w:pPr>
              <w:pStyle w:val="style0"/>
              <w:spacing w:lineRule="exact" w:line="580"/>
              <w:ind w:firstLine="640" w:firstLineChars="200"/>
              <w:rPr>
                <w:rFonts w:ascii="仿宋" w:cs="仿宋_GB2312" w:eastAsia="仿宋" w:hAnsi="仿宋" w:hint="eastAsia"/>
                <w:sz w:val="32"/>
                <w:szCs w:val="32"/>
              </w:rPr>
            </w:pPr>
            <w:r>
              <w:rPr>
                <w:rFonts w:ascii="仿宋" w:cs="仿宋_GB2312" w:eastAsia="仿宋" w:hAnsi="仿宋" w:hint="eastAsia"/>
                <w:sz w:val="32"/>
                <w:szCs w:val="32"/>
              </w:rPr>
              <w:t>202</w:t>
            </w:r>
            <w:r>
              <w:rPr>
                <w:rFonts w:ascii="仿宋" w:cs="仿宋_GB2312" w:eastAsia="仿宋" w:hAnsi="仿宋" w:hint="eastAsia"/>
                <w:sz w:val="32"/>
                <w:szCs w:val="32"/>
                <w:lang w:val="en-US" w:eastAsia="zh-CN"/>
              </w:rPr>
              <w:t>2</w:t>
            </w:r>
            <w:r>
              <w:rPr>
                <w:rFonts w:ascii="仿宋" w:cs="仿宋_GB2312" w:eastAsia="仿宋" w:hAnsi="仿宋" w:hint="eastAsia"/>
                <w:sz w:val="32"/>
                <w:szCs w:val="32"/>
              </w:rPr>
              <w:t>年我</w:t>
            </w:r>
            <w:r>
              <w:rPr>
                <w:rFonts w:ascii="仿宋" w:cs="仿宋_GB2312" w:eastAsia="仿宋" w:hAnsi="仿宋" w:hint="eastAsia"/>
                <w:sz w:val="32"/>
                <w:szCs w:val="32"/>
                <w:lang w:eastAsia="zh-CN"/>
              </w:rPr>
              <w:t>单位</w:t>
            </w:r>
            <w:r>
              <w:rPr>
                <w:rFonts w:ascii="仿宋" w:cs="仿宋_GB2312" w:eastAsia="仿宋" w:hAnsi="仿宋" w:hint="eastAsia"/>
                <w:sz w:val="32"/>
                <w:szCs w:val="32"/>
              </w:rPr>
              <w:t>项目</w:t>
            </w:r>
            <w:r>
              <w:rPr>
                <w:rFonts w:ascii="仿宋" w:cs="仿宋_GB2312" w:eastAsia="仿宋" w:hAnsi="仿宋" w:hint="eastAsia"/>
                <w:sz w:val="32"/>
                <w:szCs w:val="32"/>
                <w:lang w:eastAsia="zh-CN"/>
              </w:rPr>
              <w:t>支出</w:t>
            </w:r>
            <w:r>
              <w:rPr>
                <w:rFonts w:ascii="仿宋" w:cs="仿宋_GB2312" w:eastAsia="仿宋" w:hAnsi="仿宋" w:hint="eastAsia"/>
                <w:sz w:val="32"/>
                <w:szCs w:val="32"/>
              </w:rPr>
              <w:t>预算</w:t>
            </w:r>
            <w:r>
              <w:rPr>
                <w:rFonts w:ascii="仿宋" w:cs="仿宋_GB2312" w:eastAsia="仿宋" w:hAnsi="仿宋" w:hint="eastAsia"/>
                <w:sz w:val="32"/>
                <w:szCs w:val="32"/>
                <w:lang w:val="en-US" w:eastAsia="zh-CN"/>
              </w:rPr>
              <w:t>75.04</w:t>
            </w:r>
            <w:r>
              <w:rPr>
                <w:rFonts w:ascii="仿宋" w:cs="仿宋_GB2312" w:eastAsia="仿宋" w:hAnsi="仿宋" w:hint="eastAsia"/>
                <w:sz w:val="32"/>
                <w:szCs w:val="32"/>
              </w:rPr>
              <w:t>万元，实际项目</w:t>
            </w:r>
            <w:r>
              <w:rPr>
                <w:rFonts w:ascii="仿宋" w:cs="仿宋_GB2312" w:eastAsia="仿宋" w:hAnsi="仿宋" w:hint="eastAsia"/>
                <w:sz w:val="32"/>
                <w:szCs w:val="32"/>
                <w:lang w:eastAsia="zh-CN"/>
              </w:rPr>
              <w:t>支出</w:t>
            </w:r>
            <w:r>
              <w:rPr>
                <w:rFonts w:ascii="仿宋" w:cs="仿宋_GB2312" w:eastAsia="仿宋" w:hAnsi="仿宋" w:hint="eastAsia"/>
                <w:sz w:val="32"/>
                <w:szCs w:val="32"/>
              </w:rPr>
              <w:t>支付使用</w:t>
            </w:r>
            <w:r>
              <w:rPr>
                <w:rFonts w:ascii="仿宋" w:cs="仿宋_GB2312" w:eastAsia="仿宋" w:hAnsi="仿宋" w:hint="eastAsia"/>
                <w:sz w:val="32"/>
                <w:szCs w:val="32"/>
                <w:lang w:val="en-US" w:eastAsia="zh-CN"/>
              </w:rPr>
              <w:t>75.04</w:t>
            </w:r>
            <w:r>
              <w:rPr>
                <w:rFonts w:ascii="仿宋" w:cs="仿宋_GB2312" w:eastAsia="仿宋" w:hAnsi="仿宋" w:hint="eastAsia"/>
                <w:sz w:val="32"/>
                <w:szCs w:val="32"/>
              </w:rPr>
              <w:t>万元，主要用于</w:t>
            </w:r>
            <w:r>
              <w:rPr>
                <w:rFonts w:ascii="仿宋" w:cs="仿宋_GB2312" w:eastAsia="仿宋" w:hAnsi="仿宋" w:hint="eastAsia"/>
                <w:sz w:val="32"/>
                <w:szCs w:val="32"/>
                <w:lang w:val="en-US" w:eastAsia="zh-CN"/>
              </w:rPr>
              <w:t>2021年度股权挂牌企业补助资金</w:t>
            </w:r>
            <w:r>
              <w:rPr>
                <w:rFonts w:ascii="仿宋" w:cs="仿宋_GB2312" w:eastAsia="仿宋" w:hAnsi="仿宋" w:hint="eastAsia"/>
                <w:sz w:val="32"/>
                <w:szCs w:val="32"/>
                <w:lang w:eastAsia="zh-CN"/>
              </w:rPr>
              <w:t>、</w:t>
            </w:r>
            <w:r>
              <w:rPr>
                <w:rFonts w:ascii="仿宋" w:cs="仿宋_GB2312" w:eastAsia="仿宋" w:hAnsi="仿宋" w:hint="eastAsia"/>
                <w:sz w:val="32"/>
                <w:szCs w:val="32"/>
                <w:lang w:val="en-US" w:eastAsia="zh-CN"/>
              </w:rPr>
              <w:t>2021年度第二批股权挂牌企业补助资金</w:t>
            </w:r>
            <w:r>
              <w:rPr>
                <w:rFonts w:ascii="仿宋" w:cs="仿宋_GB2312" w:eastAsia="仿宋" w:hAnsi="仿宋" w:hint="eastAsia"/>
                <w:sz w:val="32"/>
                <w:szCs w:val="32"/>
              </w:rPr>
              <w:t>、</w:t>
            </w:r>
            <w:r>
              <w:rPr>
                <w:rFonts w:ascii="仿宋" w:cs="仿宋_GB2312" w:eastAsia="仿宋" w:hAnsi="仿宋" w:hint="eastAsia"/>
                <w:sz w:val="32"/>
                <w:szCs w:val="32"/>
                <w:lang w:val="en-US" w:eastAsia="zh-CN"/>
              </w:rPr>
              <w:t>业务工作经费、维稳工作经费</w:t>
            </w:r>
            <w:r>
              <w:rPr>
                <w:rFonts w:ascii="仿宋" w:cs="仿宋_GB2312" w:eastAsia="仿宋" w:hAnsi="仿宋" w:hint="eastAsia"/>
                <w:sz w:val="32"/>
                <w:szCs w:val="32"/>
              </w:rPr>
              <w:t>。</w:t>
            </w:r>
          </w:p>
          <w:p>
            <w:pPr>
              <w:pStyle w:val="style0"/>
              <w:tabs>
                <w:tab w:val="left" w:leader="none" w:pos="4364"/>
              </w:tabs>
              <w:spacing w:lineRule="exact" w:line="600"/>
              <w:ind w:firstLine="643" w:firstLineChars="201"/>
              <w:rPr>
                <w:rFonts w:ascii="华文仿宋" w:eastAsia="华文仿宋" w:hAnsi="华文仿宋"/>
                <w:sz w:val="32"/>
                <w:szCs w:val="32"/>
              </w:rPr>
            </w:pPr>
            <w:r>
              <w:rPr>
                <w:rFonts w:ascii="华文仿宋" w:eastAsia="华文仿宋" w:hAnsi="华文仿宋" w:hint="eastAsia"/>
                <w:sz w:val="32"/>
                <w:szCs w:val="32"/>
              </w:rPr>
              <w:t>（3）专项资金管理情况分析</w:t>
            </w:r>
          </w:p>
          <w:p>
            <w:pPr>
              <w:pStyle w:val="style0"/>
              <w:tabs>
                <w:tab w:val="left" w:leader="none" w:pos="4364"/>
              </w:tabs>
              <w:spacing w:lineRule="exact" w:line="600"/>
              <w:ind w:firstLine="643" w:firstLineChars="201"/>
              <w:rPr>
                <w:rFonts w:ascii="华文仿宋" w:eastAsia="华文仿宋" w:hAnsi="华文仿宋"/>
                <w:sz w:val="32"/>
                <w:szCs w:val="32"/>
              </w:rPr>
            </w:pPr>
            <w:r>
              <w:rPr>
                <w:rFonts w:ascii="华文仿宋" w:eastAsia="华文仿宋" w:hAnsi="华文仿宋" w:hint="eastAsia"/>
                <w:sz w:val="32"/>
                <w:szCs w:val="32"/>
              </w:rPr>
              <w:t>我</w:t>
            </w:r>
            <w:r>
              <w:rPr>
                <w:rFonts w:ascii="华文仿宋" w:eastAsia="华文仿宋" w:hAnsi="华文仿宋" w:hint="eastAsia"/>
                <w:sz w:val="32"/>
                <w:szCs w:val="32"/>
                <w:lang w:eastAsia="zh-CN"/>
              </w:rPr>
              <w:t>单位</w:t>
            </w:r>
            <w:r>
              <w:rPr>
                <w:rFonts w:ascii="华文仿宋" w:eastAsia="华文仿宋" w:hAnsi="华文仿宋" w:hint="eastAsia"/>
                <w:sz w:val="32"/>
                <w:szCs w:val="32"/>
              </w:rPr>
              <w:t>项目资金全部按财政国库集中支付制度要求使用和拨付，通过财政直接支付方式拨付给项</w:t>
            </w:r>
            <w:r>
              <w:rPr>
                <w:rFonts w:ascii="华文仿宋" w:eastAsia="华文仿宋" w:hAnsi="华文仿宋" w:hint="eastAsia"/>
                <w:sz w:val="32"/>
                <w:szCs w:val="32"/>
                <w:lang w:eastAsia="zh-CN"/>
              </w:rPr>
              <w:t>目</w:t>
            </w:r>
            <w:r>
              <w:rPr>
                <w:rFonts w:ascii="华文仿宋" w:eastAsia="华文仿宋" w:hAnsi="华文仿宋" w:hint="eastAsia"/>
                <w:sz w:val="32"/>
                <w:szCs w:val="32"/>
              </w:rPr>
              <w:t>实施单位。在拨付过程中严把监督审核关，建立内部审批制度，财务做好项目专帐，严格实行专款专用，保证资金及时足额用到项目中。</w:t>
            </w:r>
          </w:p>
          <w:p>
            <w:pPr>
              <w:pStyle w:val="style0"/>
              <w:spacing w:lineRule="exact" w:line="560"/>
              <w:ind w:firstLine="600" w:firstLineChars="200"/>
              <w:rPr>
                <w:rFonts w:ascii="仿宋" w:cs="仿宋" w:eastAsia="仿宋" w:hAnsi="仿宋" w:hint="eastAsia"/>
                <w:sz w:val="30"/>
                <w:szCs w:val="30"/>
              </w:rPr>
            </w:pPr>
            <w:r>
              <w:rPr>
                <w:rFonts w:ascii="仿宋" w:cs="仿宋" w:eastAsia="仿宋" w:hAnsi="仿宋" w:hint="eastAsia"/>
                <w:sz w:val="30"/>
                <w:szCs w:val="30"/>
              </w:rPr>
              <w:t>三、部门（单位）专项组织实施情况</w:t>
            </w:r>
          </w:p>
          <w:p>
            <w:pPr>
              <w:pStyle w:val="style0"/>
              <w:spacing w:lineRule="exact" w:line="580"/>
              <w:ind w:firstLine="600" w:firstLineChars="200"/>
              <w:rPr>
                <w:rFonts w:ascii="仿宋" w:cs="仿宋" w:eastAsia="仿宋" w:hAnsi="仿宋" w:hint="eastAsia"/>
                <w:sz w:val="30"/>
                <w:szCs w:val="30"/>
              </w:rPr>
            </w:pPr>
            <w:r>
              <w:rPr>
                <w:rFonts w:ascii="仿宋" w:cs="仿宋" w:eastAsia="仿宋" w:hAnsi="仿宋" w:hint="eastAsia"/>
                <w:sz w:val="30"/>
                <w:szCs w:val="30"/>
              </w:rPr>
              <w:t>（一）专项组织情况分析</w:t>
            </w:r>
          </w:p>
          <w:p>
            <w:pPr>
              <w:pStyle w:val="style0"/>
              <w:spacing w:lineRule="exact" w:line="580"/>
              <w:ind w:firstLine="640" w:firstLineChars="200"/>
              <w:rPr>
                <w:rFonts w:ascii="仿宋" w:cs="仿宋_GB2312" w:eastAsia="仿宋" w:hAnsi="仿宋" w:hint="eastAsia"/>
                <w:sz w:val="32"/>
                <w:szCs w:val="32"/>
              </w:rPr>
            </w:pPr>
            <w:r>
              <w:rPr>
                <w:rFonts w:ascii="仿宋" w:cs="仿宋_GB2312" w:eastAsia="仿宋" w:hAnsi="仿宋" w:hint="eastAsia"/>
                <w:sz w:val="32"/>
                <w:szCs w:val="32"/>
              </w:rPr>
              <w:t>2022年项目采取以项目实施单位为主体，严格按照监管的管理体制，项目建设严格按照区财政局的要求，对于没有达到财评的项目采取议价的方式进行实施，达到财评标准的建设项目严格按财评的要求，进行财评和公开招标程序办理，其他项目由于投资较小，均未达到招投标金额标准，因此由项目实施单位自行组织实施。项目按照申报方案实施，有变更的按照项目管理制度经审批后再作调整实施。年终组织专业技术人员对项目进行了验收，项目任务全部完成，质量全部达标。</w:t>
            </w:r>
          </w:p>
          <w:p>
            <w:pPr>
              <w:pStyle w:val="style0"/>
              <w:spacing w:lineRule="exact" w:line="580"/>
              <w:ind w:firstLine="600" w:firstLineChars="200"/>
              <w:rPr>
                <w:rFonts w:ascii="仿宋" w:cs="仿宋" w:eastAsia="仿宋" w:hAnsi="仿宋" w:hint="eastAsia"/>
                <w:sz w:val="30"/>
                <w:szCs w:val="30"/>
              </w:rPr>
            </w:pPr>
            <w:r>
              <w:rPr>
                <w:rFonts w:ascii="仿宋" w:cs="仿宋" w:eastAsia="仿宋" w:hAnsi="仿宋" w:hint="eastAsia"/>
                <w:sz w:val="30"/>
                <w:szCs w:val="30"/>
              </w:rPr>
              <w:t>（二）专项管理情况分析</w:t>
            </w:r>
          </w:p>
          <w:p>
            <w:pPr>
              <w:pStyle w:val="style0"/>
              <w:spacing w:lineRule="exact" w:line="580"/>
              <w:ind w:firstLine="640" w:firstLineChars="200"/>
              <w:rPr>
                <w:rFonts w:ascii="仿宋" w:cs="仿宋_GB2312" w:eastAsia="仿宋" w:hAnsi="仿宋" w:hint="eastAsia"/>
                <w:sz w:val="32"/>
                <w:szCs w:val="32"/>
              </w:rPr>
            </w:pPr>
            <w:r>
              <w:rPr>
                <w:rFonts w:ascii="仿宋" w:cs="仿宋_GB2312" w:eastAsia="仿宋" w:hAnsi="仿宋" w:hint="eastAsia"/>
                <w:sz w:val="32"/>
                <w:szCs w:val="32"/>
              </w:rPr>
              <w:t>按照项目资金管理制度要求，对项目实施和资金使用分配方案坚持</w:t>
            </w:r>
            <w:r>
              <w:rPr>
                <w:rFonts w:ascii="仿宋" w:cs="仿宋_GB2312" w:eastAsia="仿宋" w:hAnsi="仿宋" w:hint="eastAsia"/>
                <w:sz w:val="32"/>
                <w:szCs w:val="32"/>
                <w:lang w:eastAsia="zh-CN"/>
              </w:rPr>
              <w:t>政府办班子</w:t>
            </w:r>
            <w:bookmarkStart w:id="0" w:name="_GoBack"/>
            <w:bookmarkEnd w:id="0"/>
            <w:r>
              <w:rPr>
                <w:rFonts w:ascii="仿宋" w:cs="仿宋_GB2312" w:eastAsia="仿宋" w:hAnsi="仿宋" w:hint="eastAsia"/>
                <w:sz w:val="32"/>
                <w:szCs w:val="32"/>
              </w:rPr>
              <w:t>集体决策。对各项目制订工作方案，明确完成的具体时间，开展项目规划设计、部署工作，认真落实建设任务。</w:t>
            </w:r>
          </w:p>
          <w:p>
            <w:pPr>
              <w:pStyle w:val="style0"/>
              <w:numPr>
                <w:ilvl w:val="0"/>
                <w:numId w:val="2"/>
              </w:numPr>
              <w:spacing w:lineRule="exact" w:line="560"/>
              <w:ind w:firstLine="600" w:firstLineChars="200"/>
              <w:rPr>
                <w:rFonts w:ascii="仿宋" w:cs="仿宋" w:eastAsia="仿宋" w:hAnsi="仿宋" w:hint="eastAsia"/>
                <w:sz w:val="30"/>
                <w:szCs w:val="30"/>
              </w:rPr>
            </w:pPr>
            <w:r>
              <w:rPr>
                <w:rFonts w:ascii="仿宋" w:cs="仿宋" w:eastAsia="仿宋" w:hAnsi="仿宋" w:hint="eastAsia"/>
                <w:sz w:val="30"/>
                <w:szCs w:val="30"/>
              </w:rPr>
              <w:t>部门（单位）整体支出绩效情况</w:t>
            </w:r>
          </w:p>
          <w:p>
            <w:pPr>
              <w:pStyle w:val="style0"/>
              <w:spacing w:lineRule="exact" w:line="600"/>
              <w:ind w:firstLine="420"/>
              <w:rPr>
                <w:rFonts w:ascii="华文仿宋" w:eastAsia="华文仿宋" w:hAnsi="华文仿宋"/>
                <w:sz w:val="32"/>
                <w:szCs w:val="32"/>
              </w:rPr>
            </w:pPr>
            <w:r>
              <w:rPr>
                <w:rFonts w:ascii="华文仿宋" w:eastAsia="华文仿宋" w:hAnsi="华文仿宋" w:hint="eastAsia"/>
                <w:sz w:val="32"/>
                <w:szCs w:val="32"/>
              </w:rPr>
              <w:t>（一）部门整体支出绩效评价依据</w:t>
            </w:r>
          </w:p>
          <w:p>
            <w:pPr>
              <w:pStyle w:val="style0"/>
              <w:spacing w:lineRule="exact" w:line="600"/>
              <w:ind w:firstLine="643" w:firstLineChars="201"/>
              <w:rPr>
                <w:rFonts w:eastAsia="仿宋_GB2312"/>
                <w:sz w:val="32"/>
                <w:szCs w:val="32"/>
              </w:rPr>
            </w:pPr>
            <w:r>
              <w:rPr>
                <w:rFonts w:ascii="华文仿宋" w:eastAsia="华文仿宋" w:hAnsi="华文仿宋" w:hint="eastAsia"/>
                <w:sz w:val="32"/>
                <w:szCs w:val="32"/>
              </w:rPr>
              <w:t>1、《岳阳市君山区财政局关于开展202</w:t>
            </w:r>
            <w:r>
              <w:rPr>
                <w:rFonts w:ascii="华文仿宋" w:eastAsia="华文仿宋" w:hAnsi="华文仿宋" w:hint="eastAsia"/>
                <w:sz w:val="32"/>
                <w:szCs w:val="32"/>
                <w:lang w:val="en-US" w:eastAsia="zh-CN"/>
              </w:rPr>
              <w:t>2</w:t>
            </w:r>
            <w:r>
              <w:rPr>
                <w:rFonts w:ascii="华文仿宋" w:eastAsia="华文仿宋" w:hAnsi="华文仿宋" w:hint="eastAsia"/>
                <w:sz w:val="32"/>
                <w:szCs w:val="32"/>
              </w:rPr>
              <w:t>年度部门整体支出绩效自评工作的通知》</w:t>
            </w:r>
            <w:r>
              <w:rPr>
                <w:rFonts w:ascii="华文仿宋" w:eastAsia="华文仿宋" w:hAnsi="华文仿宋" w:hint="eastAsia"/>
                <w:sz w:val="32"/>
                <w:szCs w:val="32"/>
                <w:lang w:eastAsia="zh-CN"/>
              </w:rPr>
              <w:t>、</w:t>
            </w:r>
            <w:r>
              <w:rPr>
                <w:rFonts w:eastAsia="仿宋_GB2312"/>
                <w:sz w:val="32"/>
                <w:szCs w:val="32"/>
              </w:rPr>
              <w:t>《预算法》</w:t>
            </w:r>
            <w:r>
              <w:rPr>
                <w:rFonts w:eastAsia="仿宋_GB2312" w:hint="eastAsia"/>
                <w:sz w:val="32"/>
                <w:szCs w:val="32"/>
              </w:rPr>
              <w:t>、</w:t>
            </w:r>
            <w:r>
              <w:rPr>
                <w:rFonts w:eastAsia="仿宋_GB2312"/>
                <w:sz w:val="32"/>
                <w:szCs w:val="32"/>
              </w:rPr>
              <w:t>《党政机关厉行节约反对浪费条例》、</w:t>
            </w:r>
            <w:r>
              <w:rPr>
                <w:rFonts w:eastAsia="仿宋_GB2312"/>
                <w:color w:val="auto"/>
                <w:kern w:val="0"/>
                <w:sz w:val="32"/>
                <w:szCs w:val="32"/>
              </w:rPr>
              <w:t>财政部《项目支出绩效评价管理办法》（财预〔2020〕10号）</w:t>
            </w:r>
            <w:r>
              <w:rPr>
                <w:rFonts w:eastAsia="仿宋_GB2312" w:hint="eastAsia"/>
                <w:color w:val="auto"/>
                <w:kern w:val="0"/>
                <w:sz w:val="32"/>
                <w:szCs w:val="32"/>
              </w:rPr>
              <w:t>、</w:t>
            </w:r>
            <w:r>
              <w:rPr>
                <w:rFonts w:ascii="仿宋" w:cs="仿宋" w:eastAsia="仿宋" w:hAnsi="仿宋" w:hint="eastAsia"/>
                <w:color w:val="auto"/>
                <w:sz w:val="32"/>
                <w:szCs w:val="32"/>
              </w:rPr>
              <w:t>湖南省财政厅关于印发《湖南省预算支出绩效评价管理办法》的通知（湘财绩〔</w:t>
            </w:r>
            <w:r>
              <w:rPr>
                <w:rFonts w:ascii="仿宋" w:cs="仿宋" w:eastAsia="仿宋" w:hAnsi="仿宋" w:hint="eastAsia"/>
                <w:color w:val="auto"/>
                <w:spacing w:val="-6"/>
                <w:sz w:val="32"/>
                <w:szCs w:val="32"/>
              </w:rPr>
              <w:t>2020</w:t>
            </w:r>
            <w:r>
              <w:rPr>
                <w:rFonts w:ascii="仿宋" w:cs="仿宋" w:eastAsia="仿宋" w:hAnsi="仿宋" w:hint="eastAsia"/>
                <w:color w:val="auto"/>
                <w:sz w:val="32"/>
                <w:szCs w:val="32"/>
              </w:rPr>
              <w:t>〕7号）</w:t>
            </w:r>
            <w:r>
              <w:rPr>
                <w:rFonts w:eastAsia="仿宋_GB2312"/>
                <w:color w:val="auto"/>
                <w:sz w:val="32"/>
                <w:szCs w:val="32"/>
              </w:rPr>
              <w:t>，</w:t>
            </w:r>
            <w:r>
              <w:rPr>
                <w:rFonts w:eastAsia="仿宋_GB2312"/>
                <w:sz w:val="32"/>
                <w:szCs w:val="32"/>
              </w:rPr>
              <w:t>以及中央、省市有关政策规定和各行业财务会计制度。</w:t>
            </w:r>
          </w:p>
          <w:p>
            <w:pPr>
              <w:pStyle w:val="style0"/>
              <w:adjustRightInd w:val="false"/>
              <w:snapToGrid w:val="false"/>
              <w:spacing w:lineRule="exact" w:line="640"/>
              <w:ind w:firstLine="640" w:firstLineChars="200"/>
              <w:contextualSpacing/>
              <w:rPr>
                <w:rFonts w:eastAsia="仿宋_GB2312"/>
                <w:sz w:val="32"/>
                <w:szCs w:val="32"/>
              </w:rPr>
            </w:pPr>
            <w:r>
              <w:rPr>
                <w:rFonts w:ascii="华文仿宋" w:eastAsia="华文仿宋" w:hAnsi="华文仿宋" w:hint="eastAsia"/>
                <w:sz w:val="32"/>
                <w:szCs w:val="32"/>
                <w:lang w:val="en-US" w:eastAsia="zh-CN"/>
              </w:rPr>
              <w:t>2</w:t>
            </w:r>
            <w:r>
              <w:rPr>
                <w:rFonts w:ascii="华文仿宋" w:eastAsia="华文仿宋" w:hAnsi="华文仿宋" w:hint="eastAsia"/>
                <w:sz w:val="32"/>
                <w:szCs w:val="32"/>
              </w:rPr>
              <w:t>、</w:t>
            </w:r>
            <w:r>
              <w:rPr>
                <w:rFonts w:eastAsia="仿宋_GB2312"/>
                <w:sz w:val="32"/>
                <w:szCs w:val="32"/>
              </w:rPr>
              <w:t>部门职能职责、年度工作计划，专项资金绩效目标、专项资金及项目管理办法。</w:t>
            </w:r>
          </w:p>
          <w:p>
            <w:pPr>
              <w:pStyle w:val="style0"/>
              <w:adjustRightInd w:val="false"/>
              <w:snapToGrid w:val="false"/>
              <w:spacing w:lineRule="exact" w:line="640"/>
              <w:ind w:firstLine="640" w:firstLineChars="200"/>
              <w:contextualSpacing/>
              <w:rPr>
                <w:rFonts w:eastAsia="仿宋_GB2312"/>
              </w:rPr>
            </w:pPr>
            <w:r>
              <w:rPr>
                <w:rFonts w:eastAsia="仿宋_GB2312" w:hint="eastAsia"/>
                <w:sz w:val="32"/>
                <w:szCs w:val="32"/>
                <w:lang w:val="en-US" w:eastAsia="zh-CN"/>
              </w:rPr>
              <w:t>3</w:t>
            </w:r>
            <w:r>
              <w:rPr>
                <w:rFonts w:eastAsia="仿宋_GB2312" w:hint="eastAsia"/>
                <w:sz w:val="32"/>
                <w:szCs w:val="32"/>
              </w:rPr>
              <w:t>、</w:t>
            </w:r>
            <w:r>
              <w:rPr>
                <w:rFonts w:eastAsia="仿宋_GB2312"/>
                <w:sz w:val="32"/>
                <w:szCs w:val="32"/>
              </w:rPr>
              <w:t>部门预算资金、财政部门预算批复、部门年度预算执行情况、年度决算报告，项目审计报告和完成验收报告等。</w:t>
            </w:r>
          </w:p>
          <w:p>
            <w:pPr>
              <w:pStyle w:val="style0"/>
              <w:spacing w:lineRule="exact" w:line="600"/>
              <w:ind w:firstLine="643" w:firstLineChars="201"/>
              <w:rPr>
                <w:rFonts w:ascii="华文仿宋" w:eastAsia="华文仿宋" w:hAnsi="华文仿宋"/>
                <w:sz w:val="32"/>
                <w:szCs w:val="32"/>
              </w:rPr>
            </w:pPr>
            <w:r>
              <w:rPr>
                <w:rFonts w:ascii="华文仿宋" w:eastAsia="华文仿宋" w:hAnsi="华文仿宋" w:hint="eastAsia"/>
                <w:sz w:val="32"/>
                <w:szCs w:val="32"/>
              </w:rPr>
              <w:t>（二）部门整体支出绩效评价的目的</w:t>
            </w:r>
          </w:p>
          <w:p>
            <w:pPr>
              <w:pStyle w:val="style0"/>
              <w:spacing w:lineRule="exact" w:line="600"/>
              <w:ind w:firstLine="643" w:firstLineChars="201"/>
              <w:rPr>
                <w:rFonts w:ascii="华文仿宋" w:eastAsia="华文仿宋" w:hAnsi="华文仿宋"/>
                <w:sz w:val="32"/>
                <w:szCs w:val="32"/>
              </w:rPr>
            </w:pPr>
            <w:r>
              <w:rPr>
                <w:rFonts w:ascii="华文仿宋" w:eastAsia="华文仿宋" w:hAnsi="华文仿宋" w:hint="eastAsia"/>
                <w:sz w:val="32"/>
                <w:szCs w:val="32"/>
              </w:rPr>
              <w:t>通过对202</w:t>
            </w:r>
            <w:r>
              <w:rPr>
                <w:rFonts w:ascii="华文仿宋" w:eastAsia="华文仿宋" w:hAnsi="华文仿宋" w:hint="eastAsia"/>
                <w:sz w:val="32"/>
                <w:szCs w:val="32"/>
                <w:lang w:val="en-US" w:eastAsia="zh-CN"/>
              </w:rPr>
              <w:t>2</w:t>
            </w:r>
            <w:r>
              <w:rPr>
                <w:rFonts w:ascii="华文仿宋" w:eastAsia="华文仿宋" w:hAnsi="华文仿宋" w:hint="eastAsia"/>
                <w:sz w:val="32"/>
                <w:szCs w:val="32"/>
              </w:rPr>
              <w:t>年度君山区</w:t>
            </w:r>
            <w:r>
              <w:rPr>
                <w:rFonts w:ascii="华文仿宋" w:eastAsia="华文仿宋" w:hAnsi="华文仿宋" w:hint="eastAsia"/>
                <w:sz w:val="32"/>
                <w:szCs w:val="32"/>
                <w:lang w:val="en-US" w:eastAsia="zh-CN"/>
              </w:rPr>
              <w:t>政府办</w:t>
            </w:r>
            <w:r>
              <w:rPr>
                <w:rFonts w:ascii="华文仿宋" w:eastAsia="华文仿宋" w:hAnsi="华文仿宋" w:hint="eastAsia"/>
                <w:sz w:val="32"/>
                <w:szCs w:val="32"/>
              </w:rPr>
              <w:t>的预算配置、预算管理、资产管理、职责履行、履职效益等内容的绩效考评，提高财政资金的使用效率，为预算管理提供决策依据。</w:t>
            </w:r>
          </w:p>
          <w:p>
            <w:pPr>
              <w:pStyle w:val="style0"/>
              <w:spacing w:lineRule="exact" w:line="600"/>
              <w:ind w:firstLine="643" w:firstLineChars="201"/>
              <w:rPr>
                <w:rFonts w:ascii="华文仿宋" w:eastAsia="华文仿宋" w:hAnsi="华文仿宋"/>
                <w:sz w:val="32"/>
                <w:szCs w:val="32"/>
              </w:rPr>
            </w:pPr>
            <w:r>
              <w:rPr>
                <w:rFonts w:ascii="华文仿宋" w:eastAsia="华文仿宋" w:hAnsi="华文仿宋" w:hint="eastAsia"/>
                <w:sz w:val="32"/>
                <w:szCs w:val="32"/>
              </w:rPr>
              <w:t>（三）部门整体支出评价原则、指标评价体系、评价方法</w:t>
            </w:r>
          </w:p>
          <w:p>
            <w:pPr>
              <w:pStyle w:val="style0"/>
              <w:spacing w:lineRule="exact" w:line="600"/>
              <w:ind w:firstLine="643" w:firstLineChars="201"/>
              <w:rPr>
                <w:rFonts w:ascii="华文仿宋" w:eastAsia="华文仿宋" w:hAnsi="华文仿宋"/>
                <w:sz w:val="32"/>
                <w:szCs w:val="32"/>
              </w:rPr>
            </w:pPr>
            <w:r>
              <w:rPr>
                <w:rFonts w:ascii="华文仿宋" w:eastAsia="华文仿宋" w:hAnsi="华文仿宋" w:hint="eastAsia"/>
                <w:sz w:val="32"/>
                <w:szCs w:val="32"/>
              </w:rPr>
              <w:t>1、部门整体支出绩效评价原则：遵循客观公正，操作简便高效，尊重客观实际，实事求是的原则。</w:t>
            </w:r>
          </w:p>
          <w:p>
            <w:pPr>
              <w:pStyle w:val="style0"/>
              <w:spacing w:lineRule="exact" w:line="600"/>
              <w:ind w:firstLine="643" w:firstLineChars="201"/>
              <w:rPr>
                <w:rFonts w:ascii="华文仿宋" w:eastAsia="华文仿宋" w:hAnsi="华文仿宋"/>
                <w:sz w:val="32"/>
                <w:szCs w:val="32"/>
              </w:rPr>
            </w:pPr>
            <w:r>
              <w:rPr>
                <w:rFonts w:ascii="华文仿宋" w:eastAsia="华文仿宋" w:hAnsi="华文仿宋" w:hint="eastAsia"/>
                <w:sz w:val="32"/>
                <w:szCs w:val="32"/>
              </w:rPr>
              <w:t>2、整体支出绩效评价体系：指标体系包括共性指标和个性指标两部分，本次主要参照了上级财政部门制定的《部门整体支出绩效评价指标体系》的相关内容，根据部门具体情况对个性指标进行了调整细化，形成《君山区</w:t>
            </w:r>
            <w:r>
              <w:rPr>
                <w:rFonts w:ascii="华文仿宋" w:eastAsia="华文仿宋" w:hAnsi="华文仿宋" w:hint="eastAsia"/>
                <w:sz w:val="32"/>
                <w:szCs w:val="32"/>
                <w:lang w:val="en-US" w:eastAsia="zh-CN"/>
              </w:rPr>
              <w:t>政府办</w:t>
            </w:r>
            <w:r>
              <w:rPr>
                <w:rFonts w:ascii="华文仿宋" w:eastAsia="华文仿宋" w:hAnsi="华文仿宋" w:hint="eastAsia"/>
                <w:sz w:val="32"/>
                <w:szCs w:val="32"/>
              </w:rPr>
              <w:t>202</w:t>
            </w:r>
            <w:r>
              <w:rPr>
                <w:rFonts w:ascii="华文仿宋" w:eastAsia="华文仿宋" w:hAnsi="华文仿宋" w:hint="eastAsia"/>
                <w:sz w:val="32"/>
                <w:szCs w:val="32"/>
                <w:lang w:val="en-US" w:eastAsia="zh-CN"/>
              </w:rPr>
              <w:t>2</w:t>
            </w:r>
            <w:r>
              <w:rPr>
                <w:rFonts w:ascii="华文仿宋" w:eastAsia="华文仿宋" w:hAnsi="华文仿宋" w:hint="eastAsia"/>
                <w:sz w:val="32"/>
                <w:szCs w:val="32"/>
              </w:rPr>
              <w:t>年整体支出绩效评价指标体系》。</w:t>
            </w:r>
          </w:p>
          <w:p>
            <w:pPr>
              <w:pStyle w:val="style0"/>
              <w:spacing w:lineRule="exact" w:line="600"/>
              <w:ind w:firstLine="643" w:firstLineChars="201"/>
              <w:rPr>
                <w:rFonts w:ascii="华文仿宋" w:eastAsia="华文仿宋" w:hAnsi="华文仿宋"/>
                <w:sz w:val="32"/>
                <w:szCs w:val="32"/>
              </w:rPr>
            </w:pPr>
            <w:r>
              <w:rPr>
                <w:rFonts w:ascii="华文仿宋" w:eastAsia="华文仿宋" w:hAnsi="华文仿宋" w:hint="eastAsia"/>
                <w:sz w:val="32"/>
                <w:szCs w:val="32"/>
              </w:rPr>
              <w:t>3、整体支出绩效评价方法：主要采用因素分析法、投入产支出效益分析法，比较法等方法。</w:t>
            </w:r>
          </w:p>
          <w:p>
            <w:pPr>
              <w:pStyle w:val="style0"/>
              <w:spacing w:lineRule="exact" w:line="600"/>
              <w:ind w:firstLine="643" w:firstLineChars="201"/>
              <w:rPr>
                <w:rFonts w:ascii="华文仿宋" w:eastAsia="华文仿宋" w:hAnsi="华文仿宋"/>
                <w:sz w:val="32"/>
                <w:szCs w:val="32"/>
              </w:rPr>
            </w:pPr>
            <w:r>
              <w:rPr>
                <w:rFonts w:ascii="华文仿宋" w:eastAsia="华文仿宋" w:hAnsi="华文仿宋" w:hint="eastAsia"/>
                <w:sz w:val="32"/>
                <w:szCs w:val="32"/>
              </w:rPr>
              <w:t>（四）整体支出绩效评价过程</w:t>
            </w:r>
          </w:p>
          <w:p>
            <w:pPr>
              <w:pStyle w:val="style0"/>
              <w:spacing w:lineRule="exact" w:line="600"/>
              <w:ind w:firstLine="643" w:firstLineChars="201"/>
              <w:rPr>
                <w:rFonts w:ascii="华文仿宋" w:eastAsia="华文仿宋" w:hAnsi="华文仿宋"/>
                <w:sz w:val="32"/>
                <w:szCs w:val="32"/>
              </w:rPr>
            </w:pPr>
            <w:r>
              <w:rPr>
                <w:rFonts w:ascii="华文仿宋" w:eastAsia="华文仿宋" w:hAnsi="华文仿宋" w:hint="eastAsia"/>
                <w:sz w:val="32"/>
                <w:szCs w:val="32"/>
              </w:rPr>
              <w:t>1、前期准备：按照绩效自评工作要求，组成以</w:t>
            </w:r>
            <w:r>
              <w:rPr>
                <w:rFonts w:ascii="华文仿宋" w:eastAsia="华文仿宋" w:hAnsi="华文仿宋" w:hint="eastAsia"/>
                <w:sz w:val="32"/>
                <w:szCs w:val="32"/>
                <w:highlight w:val="yellow"/>
                <w:lang w:val="en-US" w:eastAsia="zh-CN"/>
              </w:rPr>
              <w:t>许四海</w:t>
            </w:r>
            <w:r>
              <w:rPr>
                <w:rFonts w:ascii="华文仿宋" w:eastAsia="华文仿宋" w:hAnsi="华文仿宋" w:hint="eastAsia"/>
                <w:sz w:val="32"/>
                <w:szCs w:val="32"/>
              </w:rPr>
              <w:t>同志为组长的绩效评价工作小组，对相关的国家法律法规进行了认真学习，掌握政策，根据部门整体收支情况制定了部门整体支出绩效评价实施方案，设计了绩效评价指标体系。</w:t>
            </w:r>
          </w:p>
          <w:p>
            <w:pPr>
              <w:pStyle w:val="style0"/>
              <w:spacing w:lineRule="exact" w:line="600"/>
              <w:ind w:firstLine="643" w:firstLineChars="201"/>
              <w:rPr>
                <w:rFonts w:ascii="华文仿宋" w:eastAsia="华文仿宋" w:hAnsi="华文仿宋"/>
                <w:sz w:val="32"/>
                <w:szCs w:val="32"/>
              </w:rPr>
            </w:pPr>
            <w:r>
              <w:rPr>
                <w:rFonts w:ascii="华文仿宋" w:eastAsia="华文仿宋" w:hAnsi="华文仿宋" w:hint="eastAsia"/>
                <w:sz w:val="32"/>
                <w:szCs w:val="32"/>
              </w:rPr>
              <w:t>2、组织实施：采用核查法，核查202</w:t>
            </w:r>
            <w:r>
              <w:rPr>
                <w:rFonts w:ascii="华文仿宋" w:eastAsia="华文仿宋" w:hAnsi="华文仿宋" w:hint="eastAsia"/>
                <w:sz w:val="32"/>
                <w:szCs w:val="32"/>
                <w:lang w:val="en-US" w:eastAsia="zh-CN"/>
              </w:rPr>
              <w:t>2</w:t>
            </w:r>
            <w:r>
              <w:rPr>
                <w:rFonts w:ascii="华文仿宋" w:eastAsia="华文仿宋" w:hAnsi="华文仿宋" w:hint="eastAsia"/>
                <w:sz w:val="32"/>
                <w:szCs w:val="32"/>
              </w:rPr>
              <w:t>年度区级预算批复执行及部门整体支出情况，着重核查了“三公”经费及资产管理，内部控制制度情况，对内设机构，根据部门职能和年初制定的绩效考核目标，进行了实地绩效考评。</w:t>
            </w:r>
          </w:p>
          <w:p>
            <w:pPr>
              <w:pStyle w:val="style0"/>
              <w:spacing w:lineRule="exact" w:line="600"/>
              <w:ind w:firstLine="643" w:firstLineChars="201"/>
              <w:rPr>
                <w:rFonts w:ascii="华文仿宋" w:eastAsia="华文仿宋" w:hAnsi="华文仿宋"/>
                <w:sz w:val="32"/>
                <w:szCs w:val="32"/>
              </w:rPr>
            </w:pPr>
            <w:r>
              <w:rPr>
                <w:rFonts w:ascii="华文仿宋" w:eastAsia="华文仿宋" w:hAnsi="华文仿宋" w:hint="eastAsia"/>
                <w:sz w:val="32"/>
                <w:szCs w:val="32"/>
              </w:rPr>
              <w:t>3、分析评价：对评价过程中收集资料进行归纳，汇总分析，依据设定的部门整体支出绩效评价指标体系进行了评分，形成了综合性书面报告。</w:t>
            </w:r>
          </w:p>
          <w:p>
            <w:pPr>
              <w:pStyle w:val="style0"/>
              <w:spacing w:lineRule="exact" w:line="580"/>
              <w:ind w:firstLine="640" w:firstLineChars="200"/>
              <w:rPr>
                <w:rFonts w:ascii="仿宋" w:cs="仿宋_GB2312" w:eastAsia="仿宋" w:hAnsi="仿宋" w:hint="eastAsia"/>
                <w:sz w:val="32"/>
                <w:szCs w:val="32"/>
              </w:rPr>
            </w:pPr>
            <w:r>
              <w:rPr>
                <w:rFonts w:ascii="仿宋" w:cs="仿宋_GB2312" w:eastAsia="仿宋" w:hAnsi="仿宋" w:hint="eastAsia"/>
                <w:sz w:val="32"/>
                <w:szCs w:val="32"/>
              </w:rPr>
              <w:t>根据考核评分细则，本单位严格按照国家的相关财务管理制度规定，财务制度健全，会计核算规范，依照计划管理使用，整体支出对保障区</w:t>
            </w:r>
            <w:r>
              <w:rPr>
                <w:rFonts w:ascii="仿宋" w:cs="仿宋_GB2312" w:eastAsia="仿宋" w:hAnsi="仿宋" w:hint="eastAsia"/>
                <w:sz w:val="32"/>
                <w:szCs w:val="32"/>
                <w:lang w:eastAsia="zh-CN"/>
              </w:rPr>
              <w:t>政府办</w:t>
            </w:r>
            <w:r>
              <w:rPr>
                <w:rFonts w:ascii="仿宋" w:cs="仿宋_GB2312" w:eastAsia="仿宋" w:hAnsi="仿宋" w:hint="eastAsia"/>
                <w:sz w:val="32"/>
                <w:szCs w:val="32"/>
              </w:rPr>
              <w:t>工作的正常运行、为</w:t>
            </w:r>
            <w:r>
              <w:rPr>
                <w:rFonts w:ascii="仿宋" w:cs="仿宋_GB2312" w:eastAsia="仿宋" w:hAnsi="仿宋" w:hint="eastAsia"/>
                <w:sz w:val="32"/>
                <w:szCs w:val="32"/>
                <w:lang w:eastAsia="zh-CN"/>
              </w:rPr>
              <w:t>我区经济</w:t>
            </w:r>
            <w:r>
              <w:rPr>
                <w:rFonts w:ascii="仿宋" w:cs="仿宋_GB2312" w:eastAsia="仿宋" w:hAnsi="仿宋" w:hint="eastAsia"/>
                <w:sz w:val="32"/>
                <w:szCs w:val="32"/>
              </w:rPr>
              <w:t>发展大局服务发挥了重要保障作用。按照部门整体支出绩效评价指标体系对照打分得出结果为9</w:t>
            </w:r>
            <w:r>
              <w:rPr>
                <w:rFonts w:ascii="仿宋" w:cs="仿宋_GB2312" w:eastAsia="仿宋" w:hAnsi="仿宋" w:hint="eastAsia"/>
                <w:sz w:val="32"/>
                <w:szCs w:val="32"/>
                <w:lang w:val="en-US" w:eastAsia="zh-CN"/>
              </w:rPr>
              <w:t>8</w:t>
            </w:r>
            <w:r>
              <w:rPr>
                <w:rFonts w:ascii="仿宋" w:cs="仿宋_GB2312" w:eastAsia="仿宋" w:hAnsi="仿宋" w:hint="eastAsia"/>
                <w:sz w:val="32"/>
                <w:szCs w:val="32"/>
              </w:rPr>
              <w:t>分。</w:t>
            </w:r>
          </w:p>
          <w:p>
            <w:pPr>
              <w:pStyle w:val="style0"/>
              <w:numPr>
                <w:ilvl w:val="0"/>
                <w:numId w:val="2"/>
              </w:numPr>
              <w:spacing w:lineRule="exact" w:line="560"/>
              <w:ind w:left="0" w:leftChars="0" w:firstLine="600" w:firstLineChars="200"/>
              <w:rPr>
                <w:rFonts w:ascii="仿宋" w:cs="仿宋" w:eastAsia="仿宋" w:hAnsi="仿宋" w:hint="eastAsia"/>
                <w:sz w:val="30"/>
                <w:szCs w:val="30"/>
              </w:rPr>
            </w:pPr>
            <w:r>
              <w:rPr>
                <w:rFonts w:ascii="仿宋" w:cs="仿宋" w:eastAsia="仿宋" w:hAnsi="仿宋" w:hint="eastAsia"/>
                <w:sz w:val="30"/>
                <w:szCs w:val="30"/>
              </w:rPr>
              <w:t>存在的主要问题</w:t>
            </w:r>
          </w:p>
          <w:p>
            <w:pPr>
              <w:pStyle w:val="style0"/>
              <w:spacing w:lineRule="exact" w:line="580"/>
              <w:ind w:firstLine="640" w:firstLineChars="200"/>
              <w:rPr>
                <w:rFonts w:ascii="仿宋" w:cs="仿宋_GB2312" w:eastAsia="仿宋" w:hAnsi="仿宋" w:hint="eastAsia"/>
                <w:sz w:val="32"/>
                <w:szCs w:val="32"/>
              </w:rPr>
            </w:pPr>
            <w:r>
              <w:rPr>
                <w:rFonts w:ascii="仿宋" w:cs="仿宋_GB2312" w:eastAsia="仿宋" w:hAnsi="仿宋" w:hint="eastAsia"/>
                <w:sz w:val="32"/>
                <w:szCs w:val="32"/>
                <w:lang w:val="en-US" w:eastAsia="zh-CN"/>
              </w:rPr>
              <w:t>1、</w:t>
            </w:r>
            <w:r>
              <w:rPr>
                <w:rFonts w:ascii="仿宋" w:cs="仿宋_GB2312" w:eastAsia="仿宋" w:hAnsi="仿宋" w:hint="eastAsia"/>
                <w:sz w:val="32"/>
                <w:szCs w:val="32"/>
              </w:rPr>
              <w:t>理想信念不够坚定。</w:t>
            </w:r>
          </w:p>
          <w:p>
            <w:pPr>
              <w:pStyle w:val="style0"/>
              <w:spacing w:lineRule="exact" w:line="580"/>
              <w:ind w:firstLine="640" w:firstLineChars="200"/>
              <w:rPr>
                <w:rFonts w:ascii="仿宋" w:cs="仿宋_GB2312" w:eastAsia="仿宋" w:hAnsi="仿宋" w:hint="eastAsia"/>
                <w:sz w:val="32"/>
                <w:szCs w:val="32"/>
              </w:rPr>
            </w:pPr>
            <w:r>
              <w:rPr>
                <w:rFonts w:ascii="仿宋" w:cs="仿宋_GB2312" w:eastAsia="仿宋" w:hAnsi="仿宋" w:hint="eastAsia"/>
                <w:sz w:val="32"/>
                <w:szCs w:val="32"/>
                <w:lang w:val="en-US" w:eastAsia="zh-CN"/>
              </w:rPr>
              <w:t>2、</w:t>
            </w:r>
            <w:r>
              <w:rPr>
                <w:rFonts w:ascii="仿宋" w:cs="仿宋_GB2312" w:eastAsia="仿宋" w:hAnsi="仿宋" w:hint="eastAsia"/>
                <w:sz w:val="32"/>
                <w:szCs w:val="32"/>
              </w:rPr>
              <w:t>宗旨意识有所淡化。</w:t>
            </w:r>
          </w:p>
          <w:p>
            <w:pPr>
              <w:pStyle w:val="style0"/>
              <w:spacing w:lineRule="exact" w:line="580"/>
              <w:ind w:firstLine="640" w:firstLineChars="200"/>
              <w:rPr>
                <w:rFonts w:ascii="仿宋" w:cs="仿宋_GB2312" w:eastAsia="仿宋" w:hAnsi="仿宋" w:hint="eastAsia"/>
                <w:sz w:val="32"/>
                <w:szCs w:val="32"/>
              </w:rPr>
            </w:pPr>
            <w:r>
              <w:rPr>
                <w:rFonts w:ascii="仿宋" w:cs="仿宋_GB2312" w:eastAsia="仿宋" w:hAnsi="仿宋" w:hint="eastAsia"/>
                <w:sz w:val="32"/>
                <w:szCs w:val="32"/>
                <w:lang w:val="en-US" w:eastAsia="zh-CN"/>
              </w:rPr>
              <w:t>3、</w:t>
            </w:r>
            <w:r>
              <w:rPr>
                <w:rFonts w:ascii="仿宋" w:cs="仿宋_GB2312" w:eastAsia="仿宋" w:hAnsi="仿宋" w:hint="eastAsia"/>
                <w:sz w:val="32"/>
                <w:szCs w:val="32"/>
              </w:rPr>
              <w:t>作风建设仍需加强。</w:t>
            </w:r>
          </w:p>
          <w:p>
            <w:pPr>
              <w:pStyle w:val="style0"/>
              <w:spacing w:lineRule="exact" w:line="560"/>
              <w:ind w:firstLine="600" w:firstLineChars="200"/>
              <w:rPr>
                <w:rFonts w:ascii="仿宋" w:cs="仿宋" w:eastAsia="仿宋" w:hAnsi="仿宋" w:hint="eastAsia"/>
                <w:sz w:val="30"/>
                <w:szCs w:val="30"/>
              </w:rPr>
            </w:pPr>
            <w:r>
              <w:rPr>
                <w:rFonts w:ascii="仿宋" w:cs="仿宋" w:eastAsia="仿宋" w:hAnsi="仿宋" w:hint="eastAsia"/>
                <w:sz w:val="30"/>
                <w:szCs w:val="30"/>
              </w:rPr>
              <w:t>六、改进措施和有关建议</w:t>
            </w:r>
          </w:p>
          <w:p>
            <w:pPr>
              <w:pStyle w:val="style0"/>
              <w:spacing w:lineRule="exact" w:line="580"/>
              <w:ind w:firstLine="640" w:firstLineChars="200"/>
              <w:rPr>
                <w:rFonts w:ascii="仿宋" w:cs="仿宋_GB2312" w:eastAsia="仿宋" w:hAnsi="仿宋" w:hint="eastAsia"/>
                <w:sz w:val="32"/>
                <w:szCs w:val="32"/>
                <w:lang w:val="en-US" w:eastAsia="zh-CN"/>
              </w:rPr>
            </w:pPr>
            <w:r>
              <w:rPr>
                <w:rFonts w:ascii="仿宋" w:cs="仿宋_GB2312" w:eastAsia="仿宋" w:hAnsi="仿宋" w:hint="eastAsia"/>
                <w:sz w:val="32"/>
                <w:szCs w:val="32"/>
                <w:lang w:val="en-US" w:eastAsia="zh-CN"/>
              </w:rPr>
              <w:t>1、进一步加强理论学习，坚定政治方向。</w:t>
            </w:r>
          </w:p>
          <w:p>
            <w:pPr>
              <w:pStyle w:val="style0"/>
              <w:spacing w:lineRule="exact" w:line="580"/>
              <w:ind w:firstLine="640" w:firstLineChars="200"/>
              <w:rPr>
                <w:rFonts w:ascii="仿宋" w:cs="仿宋_GB2312" w:eastAsia="仿宋" w:hAnsi="仿宋" w:hint="eastAsia"/>
                <w:sz w:val="32"/>
                <w:szCs w:val="32"/>
                <w:lang w:val="en-US" w:eastAsia="zh-CN"/>
              </w:rPr>
            </w:pPr>
            <w:r>
              <w:rPr>
                <w:rFonts w:ascii="仿宋" w:cs="仿宋_GB2312" w:eastAsia="仿宋" w:hAnsi="仿宋" w:hint="eastAsia"/>
                <w:sz w:val="32"/>
                <w:szCs w:val="32"/>
                <w:lang w:val="en-US" w:eastAsia="zh-CN"/>
              </w:rPr>
              <w:t>2、进一步增强宗旨意识，夯实政治根基。</w:t>
            </w:r>
          </w:p>
          <w:p>
            <w:pPr>
              <w:pStyle w:val="style0"/>
              <w:spacing w:lineRule="exact" w:line="580"/>
              <w:ind w:firstLine="640" w:firstLineChars="200"/>
              <w:rPr>
                <w:rFonts w:ascii="楷体_GB2312" w:cs="楷体_GB2312" w:eastAsia="楷体_GB2312" w:hAnsi="楷体_GB2312" w:hint="eastAsia"/>
                <w:b/>
                <w:bCs/>
                <w:sz w:val="32"/>
                <w:szCs w:val="32"/>
              </w:rPr>
            </w:pPr>
            <w:r>
              <w:rPr>
                <w:rFonts w:ascii="仿宋" w:cs="仿宋_GB2312" w:eastAsia="仿宋" w:hAnsi="仿宋" w:hint="eastAsia"/>
                <w:sz w:val="32"/>
                <w:szCs w:val="32"/>
                <w:lang w:val="en-US" w:eastAsia="zh-CN"/>
              </w:rPr>
              <w:t>3、进一步严守政治纪律，树立良好形象。</w:t>
            </w:r>
          </w:p>
        </w:tc>
      </w:tr>
    </w:tbl>
    <w:p>
      <w:pPr>
        <w:pStyle w:val="style0"/>
        <w:rPr>
          <w:rFonts w:ascii="黑体" w:eastAsia="黑体" w:hAnsi="黑体" w:hint="eastAsia"/>
          <w:sz w:val="32"/>
          <w:szCs w:val="32"/>
        </w:rPr>
      </w:pPr>
    </w:p>
    <w:p>
      <w:pPr>
        <w:pStyle w:val="style0"/>
        <w:rPr>
          <w:rFonts w:ascii="黑体" w:eastAsia="黑体" w:hAnsi="黑体"/>
          <w:sz w:val="32"/>
          <w:szCs w:val="32"/>
        </w:rPr>
      </w:pPr>
      <w:r>
        <w:rPr>
          <w:rFonts w:ascii="黑体" w:eastAsia="黑体" w:hAnsi="黑体" w:hint="eastAsia"/>
          <w:sz w:val="32"/>
          <w:szCs w:val="32"/>
        </w:rPr>
        <w:t>附件4-1</w:t>
      </w:r>
    </w:p>
    <w:p>
      <w:pPr>
        <w:pStyle w:val="style0"/>
        <w:spacing w:before="312" w:beforeLines="100" w:after="312" w:afterLines="100"/>
        <w:jc w:val="center"/>
        <w:rPr>
          <w:rFonts w:ascii="方正小标宋简体" w:eastAsia="方正小标宋简体"/>
          <w:sz w:val="36"/>
          <w:szCs w:val="36"/>
        </w:rPr>
      </w:pPr>
      <w:r>
        <w:rPr>
          <w:rFonts w:ascii="方正小标宋简体" w:eastAsia="方正小标宋简体" w:hint="eastAsia"/>
          <w:sz w:val="36"/>
          <w:szCs w:val="36"/>
        </w:rPr>
        <w:t>部门整体支出绩效评价评分表</w:t>
      </w:r>
    </w:p>
    <w:tbl>
      <w:tblPr>
        <w:tblStyle w:val="style105"/>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108" w:type="dxa"/>
          <w:bottom w:w="0" w:type="dxa"/>
          <w:right w:w="108" w:type="dxa"/>
        </w:tblCellMar>
      </w:tblPr>
      <w:tblGrid>
        <w:gridCol w:w="976"/>
        <w:gridCol w:w="939"/>
        <w:gridCol w:w="1389"/>
        <w:gridCol w:w="4171"/>
        <w:gridCol w:w="619"/>
        <w:gridCol w:w="720"/>
        <w:gridCol w:w="1080"/>
      </w:tblGrid>
      <w:tr>
        <w:trPr>
          <w:trHeight w:val="525" w:hRule="atLeast"/>
          <w:jc w:val="center"/>
        </w:trPr>
        <w:tc>
          <w:tcPr>
            <w:tcW w:w="976" w:type="dxa"/>
            <w:tcBorders>
              <w:top w:val="single" w:sz="4" w:space="0" w:color="auto"/>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b/>
                <w:bCs/>
                <w:kern w:val="0"/>
                <w:sz w:val="18"/>
                <w:szCs w:val="18"/>
              </w:rPr>
            </w:pPr>
            <w:r>
              <w:rPr>
                <w:rFonts w:ascii="仿宋_GB2312" w:cs="宋体" w:eastAsia="仿宋_GB2312" w:hAnsi="宋体" w:hint="eastAsia"/>
                <w:b/>
                <w:bCs/>
                <w:kern w:val="0"/>
                <w:sz w:val="18"/>
                <w:szCs w:val="18"/>
              </w:rPr>
              <w:t>一级指标</w:t>
            </w:r>
          </w:p>
        </w:tc>
        <w:tc>
          <w:tcPr>
            <w:tcW w:w="939" w:type="dxa"/>
            <w:tcBorders>
              <w:top w:val="single" w:sz="4" w:space="0" w:color="auto"/>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b/>
                <w:bCs/>
                <w:kern w:val="0"/>
                <w:sz w:val="18"/>
                <w:szCs w:val="18"/>
              </w:rPr>
            </w:pPr>
            <w:r>
              <w:rPr>
                <w:rFonts w:ascii="仿宋_GB2312" w:cs="宋体" w:eastAsia="仿宋_GB2312" w:hAnsi="宋体"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b/>
                <w:bCs/>
                <w:kern w:val="0"/>
                <w:sz w:val="18"/>
                <w:szCs w:val="18"/>
              </w:rPr>
            </w:pPr>
            <w:r>
              <w:rPr>
                <w:rFonts w:ascii="仿宋_GB2312" w:cs="宋体" w:eastAsia="仿宋_GB2312" w:hAnsi="宋体"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b/>
                <w:bCs/>
                <w:kern w:val="0"/>
                <w:sz w:val="18"/>
                <w:szCs w:val="18"/>
              </w:rPr>
            </w:pPr>
            <w:r>
              <w:rPr>
                <w:rFonts w:ascii="仿宋_GB2312" w:cs="宋体" w:eastAsia="仿宋_GB2312" w:hAnsi="宋体"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b/>
                <w:bCs/>
                <w:kern w:val="0"/>
                <w:sz w:val="18"/>
                <w:szCs w:val="18"/>
              </w:rPr>
            </w:pPr>
            <w:r>
              <w:rPr>
                <w:rFonts w:ascii="仿宋_GB2312" w:cs="宋体" w:eastAsia="仿宋_GB2312" w:hAnsi="宋体"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b/>
                <w:bCs/>
                <w:kern w:val="0"/>
                <w:sz w:val="18"/>
                <w:szCs w:val="18"/>
              </w:rPr>
            </w:pPr>
            <w:r>
              <w:rPr>
                <w:rFonts w:ascii="仿宋_GB2312" w:cs="宋体" w:eastAsia="仿宋_GB2312" w:hAnsi="宋体"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b/>
                <w:bCs/>
                <w:spacing w:val="-10"/>
                <w:kern w:val="0"/>
                <w:sz w:val="18"/>
                <w:szCs w:val="18"/>
              </w:rPr>
            </w:pPr>
            <w:r>
              <w:rPr>
                <w:rFonts w:ascii="仿宋_GB2312" w:cs="宋体" w:eastAsia="仿宋_GB2312" w:hAnsi="宋体" w:hint="eastAsia"/>
                <w:b/>
                <w:bCs/>
                <w:spacing w:val="-10"/>
                <w:kern w:val="0"/>
                <w:sz w:val="18"/>
                <w:szCs w:val="18"/>
              </w:rPr>
              <w:t>扣分原因和其他说明</w:t>
            </w:r>
          </w:p>
        </w:tc>
      </w:tr>
      <w:tr>
        <w:tblPrEx/>
        <w:trPr>
          <w:trHeight w:val="559" w:hRule="atLeast"/>
          <w:jc w:val="center"/>
        </w:trPr>
        <w:tc>
          <w:tcPr>
            <w:tcW w:w="976" w:type="dxa"/>
            <w:vMerge w:val="restart"/>
            <w:tcBorders>
              <w:top w:val="nil"/>
              <w:left w:val="single" w:sz="4" w:space="0" w:color="auto"/>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投  入</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（15分）</w:t>
            </w:r>
          </w:p>
        </w:tc>
        <w:tc>
          <w:tcPr>
            <w:tcW w:w="939" w:type="dxa"/>
            <w:vMerge w:val="restart"/>
            <w:tcBorders>
              <w:top w:val="nil"/>
              <w:left w:val="single" w:sz="4" w:space="0" w:color="auto"/>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预算配置</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（15分）</w:t>
            </w:r>
          </w:p>
        </w:tc>
        <w:tc>
          <w:tcPr>
            <w:tcW w:w="1389"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财政供养人员</w:t>
            </w:r>
          </w:p>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控制率</w:t>
            </w:r>
          </w:p>
        </w:tc>
        <w:tc>
          <w:tcPr>
            <w:tcW w:w="4171" w:type="dxa"/>
            <w:tcBorders>
              <w:top w:val="nil"/>
              <w:left w:val="nil"/>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kern w:val="0"/>
                <w:sz w:val="18"/>
                <w:szCs w:val="18"/>
              </w:rPr>
            </w:pPr>
            <w:r>
              <w:rPr>
                <w:rFonts w:ascii="仿宋_GB2312" w:cs="宋体" w:eastAsia="仿宋_GB2312" w:hAnsi="宋体" w:hint="eastAsia"/>
                <w:kern w:val="0"/>
                <w:sz w:val="18"/>
                <w:szCs w:val="18"/>
              </w:rPr>
              <w:t>以100%为标准。在职人员控制率</w:t>
            </w:r>
            <w:r>
              <w:rPr>
                <w:rFonts w:ascii="宋体" w:cs="宋体" w:hAnsi="宋体" w:hint="eastAsia"/>
                <w:kern w:val="0"/>
                <w:sz w:val="18"/>
                <w:szCs w:val="18"/>
              </w:rPr>
              <w:t>≦</w:t>
            </w:r>
            <w:r>
              <w:rPr>
                <w:rFonts w:ascii="仿宋_GB2312" w:cs="宋体" w:eastAsia="仿宋_GB2312" w:hAnsi="宋体" w:hint="eastAsia"/>
                <w:kern w:val="0"/>
                <w:sz w:val="18"/>
                <w:szCs w:val="18"/>
              </w:rPr>
              <w:t>100%，计5分；每超过一个百分点扣0.5分，扣完为止。</w:t>
            </w:r>
          </w:p>
        </w:tc>
        <w:tc>
          <w:tcPr>
            <w:tcW w:w="619"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5</w:t>
            </w:r>
          </w:p>
        </w:tc>
        <w:tc>
          <w:tcPr>
            <w:tcW w:w="720"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hint="eastAsia"/>
                <w:color w:val="000000"/>
                <w:kern w:val="0"/>
                <w:sz w:val="18"/>
                <w:szCs w:val="18"/>
                <w:lang w:val="en-US" w:eastAsia="zh-CN"/>
              </w:rPr>
            </w:pPr>
            <w:r>
              <w:rPr>
                <w:rFonts w:ascii="仿宋_GB2312" w:cs="宋体" w:eastAsia="仿宋_GB2312" w:hAnsi="宋体" w:hint="eastAsia"/>
                <w:color w:val="000000"/>
                <w:kern w:val="0"/>
                <w:sz w:val="18"/>
                <w:szCs w:val="18"/>
                <w:lang w:val="en-US" w:eastAsia="zh-CN"/>
              </w:rPr>
              <w:t>5</w:t>
            </w:r>
          </w:p>
        </w:tc>
        <w:tc>
          <w:tcPr>
            <w:tcW w:w="1080" w:type="dxa"/>
            <w:tcBorders>
              <w:top w:val="nil"/>
              <w:left w:val="nil"/>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color w:val="000000"/>
                <w:kern w:val="0"/>
                <w:sz w:val="18"/>
                <w:szCs w:val="18"/>
              </w:rPr>
            </w:pPr>
          </w:p>
        </w:tc>
      </w:tr>
      <w:tr>
        <w:tblPrEx/>
        <w:trPr>
          <w:trHeight w:val="780" w:hRule="atLeast"/>
          <w:jc w:val="center"/>
        </w:trPr>
        <w:tc>
          <w:tcPr>
            <w:tcW w:w="976" w:type="dxa"/>
            <w:vMerge w:val="continue"/>
            <w:tcBorders>
              <w:top w:val="nil"/>
              <w:left w:val="single" w:sz="4" w:space="0" w:color="auto"/>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kern w:val="0"/>
                <w:sz w:val="18"/>
                <w:szCs w:val="18"/>
              </w:rPr>
            </w:pPr>
          </w:p>
        </w:tc>
        <w:tc>
          <w:tcPr>
            <w:tcW w:w="939" w:type="dxa"/>
            <w:vMerge w:val="continue"/>
            <w:tcBorders>
              <w:top w:val="nil"/>
              <w:left w:val="single" w:sz="4" w:space="0" w:color="auto"/>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“三公经费”</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变动率</w:t>
            </w:r>
          </w:p>
        </w:tc>
        <w:tc>
          <w:tcPr>
            <w:tcW w:w="4171" w:type="dxa"/>
            <w:tcBorders>
              <w:top w:val="nil"/>
              <w:left w:val="nil"/>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kern w:val="0"/>
                <w:sz w:val="18"/>
                <w:szCs w:val="18"/>
              </w:rPr>
            </w:pPr>
            <w:r>
              <w:rPr>
                <w:rFonts w:ascii="仿宋_GB2312" w:cs="宋体" w:eastAsia="仿宋_GB2312" w:hAnsi="宋体" w:hint="eastAsia"/>
                <w:kern w:val="0"/>
                <w:sz w:val="18"/>
                <w:szCs w:val="18"/>
              </w:rPr>
              <w:t>“三公经费”变动率</w:t>
            </w:r>
            <w:r>
              <w:rPr>
                <w:rFonts w:ascii="宋体" w:cs="宋体" w:hAnsi="宋体" w:hint="eastAsia"/>
                <w:kern w:val="0"/>
                <w:sz w:val="18"/>
                <w:szCs w:val="18"/>
              </w:rPr>
              <w:t>≦</w:t>
            </w:r>
            <w:r>
              <w:rPr>
                <w:rFonts w:ascii="仿宋_GB2312" w:cs="宋体" w:eastAsia="仿宋_GB2312" w:hAnsi="宋体" w:hint="eastAsia"/>
                <w:kern w:val="0"/>
                <w:sz w:val="18"/>
                <w:szCs w:val="18"/>
              </w:rPr>
              <w:t>0,计5分；</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“三公经费”＞0，每超过一个百分点扣0.5分，扣完为止。</w:t>
            </w:r>
          </w:p>
        </w:tc>
        <w:tc>
          <w:tcPr>
            <w:tcW w:w="619"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5</w:t>
            </w:r>
          </w:p>
        </w:tc>
        <w:tc>
          <w:tcPr>
            <w:tcW w:w="720"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hint="eastAsia"/>
                <w:color w:val="000000"/>
                <w:kern w:val="0"/>
                <w:sz w:val="18"/>
                <w:szCs w:val="18"/>
                <w:lang w:val="en-US" w:eastAsia="zh-CN"/>
              </w:rPr>
            </w:pPr>
            <w:r>
              <w:rPr>
                <w:rFonts w:ascii="仿宋_GB2312" w:cs="宋体" w:eastAsia="仿宋_GB2312" w:hAnsi="宋体" w:hint="eastAsia"/>
                <w:color w:val="000000"/>
                <w:kern w:val="0"/>
                <w:sz w:val="18"/>
                <w:szCs w:val="18"/>
                <w:lang w:val="en-US" w:eastAsia="zh-CN"/>
              </w:rPr>
              <w:t>5</w:t>
            </w:r>
          </w:p>
        </w:tc>
        <w:tc>
          <w:tcPr>
            <w:tcW w:w="1080" w:type="dxa"/>
            <w:tcBorders>
              <w:top w:val="nil"/>
              <w:left w:val="nil"/>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color w:val="000000"/>
                <w:kern w:val="0"/>
                <w:sz w:val="18"/>
                <w:szCs w:val="18"/>
              </w:rPr>
            </w:pPr>
          </w:p>
        </w:tc>
      </w:tr>
      <w:tr>
        <w:tblPrEx/>
        <w:trPr>
          <w:trHeight w:val="737" w:hRule="atLeast"/>
          <w:jc w:val="center"/>
        </w:trPr>
        <w:tc>
          <w:tcPr>
            <w:tcW w:w="976" w:type="dxa"/>
            <w:vMerge w:val="continue"/>
            <w:tcBorders>
              <w:top w:val="nil"/>
              <w:left w:val="single" w:sz="4" w:space="0" w:color="auto"/>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kern w:val="0"/>
                <w:sz w:val="18"/>
                <w:szCs w:val="18"/>
              </w:rPr>
            </w:pPr>
          </w:p>
        </w:tc>
        <w:tc>
          <w:tcPr>
            <w:tcW w:w="939" w:type="dxa"/>
            <w:vMerge w:val="continue"/>
            <w:tcBorders>
              <w:top w:val="nil"/>
              <w:left w:val="single" w:sz="4" w:space="0" w:color="auto"/>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重点支出</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安排率</w:t>
            </w:r>
          </w:p>
        </w:tc>
        <w:tc>
          <w:tcPr>
            <w:tcW w:w="4171" w:type="dxa"/>
            <w:tcBorders>
              <w:top w:val="nil"/>
              <w:left w:val="nil"/>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kern w:val="0"/>
                <w:sz w:val="18"/>
                <w:szCs w:val="18"/>
              </w:rPr>
            </w:pPr>
            <w:r>
              <w:rPr>
                <w:rFonts w:ascii="仿宋_GB2312" w:cs="宋体" w:eastAsia="仿宋_GB2312" w:hAnsi="宋体" w:hint="eastAsia"/>
                <w:kern w:val="0"/>
                <w:sz w:val="18"/>
                <w:szCs w:val="18"/>
              </w:rPr>
              <w:t>重点支出安排率≥90%，计5分；80%（含）-90%，计4分；70%（含）-80%，计3分；60%（含）-70%，计2分；低于60%不得分。</w:t>
            </w:r>
          </w:p>
        </w:tc>
        <w:tc>
          <w:tcPr>
            <w:tcW w:w="619"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5</w:t>
            </w:r>
          </w:p>
        </w:tc>
        <w:tc>
          <w:tcPr>
            <w:tcW w:w="720"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hint="eastAsia"/>
                <w:color w:val="000000"/>
                <w:kern w:val="0"/>
                <w:sz w:val="18"/>
                <w:szCs w:val="18"/>
                <w:lang w:val="en-US" w:eastAsia="zh-CN"/>
              </w:rPr>
            </w:pPr>
            <w:r>
              <w:rPr>
                <w:rFonts w:ascii="仿宋_GB2312" w:cs="宋体" w:eastAsia="仿宋_GB2312" w:hAnsi="宋体" w:hint="eastAsia"/>
                <w:color w:val="000000"/>
                <w:kern w:val="0"/>
                <w:sz w:val="18"/>
                <w:szCs w:val="18"/>
                <w:lang w:val="en-US" w:eastAsia="zh-CN"/>
              </w:rPr>
              <w:t>5</w:t>
            </w:r>
          </w:p>
        </w:tc>
        <w:tc>
          <w:tcPr>
            <w:tcW w:w="1080" w:type="dxa"/>
            <w:tcBorders>
              <w:top w:val="nil"/>
              <w:left w:val="nil"/>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color w:val="000000"/>
                <w:kern w:val="0"/>
                <w:sz w:val="18"/>
                <w:szCs w:val="18"/>
              </w:rPr>
            </w:pPr>
          </w:p>
        </w:tc>
      </w:tr>
      <w:tr>
        <w:tblPrEx/>
        <w:trPr>
          <w:trHeight w:val="776" w:hRule="atLeast"/>
          <w:jc w:val="center"/>
        </w:trPr>
        <w:tc>
          <w:tcPr>
            <w:tcW w:w="976" w:type="dxa"/>
            <w:vMerge w:val="restart"/>
            <w:tcBorders>
              <w:top w:val="nil"/>
              <w:left w:val="single" w:sz="4" w:space="0" w:color="auto"/>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过  程</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（40分）</w:t>
            </w:r>
          </w:p>
        </w:tc>
        <w:tc>
          <w:tcPr>
            <w:tcW w:w="939" w:type="dxa"/>
            <w:vMerge w:val="restart"/>
            <w:tcBorders>
              <w:top w:val="nil"/>
              <w:left w:val="single" w:sz="4" w:space="0" w:color="auto"/>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预算执行</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（15分）</w:t>
            </w:r>
          </w:p>
        </w:tc>
        <w:tc>
          <w:tcPr>
            <w:tcW w:w="1389"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预算调整率</w:t>
            </w:r>
          </w:p>
        </w:tc>
        <w:tc>
          <w:tcPr>
            <w:tcW w:w="4171" w:type="dxa"/>
            <w:tcBorders>
              <w:top w:val="nil"/>
              <w:left w:val="nil"/>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kern w:val="0"/>
                <w:sz w:val="18"/>
                <w:szCs w:val="18"/>
              </w:rPr>
            </w:pPr>
            <w:r>
              <w:rPr>
                <w:rFonts w:ascii="仿宋_GB2312" w:cs="宋体" w:eastAsia="仿宋_GB2312" w:hAnsi="宋体" w:hint="eastAsia"/>
                <w:kern w:val="0"/>
                <w:sz w:val="18"/>
                <w:szCs w:val="18"/>
              </w:rPr>
              <w:t>预算调整率=0，计3分；0-10%（含），计2分；10-20%（含），计1分；20-30%（含），计0.5分；大于30%不得分。</w:t>
            </w:r>
          </w:p>
        </w:tc>
        <w:tc>
          <w:tcPr>
            <w:tcW w:w="619"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3</w:t>
            </w:r>
          </w:p>
        </w:tc>
        <w:tc>
          <w:tcPr>
            <w:tcW w:w="720"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hint="eastAsia"/>
                <w:color w:val="000000"/>
                <w:kern w:val="0"/>
                <w:sz w:val="18"/>
                <w:szCs w:val="18"/>
                <w:lang w:val="en-US" w:eastAsia="zh-CN"/>
              </w:rPr>
            </w:pPr>
            <w:r>
              <w:rPr>
                <w:rFonts w:ascii="仿宋_GB2312" w:cs="宋体" w:eastAsia="仿宋_GB2312" w:hAnsi="宋体" w:hint="eastAsia"/>
                <w:color w:val="000000"/>
                <w:kern w:val="0"/>
                <w:sz w:val="18"/>
                <w:szCs w:val="18"/>
                <w:lang w:val="en-US" w:eastAsia="zh-CN"/>
              </w:rPr>
              <w:t>3</w:t>
            </w:r>
          </w:p>
        </w:tc>
        <w:tc>
          <w:tcPr>
            <w:tcW w:w="1080"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color w:val="000000"/>
                <w:kern w:val="0"/>
                <w:sz w:val="18"/>
                <w:szCs w:val="18"/>
              </w:rPr>
            </w:pPr>
          </w:p>
        </w:tc>
      </w:tr>
      <w:tr>
        <w:tblPrEx/>
        <w:trPr>
          <w:trHeight w:val="1039" w:hRule="atLeast"/>
          <w:jc w:val="center"/>
        </w:trPr>
        <w:tc>
          <w:tcPr>
            <w:tcW w:w="976" w:type="dxa"/>
            <w:vMerge w:val="continue"/>
            <w:tcBorders>
              <w:top w:val="nil"/>
              <w:left w:val="single" w:sz="4" w:space="0" w:color="auto"/>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kern w:val="0"/>
                <w:sz w:val="18"/>
                <w:szCs w:val="18"/>
              </w:rPr>
            </w:pPr>
          </w:p>
        </w:tc>
        <w:tc>
          <w:tcPr>
            <w:tcW w:w="939" w:type="dxa"/>
            <w:vMerge w:val="continue"/>
            <w:tcBorders>
              <w:top w:val="nil"/>
              <w:left w:val="single" w:sz="4" w:space="0" w:color="auto"/>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支付进度</w:t>
            </w:r>
          </w:p>
        </w:tc>
        <w:tc>
          <w:tcPr>
            <w:tcW w:w="4171" w:type="dxa"/>
            <w:tcBorders>
              <w:top w:val="nil"/>
              <w:left w:val="nil"/>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kern w:val="0"/>
                <w:sz w:val="18"/>
                <w:szCs w:val="18"/>
              </w:rPr>
            </w:pPr>
            <w:r>
              <w:rPr>
                <w:rFonts w:ascii="仿宋_GB2312" w:cs="宋体" w:eastAsia="仿宋_GB2312" w:hAnsi="宋体" w:hint="eastAsia"/>
                <w:kern w:val="0"/>
                <w:sz w:val="18"/>
                <w:szCs w:val="18"/>
              </w:rPr>
              <w:t>春节前下达全部专项资金的50%；6月底前所有专项资金指标全部下达完。</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每出现一个专项未按进度完成资金下达扣0.5分，扣完为止。</w:t>
            </w:r>
          </w:p>
        </w:tc>
        <w:tc>
          <w:tcPr>
            <w:tcW w:w="619"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3</w:t>
            </w:r>
          </w:p>
        </w:tc>
        <w:tc>
          <w:tcPr>
            <w:tcW w:w="720"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hint="eastAsia"/>
                <w:color w:val="000000"/>
                <w:kern w:val="0"/>
                <w:sz w:val="18"/>
                <w:szCs w:val="18"/>
                <w:lang w:val="en-US" w:eastAsia="zh-CN"/>
              </w:rPr>
            </w:pPr>
            <w:r>
              <w:rPr>
                <w:rFonts w:ascii="仿宋_GB2312" w:cs="宋体" w:eastAsia="仿宋_GB2312" w:hAnsi="宋体" w:hint="eastAsia"/>
                <w:color w:val="000000"/>
                <w:kern w:val="0"/>
                <w:sz w:val="18"/>
                <w:szCs w:val="18"/>
                <w:lang w:val="en-US" w:eastAsia="zh-CN"/>
              </w:rPr>
              <w:t>3</w:t>
            </w:r>
          </w:p>
        </w:tc>
        <w:tc>
          <w:tcPr>
            <w:tcW w:w="1080"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color w:val="000000"/>
                <w:kern w:val="0"/>
                <w:sz w:val="18"/>
                <w:szCs w:val="18"/>
              </w:rPr>
            </w:pPr>
          </w:p>
        </w:tc>
      </w:tr>
      <w:tr>
        <w:tblPrEx/>
        <w:trPr>
          <w:trHeight w:val="619" w:hRule="atLeast"/>
          <w:jc w:val="center"/>
        </w:trPr>
        <w:tc>
          <w:tcPr>
            <w:tcW w:w="976" w:type="dxa"/>
            <w:vMerge w:val="continue"/>
            <w:tcBorders>
              <w:top w:val="nil"/>
              <w:left w:val="single" w:sz="4" w:space="0" w:color="auto"/>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kern w:val="0"/>
                <w:sz w:val="18"/>
                <w:szCs w:val="18"/>
              </w:rPr>
            </w:pPr>
          </w:p>
        </w:tc>
        <w:tc>
          <w:tcPr>
            <w:tcW w:w="939" w:type="dxa"/>
            <w:vMerge w:val="continue"/>
            <w:tcBorders>
              <w:top w:val="nil"/>
              <w:left w:val="single" w:sz="4" w:space="0" w:color="auto"/>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资金结余</w:t>
            </w:r>
          </w:p>
        </w:tc>
        <w:tc>
          <w:tcPr>
            <w:tcW w:w="4171" w:type="dxa"/>
            <w:tcBorders>
              <w:top w:val="nil"/>
              <w:left w:val="nil"/>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kern w:val="0"/>
                <w:sz w:val="18"/>
                <w:szCs w:val="18"/>
              </w:rPr>
            </w:pPr>
            <w:r>
              <w:rPr>
                <w:rFonts w:ascii="仿宋_GB2312" w:cs="宋体" w:eastAsia="仿宋_GB2312" w:hAnsi="宋体" w:hint="eastAsia"/>
                <w:kern w:val="0"/>
                <w:sz w:val="18"/>
                <w:szCs w:val="18"/>
              </w:rPr>
              <w:t>无结余，3分；有结余，但不超过上年结转，2分；结余超过上年结转，不得分。</w:t>
            </w:r>
          </w:p>
        </w:tc>
        <w:tc>
          <w:tcPr>
            <w:tcW w:w="619"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3</w:t>
            </w:r>
          </w:p>
        </w:tc>
        <w:tc>
          <w:tcPr>
            <w:tcW w:w="720"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hint="eastAsia"/>
                <w:color w:val="000000"/>
                <w:kern w:val="0"/>
                <w:sz w:val="18"/>
                <w:szCs w:val="18"/>
                <w:lang w:val="en-US" w:eastAsia="zh-CN"/>
              </w:rPr>
            </w:pPr>
            <w:r>
              <w:rPr>
                <w:rFonts w:ascii="仿宋_GB2312" w:cs="宋体" w:eastAsia="仿宋_GB2312" w:hAnsi="宋体" w:hint="eastAsia"/>
                <w:color w:val="000000"/>
                <w:kern w:val="0"/>
                <w:sz w:val="18"/>
                <w:szCs w:val="18"/>
                <w:lang w:val="en-US" w:eastAsia="zh-CN"/>
              </w:rPr>
              <w:t>3</w:t>
            </w:r>
          </w:p>
        </w:tc>
        <w:tc>
          <w:tcPr>
            <w:tcW w:w="1080"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color w:val="000000"/>
                <w:kern w:val="0"/>
                <w:sz w:val="18"/>
                <w:szCs w:val="18"/>
              </w:rPr>
            </w:pPr>
          </w:p>
        </w:tc>
      </w:tr>
      <w:tr>
        <w:tblPrEx/>
        <w:trPr>
          <w:trHeight w:val="495" w:hRule="atLeast"/>
          <w:jc w:val="center"/>
        </w:trPr>
        <w:tc>
          <w:tcPr>
            <w:tcW w:w="976" w:type="dxa"/>
            <w:vMerge w:val="continue"/>
            <w:tcBorders>
              <w:top w:val="nil"/>
              <w:left w:val="single" w:sz="4" w:space="0" w:color="auto"/>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kern w:val="0"/>
                <w:sz w:val="18"/>
                <w:szCs w:val="18"/>
              </w:rPr>
            </w:pPr>
          </w:p>
        </w:tc>
        <w:tc>
          <w:tcPr>
            <w:tcW w:w="939" w:type="dxa"/>
            <w:vMerge w:val="continue"/>
            <w:tcBorders>
              <w:top w:val="nil"/>
              <w:left w:val="single" w:sz="4" w:space="0" w:color="auto"/>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“三公经费”</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控制率</w:t>
            </w:r>
          </w:p>
        </w:tc>
        <w:tc>
          <w:tcPr>
            <w:tcW w:w="4171" w:type="dxa"/>
            <w:tcBorders>
              <w:top w:val="nil"/>
              <w:left w:val="nil"/>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kern w:val="0"/>
                <w:sz w:val="18"/>
                <w:szCs w:val="18"/>
              </w:rPr>
            </w:pPr>
            <w:r>
              <w:rPr>
                <w:rFonts w:ascii="仿宋_GB2312" w:cs="宋体" w:eastAsia="仿宋_GB2312" w:hAnsi="宋体" w:hint="eastAsia"/>
                <w:kern w:val="0"/>
                <w:sz w:val="18"/>
                <w:szCs w:val="18"/>
              </w:rPr>
              <w:t>以100%为标准。三公经费控制率</w:t>
            </w:r>
            <w:r>
              <w:rPr>
                <w:rFonts w:ascii="宋体" w:cs="宋体" w:hAnsi="宋体" w:hint="eastAsia"/>
                <w:kern w:val="0"/>
                <w:sz w:val="18"/>
                <w:szCs w:val="18"/>
              </w:rPr>
              <w:t>≦</w:t>
            </w:r>
            <w:r>
              <w:rPr>
                <w:rFonts w:ascii="仿宋_GB2312" w:cs="宋体" w:eastAsia="仿宋_GB2312" w:hAnsi="宋体" w:hint="eastAsia"/>
                <w:kern w:val="0"/>
                <w:sz w:val="18"/>
                <w:szCs w:val="18"/>
              </w:rPr>
              <w:t>100%，计6分；</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每超过一个百分点扣1分，扣完为止。</w:t>
            </w:r>
          </w:p>
        </w:tc>
        <w:tc>
          <w:tcPr>
            <w:tcW w:w="619"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6</w:t>
            </w:r>
          </w:p>
        </w:tc>
        <w:tc>
          <w:tcPr>
            <w:tcW w:w="720"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hint="eastAsia"/>
                <w:color w:val="000000"/>
                <w:kern w:val="0"/>
                <w:sz w:val="18"/>
                <w:szCs w:val="18"/>
                <w:lang w:val="en-US" w:eastAsia="zh-CN"/>
              </w:rPr>
            </w:pPr>
            <w:r>
              <w:rPr>
                <w:rFonts w:ascii="仿宋_GB2312" w:cs="宋体" w:eastAsia="仿宋_GB2312" w:hAnsi="宋体" w:hint="eastAsia"/>
                <w:color w:val="000000"/>
                <w:kern w:val="0"/>
                <w:sz w:val="18"/>
                <w:szCs w:val="18"/>
                <w:lang w:val="en-US" w:eastAsia="zh-CN"/>
              </w:rPr>
              <w:t>6</w:t>
            </w:r>
          </w:p>
        </w:tc>
        <w:tc>
          <w:tcPr>
            <w:tcW w:w="1080"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color w:val="000000"/>
                <w:kern w:val="0"/>
                <w:sz w:val="18"/>
                <w:szCs w:val="18"/>
              </w:rPr>
            </w:pPr>
          </w:p>
        </w:tc>
      </w:tr>
      <w:tr>
        <w:tblPrEx/>
        <w:trPr>
          <w:trHeight w:val="915" w:hRule="atLeast"/>
          <w:jc w:val="center"/>
        </w:trPr>
        <w:tc>
          <w:tcPr>
            <w:tcW w:w="976" w:type="dxa"/>
            <w:vMerge w:val="continue"/>
            <w:tcBorders>
              <w:top w:val="nil"/>
              <w:left w:val="single" w:sz="4" w:space="0" w:color="auto"/>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kern w:val="0"/>
                <w:sz w:val="18"/>
                <w:szCs w:val="18"/>
              </w:rPr>
            </w:pPr>
          </w:p>
        </w:tc>
        <w:tc>
          <w:tcPr>
            <w:tcW w:w="939" w:type="dxa"/>
            <w:vMerge w:val="restart"/>
            <w:tcBorders>
              <w:top w:val="nil"/>
              <w:left w:val="single" w:sz="4" w:space="0" w:color="auto"/>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预算管理</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（15分）</w:t>
            </w:r>
          </w:p>
        </w:tc>
        <w:tc>
          <w:tcPr>
            <w:tcW w:w="1389"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管理制度</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健全性</w:t>
            </w:r>
          </w:p>
        </w:tc>
        <w:tc>
          <w:tcPr>
            <w:tcW w:w="4171" w:type="dxa"/>
            <w:tcBorders>
              <w:top w:val="nil"/>
              <w:left w:val="nil"/>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kern w:val="0"/>
                <w:sz w:val="18"/>
                <w:szCs w:val="18"/>
              </w:rPr>
            </w:pPr>
            <w:r>
              <w:rPr>
                <w:rFonts w:ascii="仿宋_GB2312" w:cs="宋体" w:eastAsia="仿宋_GB2312" w:hAnsi="宋体" w:hint="eastAsia"/>
                <w:kern w:val="0"/>
                <w:sz w:val="18"/>
                <w:szCs w:val="18"/>
              </w:rPr>
              <w:t>①已制定或具有预算资金管理办法，内部财务管理制度、会计核算制度等管理制度，1分；</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②相关管理制度合法、合规、完整，1分；</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③相关管理制度得到有效执行，1分。</w:t>
            </w:r>
          </w:p>
        </w:tc>
        <w:tc>
          <w:tcPr>
            <w:tcW w:w="619"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3</w:t>
            </w:r>
          </w:p>
        </w:tc>
        <w:tc>
          <w:tcPr>
            <w:tcW w:w="720"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hint="eastAsia"/>
                <w:color w:val="000000"/>
                <w:kern w:val="0"/>
                <w:sz w:val="18"/>
                <w:szCs w:val="18"/>
                <w:lang w:val="en-US" w:eastAsia="zh-CN"/>
              </w:rPr>
            </w:pPr>
            <w:r>
              <w:rPr>
                <w:rFonts w:ascii="仿宋_GB2312" w:cs="宋体" w:eastAsia="仿宋_GB2312" w:hAnsi="宋体" w:hint="eastAsia"/>
                <w:color w:val="000000"/>
                <w:kern w:val="0"/>
                <w:sz w:val="18"/>
                <w:szCs w:val="18"/>
                <w:lang w:val="en-US" w:eastAsia="zh-CN"/>
              </w:rPr>
              <w:t>3</w:t>
            </w:r>
          </w:p>
        </w:tc>
        <w:tc>
          <w:tcPr>
            <w:tcW w:w="1080"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color w:val="000000"/>
                <w:kern w:val="0"/>
                <w:sz w:val="18"/>
                <w:szCs w:val="18"/>
              </w:rPr>
            </w:pPr>
          </w:p>
        </w:tc>
      </w:tr>
      <w:tr>
        <w:tblPrEx/>
        <w:trPr>
          <w:trHeight w:val="1802" w:hRule="atLeast"/>
          <w:jc w:val="center"/>
        </w:trPr>
        <w:tc>
          <w:tcPr>
            <w:tcW w:w="976" w:type="dxa"/>
            <w:vMerge w:val="continue"/>
            <w:tcBorders>
              <w:top w:val="nil"/>
              <w:left w:val="single" w:sz="4" w:space="0" w:color="auto"/>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kern w:val="0"/>
                <w:sz w:val="18"/>
                <w:szCs w:val="18"/>
              </w:rPr>
            </w:pPr>
          </w:p>
        </w:tc>
        <w:tc>
          <w:tcPr>
            <w:tcW w:w="939" w:type="dxa"/>
            <w:vMerge w:val="continue"/>
            <w:tcBorders>
              <w:top w:val="nil"/>
              <w:left w:val="single" w:sz="4" w:space="0" w:color="auto"/>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资金使用</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合规性</w:t>
            </w:r>
          </w:p>
        </w:tc>
        <w:tc>
          <w:tcPr>
            <w:tcW w:w="4171" w:type="dxa"/>
            <w:tcBorders>
              <w:top w:val="nil"/>
              <w:left w:val="nil"/>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kern w:val="0"/>
                <w:sz w:val="18"/>
                <w:szCs w:val="18"/>
              </w:rPr>
            </w:pPr>
            <w:r>
              <w:rPr>
                <w:rFonts w:ascii="仿宋_GB2312" w:cs="宋体" w:eastAsia="仿宋_GB2312" w:hAnsi="宋体" w:hint="eastAsia"/>
                <w:kern w:val="0"/>
                <w:sz w:val="18"/>
                <w:szCs w:val="18"/>
              </w:rPr>
              <w:t>①支出符合国家财经法规和财务管理制度规定以及有关专项资金管理办法的规定；</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②资金拨付有完整的审批程序和手续；</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③项目支出按规定经过评估论证；</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④支出符合部门预算批复的用途；</w:t>
            </w:r>
            <w:r>
              <w:rPr>
                <w:rFonts w:ascii="仿宋_GB2312" w:cs="宋体" w:eastAsia="仿宋_GB2312" w:hAnsi="宋体" w:hint="eastAsia"/>
                <w:kern w:val="0"/>
                <w:sz w:val="18"/>
                <w:szCs w:val="18"/>
              </w:rPr>
              <w:br/>
            </w:r>
            <w:r>
              <w:rPr>
                <w:rFonts w:ascii="仿宋_GB2312" w:cs="宋体" w:eastAsia="仿宋_GB2312" w:hAnsi="宋体" w:hint="eastAsia"/>
                <w:spacing w:val="-6"/>
                <w:kern w:val="0"/>
                <w:sz w:val="18"/>
                <w:szCs w:val="18"/>
              </w:rPr>
              <w:t>⑤资金使用无截留、挤占、挪用、虚列支出等情况。</w:t>
            </w:r>
            <w:r>
              <w:rPr>
                <w:rFonts w:ascii="仿宋_GB2312" w:cs="宋体" w:eastAsia="仿宋_GB2312" w:hAnsi="宋体" w:hint="eastAsia"/>
                <w:spacing w:val="-6"/>
                <w:kern w:val="0"/>
                <w:sz w:val="18"/>
                <w:szCs w:val="18"/>
              </w:rPr>
              <w:br/>
            </w:r>
            <w:r>
              <w:rPr>
                <w:rFonts w:ascii="仿宋_GB2312" w:cs="宋体" w:eastAsia="仿宋_GB2312" w:hAnsi="宋体" w:hint="eastAsia"/>
                <w:spacing w:val="-6"/>
                <w:kern w:val="0"/>
                <w:sz w:val="18"/>
                <w:szCs w:val="18"/>
              </w:rPr>
              <w:t>以上情况每出现一例不符合要求的扣1分，扣完为止。</w:t>
            </w:r>
          </w:p>
        </w:tc>
        <w:tc>
          <w:tcPr>
            <w:tcW w:w="619"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3</w:t>
            </w:r>
          </w:p>
        </w:tc>
        <w:tc>
          <w:tcPr>
            <w:tcW w:w="720"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hint="eastAsia"/>
                <w:color w:val="000000"/>
                <w:kern w:val="0"/>
                <w:sz w:val="18"/>
                <w:szCs w:val="18"/>
                <w:lang w:val="en-US" w:eastAsia="zh-CN"/>
              </w:rPr>
            </w:pPr>
            <w:r>
              <w:rPr>
                <w:rFonts w:ascii="仿宋_GB2312" w:cs="宋体" w:eastAsia="仿宋_GB2312" w:hAnsi="宋体" w:hint="eastAsia"/>
                <w:color w:val="000000"/>
                <w:kern w:val="0"/>
                <w:sz w:val="18"/>
                <w:szCs w:val="18"/>
                <w:lang w:val="en-US" w:eastAsia="zh-CN"/>
              </w:rPr>
              <w:t>3</w:t>
            </w:r>
          </w:p>
        </w:tc>
        <w:tc>
          <w:tcPr>
            <w:tcW w:w="1080"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color w:val="000000"/>
                <w:kern w:val="0"/>
                <w:sz w:val="18"/>
                <w:szCs w:val="18"/>
              </w:rPr>
            </w:pPr>
          </w:p>
        </w:tc>
      </w:tr>
      <w:tr>
        <w:tblPrEx/>
        <w:trPr>
          <w:trHeight w:val="450" w:hRule="atLeast"/>
          <w:jc w:val="center"/>
        </w:trPr>
        <w:tc>
          <w:tcPr>
            <w:tcW w:w="976"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939"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预决算信息公开性和完善性</w:t>
            </w:r>
          </w:p>
        </w:tc>
        <w:tc>
          <w:tcPr>
            <w:tcW w:w="4171"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r>
              <w:rPr>
                <w:rFonts w:ascii="仿宋_GB2312" w:cs="宋体" w:eastAsia="仿宋_GB2312" w:hAnsi="宋体" w:hint="eastAsia"/>
                <w:kern w:val="0"/>
                <w:sz w:val="18"/>
                <w:szCs w:val="18"/>
              </w:rPr>
              <w:t>①按规定内容公开预决算信息，1分；</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②按规定时限公开预决算信息，0.5分；</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③基础数据信息和会计信息资料真实，0.5分；</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④基础数据信息和会计信息资料完整，0.5分；</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 xml:space="preserve">⑤基础数据信息和汇集信息资料准确，0.5分。                                            </w:t>
            </w:r>
          </w:p>
        </w:tc>
        <w:tc>
          <w:tcPr>
            <w:tcW w:w="619"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hint="eastAsia"/>
                <w:kern w:val="0"/>
                <w:sz w:val="18"/>
                <w:szCs w:val="18"/>
                <w:lang w:val="en-US" w:eastAsia="zh-CN"/>
              </w:rPr>
            </w:pPr>
            <w:r>
              <w:rPr>
                <w:rFonts w:ascii="仿宋_GB2312" w:cs="宋体" w:eastAsia="仿宋_GB2312" w:hAnsi="宋体" w:hint="eastAsia"/>
                <w:kern w:val="0"/>
                <w:sz w:val="18"/>
                <w:szCs w:val="18"/>
                <w:lang w:val="en-US" w:eastAsia="zh-CN"/>
              </w:rPr>
              <w:t>3</w:t>
            </w:r>
          </w:p>
        </w:tc>
        <w:tc>
          <w:tcPr>
            <w:tcW w:w="108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kern w:val="0"/>
                <w:sz w:val="18"/>
                <w:szCs w:val="18"/>
              </w:rPr>
            </w:pPr>
          </w:p>
        </w:tc>
      </w:tr>
      <w:tr>
        <w:tblPrEx/>
        <w:trPr>
          <w:trHeight w:val="570" w:hRule="atLeast"/>
          <w:jc w:val="center"/>
        </w:trPr>
        <w:tc>
          <w:tcPr>
            <w:tcW w:w="976"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　</w:t>
            </w:r>
          </w:p>
        </w:tc>
        <w:tc>
          <w:tcPr>
            <w:tcW w:w="1389"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政府采购</w:t>
            </w:r>
          </w:p>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执行率</w:t>
            </w:r>
          </w:p>
        </w:tc>
        <w:tc>
          <w:tcPr>
            <w:tcW w:w="4171"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r>
              <w:rPr>
                <w:rFonts w:ascii="仿宋_GB2312" w:cs="宋体" w:eastAsia="仿宋_GB2312" w:hAnsi="宋体" w:hint="eastAsia"/>
                <w:kern w:val="0"/>
                <w:sz w:val="18"/>
                <w:szCs w:val="18"/>
              </w:rPr>
              <w:t>政府采购执行率等于100%的，得3分；</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每减少一个百分点，扣0.2分，扣完为止。</w:t>
            </w:r>
          </w:p>
        </w:tc>
        <w:tc>
          <w:tcPr>
            <w:tcW w:w="619"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hint="eastAsia"/>
                <w:kern w:val="0"/>
                <w:sz w:val="18"/>
                <w:szCs w:val="18"/>
                <w:lang w:val="en-US" w:eastAsia="zh-CN"/>
              </w:rPr>
            </w:pPr>
            <w:r>
              <w:rPr>
                <w:rFonts w:ascii="仿宋_GB2312" w:cs="宋体" w:eastAsia="仿宋_GB2312" w:hAnsi="宋体" w:hint="eastAsia"/>
                <w:kern w:val="0"/>
                <w:sz w:val="18"/>
                <w:szCs w:val="18"/>
                <w:lang w:val="en-US" w:eastAsia="zh-CN"/>
              </w:rPr>
              <w:t>3</w:t>
            </w:r>
          </w:p>
        </w:tc>
        <w:tc>
          <w:tcPr>
            <w:tcW w:w="108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kern w:val="0"/>
                <w:sz w:val="18"/>
                <w:szCs w:val="18"/>
              </w:rPr>
            </w:pPr>
          </w:p>
        </w:tc>
      </w:tr>
      <w:tr>
        <w:tblPrEx/>
        <w:trPr>
          <w:trHeight w:val="630" w:hRule="atLeast"/>
          <w:jc w:val="center"/>
        </w:trPr>
        <w:tc>
          <w:tcPr>
            <w:tcW w:w="976"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939"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公务卡刷卡率</w:t>
            </w:r>
          </w:p>
        </w:tc>
        <w:tc>
          <w:tcPr>
            <w:tcW w:w="4171"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r>
              <w:rPr>
                <w:rFonts w:ascii="仿宋_GB2312" w:cs="宋体" w:eastAsia="仿宋_GB2312" w:hAnsi="宋体" w:hint="eastAsia"/>
                <w:kern w:val="0"/>
                <w:sz w:val="18"/>
                <w:szCs w:val="18"/>
              </w:rPr>
              <w:t>公务卡刷卡率达50％以上的，得3分。</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 xml:space="preserve">每减少一个百分点，扣0.2分，扣完为止。                                            </w:t>
            </w:r>
          </w:p>
        </w:tc>
        <w:tc>
          <w:tcPr>
            <w:tcW w:w="619"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hint="eastAsia"/>
                <w:kern w:val="0"/>
                <w:sz w:val="18"/>
                <w:szCs w:val="18"/>
                <w:lang w:val="en-US" w:eastAsia="zh-CN"/>
              </w:rPr>
            </w:pPr>
            <w:r>
              <w:rPr>
                <w:rFonts w:ascii="仿宋_GB2312" w:cs="宋体" w:eastAsia="仿宋_GB2312" w:hAnsi="宋体" w:hint="eastAsia"/>
                <w:kern w:val="0"/>
                <w:sz w:val="18"/>
                <w:szCs w:val="18"/>
                <w:lang w:val="en-US" w:eastAsia="zh-CN"/>
              </w:rPr>
              <w:t>3</w:t>
            </w:r>
          </w:p>
        </w:tc>
        <w:tc>
          <w:tcPr>
            <w:tcW w:w="108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kern w:val="0"/>
                <w:sz w:val="18"/>
                <w:szCs w:val="18"/>
              </w:rPr>
            </w:pPr>
          </w:p>
        </w:tc>
      </w:tr>
      <w:tr>
        <w:tblPrEx/>
        <w:trPr>
          <w:trHeight w:val="735" w:hRule="atLeast"/>
          <w:jc w:val="center"/>
        </w:trPr>
        <w:tc>
          <w:tcPr>
            <w:tcW w:w="976"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939" w:type="dxa"/>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资产管理</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（10分）</w:t>
            </w:r>
          </w:p>
        </w:tc>
        <w:tc>
          <w:tcPr>
            <w:tcW w:w="1389"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管理制度</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健全性</w:t>
            </w:r>
          </w:p>
        </w:tc>
        <w:tc>
          <w:tcPr>
            <w:tcW w:w="4171"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r>
              <w:rPr>
                <w:rFonts w:ascii="仿宋_GB2312" w:cs="宋体" w:eastAsia="仿宋_GB2312" w:hAnsi="宋体" w:hint="eastAsia"/>
                <w:kern w:val="0"/>
                <w:sz w:val="18"/>
                <w:szCs w:val="18"/>
              </w:rPr>
              <w:t>①已制定或具有资产管理制度，且相关资产管理制度合法、合规、完整，2分；</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 xml:space="preserve">②相关资产管理制度得到有效执行，1分。                                           </w:t>
            </w:r>
          </w:p>
        </w:tc>
        <w:tc>
          <w:tcPr>
            <w:tcW w:w="619"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hint="eastAsia"/>
                <w:kern w:val="0"/>
                <w:sz w:val="18"/>
                <w:szCs w:val="18"/>
                <w:lang w:val="en-US" w:eastAsia="zh-CN"/>
              </w:rPr>
            </w:pPr>
            <w:r>
              <w:rPr>
                <w:rFonts w:ascii="仿宋_GB2312" w:cs="宋体" w:eastAsia="仿宋_GB2312" w:hAnsi="宋体" w:hint="eastAsia"/>
                <w:kern w:val="0"/>
                <w:sz w:val="18"/>
                <w:szCs w:val="18"/>
                <w:lang w:val="en-US" w:eastAsia="zh-CN"/>
              </w:rPr>
              <w:t>3</w:t>
            </w:r>
          </w:p>
        </w:tc>
        <w:tc>
          <w:tcPr>
            <w:tcW w:w="108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kern w:val="0"/>
                <w:sz w:val="18"/>
                <w:szCs w:val="18"/>
              </w:rPr>
            </w:pPr>
          </w:p>
        </w:tc>
      </w:tr>
    </w:tbl>
    <w:p>
      <w:pPr>
        <w:pStyle w:val="style0"/>
        <w:rPr/>
      </w:pPr>
    </w:p>
    <w:tbl>
      <w:tblPr>
        <w:tblStyle w:val="style105"/>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108" w:type="dxa"/>
          <w:bottom w:w="0" w:type="dxa"/>
          <w:right w:w="108" w:type="dxa"/>
        </w:tblCellMar>
      </w:tblPr>
      <w:tblGrid>
        <w:gridCol w:w="976"/>
        <w:gridCol w:w="939"/>
        <w:gridCol w:w="1389"/>
        <w:gridCol w:w="4171"/>
        <w:gridCol w:w="619"/>
        <w:gridCol w:w="720"/>
        <w:gridCol w:w="1080"/>
      </w:tblGrid>
      <w:tr>
        <w:trPr>
          <w:trHeight w:val="609" w:hRule="atLeast"/>
          <w:jc w:val="center"/>
        </w:trPr>
        <w:tc>
          <w:tcPr>
            <w:tcW w:w="976" w:type="dxa"/>
            <w:tcBorders>
              <w:top w:val="single" w:sz="4" w:space="0" w:color="auto"/>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b/>
                <w:bCs/>
                <w:kern w:val="0"/>
                <w:sz w:val="18"/>
                <w:szCs w:val="18"/>
              </w:rPr>
            </w:pPr>
            <w:r>
              <w:rPr>
                <w:rFonts w:ascii="仿宋_GB2312" w:cs="宋体" w:eastAsia="仿宋_GB2312" w:hAnsi="宋体" w:hint="eastAsia"/>
                <w:b/>
                <w:bCs/>
                <w:kern w:val="0"/>
                <w:sz w:val="18"/>
                <w:szCs w:val="18"/>
              </w:rPr>
              <w:t>一级指标</w:t>
            </w:r>
          </w:p>
        </w:tc>
        <w:tc>
          <w:tcPr>
            <w:tcW w:w="939" w:type="dxa"/>
            <w:tcBorders>
              <w:top w:val="single" w:sz="4" w:space="0" w:color="auto"/>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b/>
                <w:bCs/>
                <w:kern w:val="0"/>
                <w:sz w:val="18"/>
                <w:szCs w:val="18"/>
              </w:rPr>
            </w:pPr>
            <w:r>
              <w:rPr>
                <w:rFonts w:ascii="仿宋_GB2312" w:cs="宋体" w:eastAsia="仿宋_GB2312" w:hAnsi="宋体"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b/>
                <w:bCs/>
                <w:kern w:val="0"/>
                <w:sz w:val="18"/>
                <w:szCs w:val="18"/>
              </w:rPr>
            </w:pPr>
            <w:r>
              <w:rPr>
                <w:rFonts w:ascii="仿宋_GB2312" w:cs="宋体" w:eastAsia="仿宋_GB2312" w:hAnsi="宋体"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b/>
                <w:bCs/>
                <w:kern w:val="0"/>
                <w:sz w:val="18"/>
                <w:szCs w:val="18"/>
              </w:rPr>
            </w:pPr>
            <w:r>
              <w:rPr>
                <w:rFonts w:ascii="仿宋_GB2312" w:cs="宋体" w:eastAsia="仿宋_GB2312" w:hAnsi="宋体"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b/>
                <w:bCs/>
                <w:kern w:val="0"/>
                <w:sz w:val="18"/>
                <w:szCs w:val="18"/>
              </w:rPr>
            </w:pPr>
            <w:r>
              <w:rPr>
                <w:rFonts w:ascii="仿宋_GB2312" w:cs="宋体" w:eastAsia="仿宋_GB2312" w:hAnsi="宋体"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b/>
                <w:bCs/>
                <w:kern w:val="0"/>
                <w:sz w:val="18"/>
                <w:szCs w:val="18"/>
              </w:rPr>
            </w:pPr>
            <w:r>
              <w:rPr>
                <w:rFonts w:ascii="仿宋_GB2312" w:cs="宋体" w:eastAsia="仿宋_GB2312" w:hAnsi="宋体"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b/>
                <w:bCs/>
                <w:spacing w:val="-12"/>
                <w:kern w:val="0"/>
                <w:sz w:val="18"/>
                <w:szCs w:val="18"/>
              </w:rPr>
            </w:pPr>
            <w:r>
              <w:rPr>
                <w:rFonts w:ascii="仿宋_GB2312" w:cs="宋体" w:eastAsia="仿宋_GB2312" w:hAnsi="宋体" w:hint="eastAsia"/>
                <w:b/>
                <w:bCs/>
                <w:spacing w:val="-12"/>
                <w:kern w:val="0"/>
                <w:sz w:val="18"/>
                <w:szCs w:val="18"/>
              </w:rPr>
              <w:t>扣分原因和其他说明</w:t>
            </w:r>
          </w:p>
        </w:tc>
      </w:tr>
      <w:tr>
        <w:tblPrEx/>
        <w:trPr>
          <w:trHeight w:val="2011" w:hRule="atLeast"/>
          <w:jc w:val="center"/>
        </w:trPr>
        <w:tc>
          <w:tcPr>
            <w:tcW w:w="9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过  程</w:t>
            </w:r>
          </w:p>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（40分）</w:t>
            </w:r>
          </w:p>
        </w:tc>
        <w:tc>
          <w:tcPr>
            <w:tcW w:w="93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r>
              <w:rPr>
                <w:rFonts w:ascii="仿宋_GB2312" w:cs="宋体" w:eastAsia="仿宋_GB2312" w:hAnsi="宋体" w:hint="eastAsia"/>
                <w:kern w:val="0"/>
                <w:sz w:val="18"/>
                <w:szCs w:val="18"/>
              </w:rPr>
              <w:t>资产管理</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（10分）</w:t>
            </w:r>
          </w:p>
        </w:tc>
        <w:tc>
          <w:tcPr>
            <w:tcW w:w="1389" w:type="dxa"/>
            <w:tcBorders>
              <w:top w:val="single" w:sz="4" w:space="0" w:color="auto"/>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资产管理</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安全性</w:t>
            </w:r>
          </w:p>
        </w:tc>
        <w:tc>
          <w:tcPr>
            <w:tcW w:w="4171" w:type="dxa"/>
            <w:tcBorders>
              <w:top w:val="single" w:sz="4" w:space="0" w:color="auto"/>
              <w:left w:val="nil"/>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r>
              <w:rPr>
                <w:rFonts w:ascii="仿宋_GB2312" w:cs="宋体" w:eastAsia="仿宋_GB2312" w:hAnsi="宋体" w:hint="eastAsia"/>
                <w:kern w:val="0"/>
                <w:sz w:val="18"/>
                <w:szCs w:val="18"/>
              </w:rPr>
              <w:t>①资产保存完整；</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②资产配置合理；</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 xml:space="preserve">③资产处置规范； </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④资产账务管理合规，帐实相符；</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⑤资产有偿使用及处置收入及时足额上缴；</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以上情况每出现一例不符合有关要求的扣1分，扣完为止。</w:t>
            </w:r>
          </w:p>
        </w:tc>
        <w:tc>
          <w:tcPr>
            <w:tcW w:w="619" w:type="dxa"/>
            <w:tcBorders>
              <w:top w:val="single" w:sz="4" w:space="0" w:color="auto"/>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4</w:t>
            </w:r>
          </w:p>
        </w:tc>
        <w:tc>
          <w:tcPr>
            <w:tcW w:w="720" w:type="dxa"/>
            <w:tcBorders>
              <w:top w:val="single" w:sz="4" w:space="0" w:color="auto"/>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hint="eastAsia"/>
                <w:kern w:val="0"/>
                <w:sz w:val="18"/>
                <w:szCs w:val="18"/>
                <w:lang w:val="en-US" w:eastAsia="zh-CN"/>
              </w:rPr>
            </w:pPr>
            <w:r>
              <w:rPr>
                <w:rFonts w:ascii="仿宋_GB2312" w:cs="宋体" w:eastAsia="仿宋_GB2312" w:hAnsi="宋体" w:hint="eastAsia"/>
                <w:kern w:val="0"/>
                <w:sz w:val="18"/>
                <w:szCs w:val="18"/>
                <w:lang w:val="en-US" w:eastAsia="zh-CN"/>
              </w:rPr>
              <w:t>2</w:t>
            </w:r>
          </w:p>
        </w:tc>
        <w:tc>
          <w:tcPr>
            <w:tcW w:w="1080" w:type="dxa"/>
            <w:tcBorders>
              <w:top w:val="single" w:sz="4" w:space="0" w:color="auto"/>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hint="eastAsia"/>
                <w:kern w:val="0"/>
                <w:sz w:val="18"/>
                <w:szCs w:val="18"/>
                <w:lang w:eastAsia="zh-CN"/>
              </w:rPr>
            </w:pPr>
            <w:r>
              <w:rPr>
                <w:rFonts w:ascii="仿宋_GB2312" w:cs="宋体" w:eastAsia="仿宋_GB2312" w:hAnsi="宋体" w:hint="eastAsia"/>
                <w:kern w:val="0"/>
                <w:sz w:val="18"/>
                <w:szCs w:val="18"/>
                <w:lang w:eastAsia="zh-CN"/>
              </w:rPr>
              <w:t>需进一步加强资产管理，提高资产使用效率。</w:t>
            </w:r>
          </w:p>
        </w:tc>
      </w:tr>
      <w:tr>
        <w:tblPrEx/>
        <w:trPr>
          <w:trHeight w:val="774" w:hRule="atLeast"/>
          <w:jc w:val="center"/>
        </w:trPr>
        <w:tc>
          <w:tcPr>
            <w:tcW w:w="976"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939"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固定资产</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利用率</w:t>
            </w:r>
          </w:p>
        </w:tc>
        <w:tc>
          <w:tcPr>
            <w:tcW w:w="4171"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r>
              <w:rPr>
                <w:rFonts w:ascii="仿宋_GB2312" w:cs="宋体" w:eastAsia="仿宋_GB2312" w:hAnsi="宋体" w:hint="eastAsia"/>
                <w:kern w:val="0"/>
                <w:sz w:val="18"/>
                <w:szCs w:val="18"/>
              </w:rPr>
              <w:t>每低于100%一个百分点扣0.1分，扣完为止。</w:t>
            </w:r>
          </w:p>
        </w:tc>
        <w:tc>
          <w:tcPr>
            <w:tcW w:w="619"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hint="eastAsia"/>
                <w:kern w:val="0"/>
                <w:sz w:val="18"/>
                <w:szCs w:val="18"/>
                <w:lang w:val="en-US" w:eastAsia="zh-CN"/>
              </w:rPr>
            </w:pPr>
            <w:r>
              <w:rPr>
                <w:rFonts w:ascii="仿宋_GB2312" w:cs="宋体" w:eastAsia="仿宋_GB2312" w:hAnsi="宋体" w:hint="eastAsia"/>
                <w:kern w:val="0"/>
                <w:sz w:val="18"/>
                <w:szCs w:val="18"/>
                <w:lang w:val="en-US" w:eastAsia="zh-CN"/>
              </w:rPr>
              <w:t>3</w:t>
            </w:r>
          </w:p>
        </w:tc>
        <w:tc>
          <w:tcPr>
            <w:tcW w:w="108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kern w:val="0"/>
                <w:sz w:val="18"/>
                <w:szCs w:val="18"/>
              </w:rPr>
            </w:pPr>
          </w:p>
        </w:tc>
      </w:tr>
      <w:tr>
        <w:tblPrEx/>
        <w:trPr>
          <w:trHeight w:val="900" w:hRule="atLeast"/>
          <w:jc w:val="center"/>
        </w:trPr>
        <w:tc>
          <w:tcPr>
            <w:tcW w:w="976" w:type="dxa"/>
            <w:vMerge w:val="restart"/>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产  出（25分）</w:t>
            </w: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职责履行</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（25分）</w:t>
            </w:r>
          </w:p>
        </w:tc>
        <w:tc>
          <w:tcPr>
            <w:tcW w:w="1389"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推进全面小康建设指标任务完成情况</w:t>
            </w:r>
          </w:p>
        </w:tc>
        <w:tc>
          <w:tcPr>
            <w:tcW w:w="4171" w:type="dxa"/>
            <w:vMerge w:val="restart"/>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r>
              <w:rPr>
                <w:rFonts w:ascii="仿宋_GB2312" w:cs="宋体" w:eastAsia="仿宋_GB2312" w:hAnsi="宋体" w:hint="eastAsia"/>
                <w:kern w:val="0"/>
                <w:sz w:val="18"/>
                <w:szCs w:val="18"/>
              </w:rPr>
              <w:t>此项指标根据《中共岳阳市委 岳阳市人民政府 关于做好岳阳市加快推进湖南发展新增长极建设2015年度综合绩效考评工作的通知》（岳发〔2015〕11号）和《中共岳阳市委 岳阳市人民政府 关于做好2015年度综合绩效考评工作的补充通知》（岳发〔2015〕19号）附件2第一大项“工作实绩指标”（700分）考核内容设置。</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部门单位应根据部门实际进行调整，并将其细化成相应的个性化指标。</w:t>
            </w:r>
          </w:p>
        </w:tc>
        <w:tc>
          <w:tcPr>
            <w:tcW w:w="619"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hint="eastAsia"/>
                <w:kern w:val="0"/>
                <w:sz w:val="18"/>
                <w:szCs w:val="18"/>
                <w:lang w:val="en-US" w:eastAsia="zh-CN"/>
              </w:rPr>
            </w:pPr>
            <w:r>
              <w:rPr>
                <w:rFonts w:ascii="仿宋_GB2312" w:cs="宋体" w:eastAsia="仿宋_GB2312" w:hAnsi="宋体" w:hint="eastAsia"/>
                <w:kern w:val="0"/>
                <w:sz w:val="18"/>
                <w:szCs w:val="18"/>
                <w:lang w:val="en-US" w:eastAsia="zh-CN"/>
              </w:rPr>
              <w:t>5</w:t>
            </w:r>
          </w:p>
        </w:tc>
        <w:tc>
          <w:tcPr>
            <w:tcW w:w="108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kern w:val="0"/>
                <w:sz w:val="18"/>
                <w:szCs w:val="18"/>
              </w:rPr>
            </w:pPr>
          </w:p>
        </w:tc>
      </w:tr>
      <w:tr>
        <w:tblPrEx/>
        <w:trPr>
          <w:trHeight w:val="900" w:hRule="atLeast"/>
          <w:jc w:val="center"/>
        </w:trPr>
        <w:tc>
          <w:tcPr>
            <w:tcW w:w="976"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939"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建设湖南新增极目标任务完成情况</w:t>
            </w:r>
          </w:p>
        </w:tc>
        <w:tc>
          <w:tcPr>
            <w:tcW w:w="4171"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7</w:t>
            </w:r>
          </w:p>
        </w:tc>
        <w:tc>
          <w:tcPr>
            <w:tcW w:w="72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hint="default"/>
                <w:kern w:val="0"/>
                <w:sz w:val="18"/>
                <w:szCs w:val="18"/>
                <w:lang w:val="en-US" w:eastAsia="zh-CN"/>
              </w:rPr>
            </w:pPr>
            <w:r>
              <w:rPr>
                <w:rFonts w:ascii="仿宋_GB2312" w:cs="宋体" w:eastAsia="仿宋_GB2312" w:hAnsi="宋体" w:hint="eastAsia"/>
                <w:kern w:val="0"/>
                <w:sz w:val="18"/>
                <w:szCs w:val="18"/>
                <w:lang w:val="en-US" w:eastAsia="zh-CN"/>
              </w:rPr>
              <w:t>7</w:t>
            </w:r>
          </w:p>
        </w:tc>
        <w:tc>
          <w:tcPr>
            <w:tcW w:w="108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kern w:val="0"/>
                <w:sz w:val="18"/>
                <w:szCs w:val="18"/>
              </w:rPr>
            </w:pPr>
          </w:p>
        </w:tc>
      </w:tr>
      <w:tr>
        <w:tblPrEx/>
        <w:trPr>
          <w:trHeight w:val="900" w:hRule="atLeast"/>
          <w:jc w:val="center"/>
        </w:trPr>
        <w:tc>
          <w:tcPr>
            <w:tcW w:w="976"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939"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《政府工作报告》目标任务完成情况</w:t>
            </w:r>
          </w:p>
        </w:tc>
        <w:tc>
          <w:tcPr>
            <w:tcW w:w="4171"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hint="eastAsia"/>
                <w:kern w:val="0"/>
                <w:sz w:val="18"/>
                <w:szCs w:val="18"/>
                <w:lang w:val="en-US" w:eastAsia="zh-CN"/>
              </w:rPr>
            </w:pPr>
            <w:r>
              <w:rPr>
                <w:rFonts w:ascii="仿宋_GB2312" w:cs="宋体" w:eastAsia="仿宋_GB2312" w:hAnsi="宋体" w:hint="eastAsia"/>
                <w:kern w:val="0"/>
                <w:sz w:val="18"/>
                <w:szCs w:val="18"/>
                <w:lang w:val="en-US" w:eastAsia="zh-CN"/>
              </w:rPr>
              <w:t>5</w:t>
            </w:r>
          </w:p>
        </w:tc>
        <w:tc>
          <w:tcPr>
            <w:tcW w:w="108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kern w:val="0"/>
                <w:sz w:val="18"/>
                <w:szCs w:val="18"/>
              </w:rPr>
            </w:pPr>
          </w:p>
        </w:tc>
      </w:tr>
      <w:tr>
        <w:tblPrEx/>
        <w:trPr>
          <w:trHeight w:val="680" w:hRule="atLeast"/>
          <w:jc w:val="center"/>
        </w:trPr>
        <w:tc>
          <w:tcPr>
            <w:tcW w:w="976"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939"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省市重点民生实事完成情况</w:t>
            </w:r>
          </w:p>
        </w:tc>
        <w:tc>
          <w:tcPr>
            <w:tcW w:w="4171"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hint="eastAsia"/>
                <w:kern w:val="0"/>
                <w:sz w:val="18"/>
                <w:szCs w:val="18"/>
                <w:lang w:val="en-US" w:eastAsia="zh-CN"/>
              </w:rPr>
            </w:pPr>
            <w:r>
              <w:rPr>
                <w:rFonts w:ascii="仿宋_GB2312" w:cs="宋体" w:eastAsia="仿宋_GB2312" w:hAnsi="宋体" w:hint="eastAsia"/>
                <w:kern w:val="0"/>
                <w:sz w:val="18"/>
                <w:szCs w:val="18"/>
                <w:lang w:val="en-US" w:eastAsia="zh-CN"/>
              </w:rPr>
              <w:t>2</w:t>
            </w:r>
          </w:p>
        </w:tc>
        <w:tc>
          <w:tcPr>
            <w:tcW w:w="108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kern w:val="0"/>
                <w:sz w:val="18"/>
                <w:szCs w:val="18"/>
              </w:rPr>
            </w:pPr>
          </w:p>
        </w:tc>
      </w:tr>
      <w:tr>
        <w:tblPrEx/>
        <w:trPr>
          <w:trHeight w:val="900" w:hRule="atLeast"/>
          <w:jc w:val="center"/>
        </w:trPr>
        <w:tc>
          <w:tcPr>
            <w:tcW w:w="976"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939"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省市重点工程和重大项目建设完成情况</w:t>
            </w:r>
          </w:p>
        </w:tc>
        <w:tc>
          <w:tcPr>
            <w:tcW w:w="4171"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hint="eastAsia"/>
                <w:kern w:val="0"/>
                <w:sz w:val="18"/>
                <w:szCs w:val="18"/>
                <w:lang w:val="en-US" w:eastAsia="zh-CN"/>
              </w:rPr>
            </w:pPr>
            <w:r>
              <w:rPr>
                <w:rFonts w:ascii="仿宋_GB2312" w:cs="宋体" w:eastAsia="仿宋_GB2312" w:hAnsi="宋体" w:hint="eastAsia"/>
                <w:kern w:val="0"/>
                <w:sz w:val="18"/>
                <w:szCs w:val="18"/>
                <w:lang w:val="en-US" w:eastAsia="zh-CN"/>
              </w:rPr>
              <w:t>2</w:t>
            </w:r>
          </w:p>
        </w:tc>
        <w:tc>
          <w:tcPr>
            <w:tcW w:w="108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kern w:val="0"/>
                <w:sz w:val="18"/>
                <w:szCs w:val="18"/>
              </w:rPr>
            </w:pPr>
          </w:p>
        </w:tc>
      </w:tr>
      <w:tr>
        <w:tblPrEx/>
        <w:trPr>
          <w:trHeight w:val="800" w:hRule="atLeast"/>
          <w:jc w:val="center"/>
        </w:trPr>
        <w:tc>
          <w:tcPr>
            <w:tcW w:w="976"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939"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其他工作实绩指标完成情况</w:t>
            </w:r>
          </w:p>
        </w:tc>
        <w:tc>
          <w:tcPr>
            <w:tcW w:w="4171"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4</w:t>
            </w:r>
          </w:p>
        </w:tc>
        <w:tc>
          <w:tcPr>
            <w:tcW w:w="72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hint="default"/>
                <w:kern w:val="0"/>
                <w:sz w:val="18"/>
                <w:szCs w:val="18"/>
                <w:lang w:val="en-US" w:eastAsia="zh-CN"/>
              </w:rPr>
            </w:pPr>
            <w:r>
              <w:rPr>
                <w:rFonts w:ascii="仿宋_GB2312" w:cs="宋体" w:eastAsia="仿宋_GB2312" w:hAnsi="宋体" w:hint="eastAsia"/>
                <w:kern w:val="0"/>
                <w:sz w:val="18"/>
                <w:szCs w:val="18"/>
                <w:lang w:val="en-US" w:eastAsia="zh-CN"/>
              </w:rPr>
              <w:t>4</w:t>
            </w:r>
          </w:p>
        </w:tc>
        <w:tc>
          <w:tcPr>
            <w:tcW w:w="108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kern w:val="0"/>
                <w:sz w:val="18"/>
                <w:szCs w:val="18"/>
              </w:rPr>
            </w:pPr>
          </w:p>
        </w:tc>
      </w:tr>
      <w:tr>
        <w:tblPrEx/>
        <w:trPr>
          <w:trHeight w:val="600" w:hRule="atLeast"/>
          <w:jc w:val="center"/>
        </w:trPr>
        <w:tc>
          <w:tcPr>
            <w:tcW w:w="976" w:type="dxa"/>
            <w:vMerge w:val="restart"/>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效  果</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（20分）</w:t>
            </w: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履职效益</w:t>
            </w:r>
            <w:r>
              <w:rPr>
                <w:rFonts w:ascii="仿宋_GB2312" w:cs="宋体" w:eastAsia="仿宋_GB2312" w:hAnsi="宋体" w:hint="eastAsia"/>
                <w:kern w:val="0"/>
                <w:sz w:val="18"/>
                <w:szCs w:val="18"/>
              </w:rPr>
              <w:br/>
            </w:r>
            <w:r>
              <w:rPr>
                <w:rFonts w:ascii="仿宋_GB2312" w:cs="宋体" w:eastAsia="仿宋_GB2312" w:hAnsi="宋体" w:hint="eastAsia"/>
                <w:kern w:val="0"/>
                <w:sz w:val="18"/>
                <w:szCs w:val="18"/>
              </w:rPr>
              <w:t>（20分）</w:t>
            </w:r>
          </w:p>
        </w:tc>
        <w:tc>
          <w:tcPr>
            <w:tcW w:w="1389"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经济效益</w:t>
            </w:r>
          </w:p>
        </w:tc>
        <w:tc>
          <w:tcPr>
            <w:tcW w:w="4171" w:type="dxa"/>
            <w:vMerge w:val="restart"/>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r>
              <w:rPr>
                <w:rFonts w:ascii="仿宋_GB2312" w:cs="宋体" w:eastAsia="仿宋_GB2312" w:hAnsi="宋体" w:hint="eastAsia"/>
                <w:kern w:val="0"/>
                <w:sz w:val="18"/>
                <w:szCs w:val="18"/>
              </w:rPr>
              <w:t>此三项指标为设置部门整体支出绩效评价指标时必须考虑的共性要素。</w:t>
            </w:r>
          </w:p>
          <w:p>
            <w:pPr>
              <w:pStyle w:val="style0"/>
              <w:widowControl/>
              <w:spacing w:lineRule="exact" w:line="240"/>
              <w:jc w:val="left"/>
              <w:rPr>
                <w:rFonts w:ascii="仿宋_GB2312" w:cs="宋体" w:eastAsia="仿宋_GB2312" w:hAnsi="宋体"/>
                <w:kern w:val="0"/>
                <w:sz w:val="18"/>
                <w:szCs w:val="18"/>
              </w:rPr>
            </w:pPr>
            <w:r>
              <w:rPr>
                <w:rFonts w:ascii="仿宋_GB2312" w:cs="宋体" w:eastAsia="仿宋_GB2312" w:hAnsi="宋体" w:hint="eastAsia"/>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15</w:t>
            </w:r>
          </w:p>
        </w:tc>
        <w:tc>
          <w:tcPr>
            <w:tcW w:w="72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hint="eastAsia"/>
                <w:kern w:val="0"/>
                <w:sz w:val="18"/>
                <w:szCs w:val="18"/>
                <w:lang w:val="en-US" w:eastAsia="zh-CN"/>
              </w:rPr>
            </w:pPr>
            <w:r>
              <w:rPr>
                <w:rFonts w:ascii="仿宋_GB2312" w:cs="宋体" w:eastAsia="仿宋_GB2312" w:hAnsi="宋体" w:hint="eastAsia"/>
                <w:kern w:val="0"/>
                <w:sz w:val="18"/>
                <w:szCs w:val="18"/>
                <w:lang w:val="en-US" w:eastAsia="zh-CN"/>
              </w:rPr>
              <w:t>5</w:t>
            </w:r>
          </w:p>
        </w:tc>
        <w:tc>
          <w:tcPr>
            <w:tcW w:w="108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kern w:val="0"/>
                <w:sz w:val="18"/>
                <w:szCs w:val="18"/>
              </w:rPr>
            </w:pPr>
          </w:p>
        </w:tc>
      </w:tr>
      <w:tr>
        <w:tblPrEx/>
        <w:trPr>
          <w:trHeight w:val="600" w:hRule="atLeast"/>
          <w:jc w:val="center"/>
        </w:trPr>
        <w:tc>
          <w:tcPr>
            <w:tcW w:w="976"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939"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社会效益</w:t>
            </w:r>
          </w:p>
        </w:tc>
        <w:tc>
          <w:tcPr>
            <w:tcW w:w="4171"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619"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72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hint="default"/>
                <w:kern w:val="0"/>
                <w:sz w:val="18"/>
                <w:szCs w:val="18"/>
                <w:lang w:val="en-US" w:eastAsia="zh-CN"/>
              </w:rPr>
            </w:pPr>
            <w:r>
              <w:rPr>
                <w:rFonts w:ascii="仿宋_GB2312" w:cs="宋体" w:eastAsia="仿宋_GB2312" w:hAnsi="宋体" w:hint="eastAsia"/>
                <w:kern w:val="0"/>
                <w:sz w:val="18"/>
                <w:szCs w:val="18"/>
                <w:lang w:val="en-US" w:eastAsia="zh-CN"/>
              </w:rPr>
              <w:t>5</w:t>
            </w:r>
          </w:p>
        </w:tc>
        <w:tc>
          <w:tcPr>
            <w:tcW w:w="108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kern w:val="0"/>
                <w:sz w:val="18"/>
                <w:szCs w:val="18"/>
              </w:rPr>
            </w:pPr>
          </w:p>
        </w:tc>
      </w:tr>
      <w:tr>
        <w:tblPrEx/>
        <w:trPr>
          <w:trHeight w:val="600" w:hRule="atLeast"/>
          <w:jc w:val="center"/>
        </w:trPr>
        <w:tc>
          <w:tcPr>
            <w:tcW w:w="976"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939"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生态效益</w:t>
            </w:r>
          </w:p>
        </w:tc>
        <w:tc>
          <w:tcPr>
            <w:tcW w:w="4171"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619" w:type="dxa"/>
            <w:vMerge w:val="continue"/>
            <w:tcBorders>
              <w:top w:val="nil"/>
              <w:left w:val="single" w:sz="4" w:space="0" w:color="auto"/>
              <w:bottom w:val="single" w:sz="4" w:space="0" w:color="auto"/>
              <w:right w:val="single" w:sz="4" w:space="0" w:color="auto"/>
            </w:tcBorders>
            <w:shd w:val="clear" w:color="auto" w:fill="auto"/>
            <w:vAlign w:val="center"/>
          </w:tcPr>
          <w:p>
            <w:pPr>
              <w:pStyle w:val="style0"/>
              <w:widowControl/>
              <w:spacing w:lineRule="exact" w:line="240"/>
              <w:jc w:val="left"/>
              <w:rPr>
                <w:rFonts w:ascii="仿宋_GB2312" w:cs="宋体" w:eastAsia="仿宋_GB2312" w:hAnsi="宋体"/>
                <w:kern w:val="0"/>
                <w:sz w:val="18"/>
                <w:szCs w:val="18"/>
              </w:rPr>
            </w:pPr>
          </w:p>
        </w:tc>
        <w:tc>
          <w:tcPr>
            <w:tcW w:w="72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hint="eastAsia"/>
                <w:kern w:val="0"/>
                <w:sz w:val="18"/>
                <w:szCs w:val="18"/>
                <w:lang w:val="en-US" w:eastAsia="zh-CN"/>
              </w:rPr>
            </w:pPr>
            <w:r>
              <w:rPr>
                <w:rFonts w:ascii="仿宋_GB2312" w:cs="宋体" w:eastAsia="仿宋_GB2312" w:hAnsi="宋体" w:hint="eastAsia"/>
                <w:kern w:val="0"/>
                <w:sz w:val="18"/>
                <w:szCs w:val="18"/>
                <w:lang w:val="en-US" w:eastAsia="zh-CN"/>
              </w:rPr>
              <w:t>5</w:t>
            </w:r>
          </w:p>
        </w:tc>
        <w:tc>
          <w:tcPr>
            <w:tcW w:w="1080" w:type="dxa"/>
            <w:tcBorders>
              <w:top w:val="nil"/>
              <w:left w:val="nil"/>
              <w:bottom w:val="single" w:sz="4" w:space="0" w:color="auto"/>
              <w:right w:val="single" w:sz="4" w:space="0" w:color="auto"/>
            </w:tcBorders>
            <w:shd w:val="clear" w:color="auto" w:fill="ffffff"/>
            <w:vAlign w:val="center"/>
          </w:tcPr>
          <w:p>
            <w:pPr>
              <w:pStyle w:val="style0"/>
              <w:widowControl/>
              <w:spacing w:lineRule="exact" w:line="240"/>
              <w:jc w:val="center"/>
              <w:rPr>
                <w:rFonts w:ascii="仿宋_GB2312" w:cs="宋体" w:eastAsia="仿宋_GB2312" w:hAnsi="宋体"/>
                <w:kern w:val="0"/>
                <w:sz w:val="18"/>
                <w:szCs w:val="18"/>
              </w:rPr>
            </w:pPr>
          </w:p>
        </w:tc>
      </w:tr>
      <w:tr>
        <w:tblPrEx/>
        <w:trPr>
          <w:trHeight w:val="1113" w:hRule="atLeast"/>
          <w:jc w:val="center"/>
        </w:trPr>
        <w:tc>
          <w:tcPr>
            <w:tcW w:w="976" w:type="dxa"/>
            <w:vMerge w:val="continue"/>
            <w:tcBorders>
              <w:top w:val="nil"/>
              <w:left w:val="single" w:sz="4" w:space="0" w:color="auto"/>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kern w:val="0"/>
                <w:sz w:val="18"/>
                <w:szCs w:val="18"/>
              </w:rPr>
            </w:pPr>
          </w:p>
        </w:tc>
        <w:tc>
          <w:tcPr>
            <w:tcW w:w="939" w:type="dxa"/>
            <w:vMerge w:val="continue"/>
            <w:tcBorders>
              <w:top w:val="nil"/>
              <w:left w:val="single" w:sz="4" w:space="0" w:color="auto"/>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kern w:val="0"/>
                <w:sz w:val="18"/>
                <w:szCs w:val="18"/>
              </w:rPr>
            </w:pPr>
          </w:p>
        </w:tc>
        <w:tc>
          <w:tcPr>
            <w:tcW w:w="1389"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社会公众或服务对象满意度</w:t>
            </w:r>
          </w:p>
        </w:tc>
        <w:tc>
          <w:tcPr>
            <w:tcW w:w="4171" w:type="dxa"/>
            <w:tcBorders>
              <w:top w:val="nil"/>
              <w:left w:val="nil"/>
              <w:bottom w:val="single" w:sz="4" w:space="0" w:color="auto"/>
              <w:right w:val="single" w:sz="4" w:space="0" w:color="auto"/>
            </w:tcBorders>
            <w:vAlign w:val="center"/>
          </w:tcPr>
          <w:p>
            <w:pPr>
              <w:pStyle w:val="style0"/>
              <w:widowControl/>
              <w:spacing w:lineRule="exact" w:line="240"/>
              <w:jc w:val="left"/>
              <w:rPr>
                <w:rFonts w:ascii="仿宋_GB2312" w:cs="宋体" w:eastAsia="仿宋_GB2312" w:hAnsi="宋体"/>
                <w:kern w:val="0"/>
                <w:sz w:val="18"/>
                <w:szCs w:val="18"/>
              </w:rPr>
            </w:pPr>
            <w:r>
              <w:rPr>
                <w:rFonts w:ascii="仿宋_GB2312" w:cs="宋体" w:eastAsia="仿宋_GB2312" w:hAnsi="宋体" w:hint="eastAsia"/>
                <w:kern w:val="0"/>
                <w:sz w:val="18"/>
                <w:szCs w:val="18"/>
              </w:rPr>
              <w:t>95%（含）以上计5分；</w:t>
            </w:r>
          </w:p>
          <w:p>
            <w:pPr>
              <w:pStyle w:val="style0"/>
              <w:widowControl/>
              <w:spacing w:lineRule="exact" w:line="240"/>
              <w:jc w:val="left"/>
              <w:rPr>
                <w:rFonts w:ascii="仿宋_GB2312" w:cs="宋体" w:eastAsia="仿宋_GB2312" w:hAnsi="宋体"/>
                <w:kern w:val="0"/>
                <w:sz w:val="18"/>
                <w:szCs w:val="18"/>
              </w:rPr>
            </w:pPr>
            <w:r>
              <w:rPr>
                <w:rFonts w:ascii="仿宋_GB2312" w:cs="宋体" w:eastAsia="仿宋_GB2312" w:hAnsi="宋体" w:hint="eastAsia"/>
                <w:kern w:val="0"/>
                <w:sz w:val="18"/>
                <w:szCs w:val="18"/>
              </w:rPr>
              <w:t>85%（含）-95%，计3分；</w:t>
            </w:r>
          </w:p>
          <w:p>
            <w:pPr>
              <w:pStyle w:val="style0"/>
              <w:widowControl/>
              <w:spacing w:lineRule="exact" w:line="240"/>
              <w:jc w:val="left"/>
              <w:rPr>
                <w:rFonts w:ascii="仿宋_GB2312" w:cs="宋体" w:eastAsia="仿宋_GB2312" w:hAnsi="宋体"/>
                <w:kern w:val="0"/>
                <w:sz w:val="18"/>
                <w:szCs w:val="18"/>
              </w:rPr>
            </w:pPr>
            <w:r>
              <w:rPr>
                <w:rFonts w:ascii="仿宋_GB2312" w:cs="宋体" w:eastAsia="仿宋_GB2312" w:hAnsi="宋体" w:hint="eastAsia"/>
                <w:kern w:val="0"/>
                <w:sz w:val="18"/>
                <w:szCs w:val="18"/>
              </w:rPr>
              <w:t>75%（含）-85%，计1分；</w:t>
            </w:r>
          </w:p>
          <w:p>
            <w:pPr>
              <w:pStyle w:val="style0"/>
              <w:widowControl/>
              <w:spacing w:lineRule="exact" w:line="240"/>
              <w:jc w:val="left"/>
              <w:rPr>
                <w:rFonts w:ascii="仿宋_GB2312" w:cs="宋体" w:eastAsia="仿宋_GB2312" w:hAnsi="宋体"/>
                <w:kern w:val="0"/>
                <w:sz w:val="18"/>
                <w:szCs w:val="18"/>
              </w:rPr>
            </w:pPr>
            <w:r>
              <w:rPr>
                <w:rFonts w:ascii="仿宋_GB2312" w:cs="宋体" w:eastAsia="仿宋_GB2312" w:hAnsi="宋体" w:hint="eastAsia"/>
                <w:kern w:val="0"/>
                <w:sz w:val="18"/>
                <w:szCs w:val="18"/>
              </w:rPr>
              <w:t>低于75%计0分。</w:t>
            </w:r>
          </w:p>
        </w:tc>
        <w:tc>
          <w:tcPr>
            <w:tcW w:w="619"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r>
              <w:rPr>
                <w:rFonts w:ascii="仿宋_GB2312" w:cs="宋体" w:eastAsia="仿宋_GB2312" w:hAnsi="宋体" w:hint="eastAsia"/>
                <w:kern w:val="0"/>
                <w:sz w:val="18"/>
                <w:szCs w:val="18"/>
              </w:rPr>
              <w:t>5</w:t>
            </w:r>
          </w:p>
        </w:tc>
        <w:tc>
          <w:tcPr>
            <w:tcW w:w="720"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hint="eastAsia"/>
                <w:kern w:val="0"/>
                <w:sz w:val="18"/>
                <w:szCs w:val="18"/>
                <w:lang w:val="en-US" w:eastAsia="zh-CN"/>
              </w:rPr>
            </w:pPr>
            <w:r>
              <w:rPr>
                <w:rFonts w:ascii="仿宋_GB2312" w:cs="宋体" w:eastAsia="仿宋_GB2312" w:hAnsi="宋体" w:hint="eastAsia"/>
                <w:kern w:val="0"/>
                <w:sz w:val="18"/>
                <w:szCs w:val="18"/>
                <w:lang w:val="en-US" w:eastAsia="zh-CN"/>
              </w:rPr>
              <w:t>5</w:t>
            </w:r>
          </w:p>
        </w:tc>
        <w:tc>
          <w:tcPr>
            <w:tcW w:w="1080"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kern w:val="0"/>
                <w:sz w:val="18"/>
                <w:szCs w:val="18"/>
              </w:rPr>
            </w:pPr>
          </w:p>
        </w:tc>
      </w:tr>
      <w:tr>
        <w:tblPrEx/>
        <w:trPr>
          <w:trHeight w:val="670" w:hRule="atLeast"/>
          <w:jc w:val="center"/>
        </w:trPr>
        <w:tc>
          <w:tcPr>
            <w:tcW w:w="976" w:type="dxa"/>
            <w:tcBorders>
              <w:top w:val="nil"/>
              <w:left w:val="single" w:sz="4" w:space="0" w:color="auto"/>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b/>
                <w:bCs/>
                <w:kern w:val="0"/>
                <w:sz w:val="18"/>
                <w:szCs w:val="18"/>
              </w:rPr>
            </w:pPr>
            <w:r>
              <w:rPr>
                <w:rFonts w:ascii="仿宋_GB2312" w:cs="宋体" w:eastAsia="仿宋_GB2312" w:hAnsi="宋体" w:hint="eastAsia"/>
                <w:b/>
                <w:bCs/>
                <w:kern w:val="0"/>
                <w:sz w:val="18"/>
                <w:szCs w:val="18"/>
              </w:rPr>
              <w:t>总 分</w:t>
            </w:r>
          </w:p>
        </w:tc>
        <w:tc>
          <w:tcPr>
            <w:tcW w:w="939"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b/>
                <w:bCs/>
                <w:kern w:val="0"/>
                <w:sz w:val="18"/>
                <w:szCs w:val="18"/>
              </w:rPr>
            </w:pPr>
          </w:p>
        </w:tc>
        <w:tc>
          <w:tcPr>
            <w:tcW w:w="1389"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b/>
                <w:bCs/>
                <w:kern w:val="0"/>
                <w:sz w:val="18"/>
                <w:szCs w:val="18"/>
              </w:rPr>
            </w:pPr>
          </w:p>
        </w:tc>
        <w:tc>
          <w:tcPr>
            <w:tcW w:w="4171"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b/>
                <w:bCs/>
                <w:kern w:val="0"/>
                <w:sz w:val="18"/>
                <w:szCs w:val="18"/>
              </w:rPr>
            </w:pPr>
          </w:p>
        </w:tc>
        <w:tc>
          <w:tcPr>
            <w:tcW w:w="619"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b/>
                <w:bCs/>
                <w:spacing w:val="-8"/>
                <w:kern w:val="0"/>
                <w:sz w:val="18"/>
                <w:szCs w:val="18"/>
              </w:rPr>
            </w:pPr>
            <w:r>
              <w:rPr>
                <w:rFonts w:ascii="仿宋_GB2312" w:cs="宋体" w:eastAsia="仿宋_GB2312" w:hAnsi="宋体" w:hint="eastAsia"/>
                <w:b/>
                <w:bCs/>
                <w:spacing w:val="-8"/>
                <w:kern w:val="0"/>
                <w:sz w:val="18"/>
                <w:szCs w:val="18"/>
              </w:rPr>
              <w:t>100</w:t>
            </w:r>
          </w:p>
        </w:tc>
        <w:tc>
          <w:tcPr>
            <w:tcW w:w="720"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hint="default"/>
                <w:b/>
                <w:bCs/>
                <w:kern w:val="0"/>
                <w:sz w:val="18"/>
                <w:szCs w:val="18"/>
                <w:lang w:val="en-US" w:eastAsia="zh-CN"/>
              </w:rPr>
            </w:pPr>
            <w:r>
              <w:rPr>
                <w:rFonts w:ascii="仿宋_GB2312" w:cs="宋体" w:eastAsia="仿宋_GB2312" w:hAnsi="宋体" w:hint="eastAsia"/>
                <w:b/>
                <w:bCs/>
                <w:kern w:val="0"/>
                <w:sz w:val="18"/>
                <w:szCs w:val="18"/>
                <w:lang w:val="en-US" w:eastAsia="zh-CN"/>
              </w:rPr>
              <w:t>98</w:t>
            </w:r>
          </w:p>
        </w:tc>
        <w:tc>
          <w:tcPr>
            <w:tcW w:w="1080" w:type="dxa"/>
            <w:tcBorders>
              <w:top w:val="nil"/>
              <w:left w:val="nil"/>
              <w:bottom w:val="single" w:sz="4" w:space="0" w:color="auto"/>
              <w:right w:val="single" w:sz="4" w:space="0" w:color="auto"/>
            </w:tcBorders>
            <w:vAlign w:val="center"/>
          </w:tcPr>
          <w:p>
            <w:pPr>
              <w:pStyle w:val="style0"/>
              <w:widowControl/>
              <w:spacing w:lineRule="exact" w:line="240"/>
              <w:jc w:val="center"/>
              <w:rPr>
                <w:rFonts w:ascii="仿宋_GB2312" w:cs="宋体" w:eastAsia="仿宋_GB2312" w:hAnsi="宋体"/>
                <w:b/>
                <w:bCs/>
                <w:kern w:val="0"/>
                <w:sz w:val="18"/>
                <w:szCs w:val="18"/>
              </w:rPr>
            </w:pPr>
          </w:p>
        </w:tc>
      </w:tr>
    </w:tbl>
    <w:p>
      <w:pPr>
        <w:pStyle w:val="style0"/>
        <w:spacing w:before="156" w:beforeLines="50"/>
        <w:rPr>
          <w:rFonts w:ascii="仿宋_GB2312" w:cs="宋体" w:eastAsia="仿宋_GB2312" w:hAnsi="宋体"/>
          <w:kern w:val="0"/>
          <w:szCs w:val="21"/>
        </w:rPr>
      </w:pPr>
      <w:r>
        <w:rPr>
          <w:rFonts w:ascii="仿宋_GB2312" w:cs="宋体" w:eastAsia="仿宋_GB2312" w:hAnsi="宋体" w:hint="eastAsia"/>
          <w:kern w:val="0"/>
          <w:szCs w:val="21"/>
        </w:rPr>
        <w:t>备注：如部门（单位）根据本部门实际情况修改调整了附件3《部门整体支出绩效评价指标体系》，须相应修改调整本表中的对应部分。</w:t>
      </w:r>
    </w:p>
    <w:p>
      <w:pPr>
        <w:pStyle w:val="style0"/>
        <w:rPr/>
      </w:pPr>
    </w:p>
    <w:p>
      <w:pPr>
        <w:pStyle w:val="style0"/>
        <w:rPr/>
      </w:pPr>
    </w:p>
    <w:sectPr>
      <w:pgSz w:w="11906" w:h="16838" w:orient="portrait"/>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004020304"/>
    <w:charset w:val="01"/>
    <w:family w:val="auto"/>
    <w:pitch w:val="default"/>
    <w:sig w:usb0="E0002AFF" w:usb1="C0007841" w:usb2="00000009" w:usb3="00000000" w:csb0="400001FF" w:csb1="FFFF0000"/>
  </w:font>
  <w:font w:name="宋体">
    <w:altName w:val="宋体"/>
    <w:panose1 w:val="02010600030001010101"/>
    <w:charset w:val="50"/>
    <w:family w:val="auto"/>
    <w:pitch w:val="default"/>
    <w:sig w:usb0="00000003" w:usb1="288F0000" w:usb2="00000006" w:usb3="00000000" w:csb0="00040001" w:csb1="00000000"/>
  </w:font>
  <w:font w:name="Wingdings">
    <w:altName w:val="Wingdings"/>
    <w:panose1 w:val="05000000000000000000"/>
    <w:charset w:val="02"/>
    <w:family w:val="auto"/>
    <w:pitch w:val="default"/>
    <w:sig w:usb0="00000000" w:usb1="00000000" w:usb2="00000000" w:usb3="00000000" w:csb0="80000000" w:csb1="00000000"/>
  </w:font>
  <w:font w:name="Arial">
    <w:altName w:val="Arial"/>
    <w:panose1 w:val="020b0604020002020204"/>
    <w:charset w:val="01"/>
    <w:family w:val="swiss"/>
    <w:pitch w:val="default"/>
    <w:sig w:usb0="E0002AFF" w:usb1="C0007843" w:usb2="00000009" w:usb3="00000000" w:csb0="400001FF" w:csb1="FFFF0000"/>
  </w:font>
  <w:font w:name="黑体">
    <w:altName w:val="黑体"/>
    <w:panose1 w:val="02010609060001010101"/>
    <w:charset w:val="86"/>
    <w:family w:val="auto"/>
    <w:pitch w:val="default"/>
    <w:sig w:usb0="800002BF" w:usb1="38CF7CFA" w:usb2="00000016" w:usb3="00000000" w:csb0="00040001" w:csb1="00000000"/>
  </w:font>
  <w:font w:name="Courier New">
    <w:altName w:val="Courier New"/>
    <w:panose1 w:val="02070309020002020404"/>
    <w:charset w:val="01"/>
    <w:family w:val="modern"/>
    <w:pitch w:val="default"/>
    <w:sig w:usb0="E0002AFF" w:usb1="C0007843" w:usb2="00000009" w:usb3="00000000" w:csb0="400001FF" w:csb1="FFFF0000"/>
  </w:font>
  <w:font w:name="Symbol">
    <w:altName w:val="Symbol"/>
    <w:panose1 w:val="05050102010007020507"/>
    <w:charset w:val="02"/>
    <w:family w:val="roman"/>
    <w:pitch w:val="default"/>
    <w:sig w:usb0="00000000" w:usb1="00000000" w:usb2="00000000" w:usb3="00000000" w:csb0="80000000" w:csb1="00000000"/>
  </w:font>
  <w:font w:name="Calibri">
    <w:altName w:val="Calibri"/>
    <w:panose1 w:val="020f0502020002030204"/>
    <w:charset w:val="00"/>
    <w:family w:val="swiss"/>
    <w:pitch w:val="default"/>
    <w:sig w:usb0="E00002FF" w:usb1="4000ACFF" w:usb2="00000001" w:usb3="00000000" w:csb0="2000019F" w:csb1="00000000"/>
  </w:font>
  <w:font w:name="楷体_GB2312">
    <w:altName w:val="楷体_GB2312"/>
    <w:panose1 w:val="02010609030001010101"/>
    <w:charset w:val="86"/>
    <w:family w:val="auto"/>
    <w:pitch w:val="default"/>
    <w:sig w:usb0="00000001" w:usb1="080E0000" w:usb2="00000000" w:usb3="00000000" w:csb0="00040000" w:csb1="00000000"/>
  </w:font>
  <w:font w:name="方正小标宋简体">
    <w:altName w:val="方正小标宋简体"/>
    <w:panose1 w:val="02010601030001010101"/>
    <w:charset w:val="86"/>
    <w:family w:val="auto"/>
    <w:pitch w:val="default"/>
    <w:sig w:usb0="00000001" w:usb1="080E0000" w:usb2="00000000" w:usb3="00000000" w:csb0="00040000" w:csb1="00000000"/>
  </w:font>
  <w:font w:name="仿宋_GB2312">
    <w:altName w:val="仿宋_GB2312"/>
    <w:panose1 w:val="02010609030001010101"/>
    <w:charset w:val="86"/>
    <w:family w:val="auto"/>
    <w:pitch w:val="default"/>
    <w:sig w:usb0="00000001" w:usb1="080E0000" w:usb2="00000000" w:usb3="00000000" w:csb0="00040000" w:csb1="00000000"/>
  </w:font>
  <w:font w:name="仿宋">
    <w:altName w:val="仿宋"/>
    <w:panose1 w:val="02010609060001010101"/>
    <w:charset w:val="86"/>
    <w:family w:val="auto"/>
    <w:pitch w:val="default"/>
    <w:sig w:usb0="800002BF" w:usb1="38CF7CFA" w:usb2="00000016" w:usb3="00000000" w:csb0="00040001" w:csb1="00000000"/>
  </w:font>
  <w:font w:name="华文仿宋">
    <w:altName w:val="仿宋"/>
    <w:panose1 w:val="02010600040001010101"/>
    <w:charset w:val="86"/>
    <w:family w:val="auto"/>
    <w:pitch w:val="default"/>
    <w:sig w:usb0="00000000" w:usb1="00000000" w:usb2="00000000" w:usb3="00000000" w:csb0="0004009F" w:csb1="DFD70000"/>
  </w:font>
</w:fonts>
</file>

<file path=word/footer1.xml><?xml version="1.0" encoding="utf-8"?>
<w:ft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p>
    <w:pPr>
      <w:pStyle w:val="style0"/>
      <w:framePr w:wrap="around" w:hAnchor="margin" w:vAnchor="text" w:xAlign="outside" w:y="1"/>
      <w:rPr/>
    </w:pPr>
    <w:r>
      <w:rPr/>
      <w:fldChar w:fldCharType="begin"/>
    </w:r>
    <w:r>
      <w:instrText xml:space="preserve">PAGE  </w:instrText>
    </w:r>
    <w:r>
      <w:rPr/>
      <w:fldChar w:fldCharType="separate"/>
    </w:r>
    <w:r>
      <w:t>- 15 -</w:t>
    </w:r>
    <w:r>
      <w:rPr/>
      <w:fldChar w:fldCharType="end"/>
    </w:r>
  </w:p>
  <w:p>
    <w:pPr>
      <w:pStyle w:val="style0"/>
      <w:ind w:right="360" w:firstLine="360"/>
      <w:rPr/>
    </w:pPr>
  </w:p>
</w:ftr>
</file>

<file path=word/footer2.xml><?xml version="1.0" encoding="utf-8"?>
<w:ft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p>
    <w:pPr>
      <w:pStyle w:val="style0"/>
      <w:framePr w:w="1448" w:wrap="around" w:hAnchor="margin" w:vAnchor="text" w:xAlign="outside" w:y="7"/>
      <w:rPr>
        <w:sz w:val="24"/>
      </w:rPr>
    </w:pPr>
    <w:r>
      <w:rPr>
        <w:sz w:val="24"/>
      </w:rPr>
      <mc:AlternateContent>
        <mc:Choice Requires="wps">
          <w:drawing>
            <wp:anchor distT="0" distB="0" distL="0" distR="0" simplePos="false" relativeHeight="2" behindDoc="false" locked="false" layoutInCell="true" allowOverlap="true">
              <wp:simplePos x="0" y="0"/>
              <wp:positionH relativeFrom="margin">
                <wp:align>center</wp:align>
              </wp:positionH>
              <wp:positionV relativeFrom="paragraph">
                <wp:posOffset>0</wp:posOffset>
              </wp:positionV>
              <wp:extent cx="1828800" cy="1828800"/>
              <wp:effectExtent l="0" t="0" r="0" b="0"/>
              <wp:wrapNone/>
              <wp:docPr id="4097" name="文本框 1"/>
              <wp:cNvGraphicFramePr>
                <a:graphicFrameLocks xmlns:a="http://schemas.openxmlformats.org/drawingml/2006/main" noChangeAspect="false" noSelect="false" noResize="false" noGrp="false"/>
              </wp:cNvGraphicFramePr>
              <a:graphic xmlns:a="http://schemas.openxmlformats.org/drawingml/2006/main">
                <a:graphicData uri="http://schemas.microsoft.com/office/word/2010/wordprocessingShape">
                  <wps:wsp>
                    <wps:cNvSpPr/>
                    <wps:spPr>
                      <a:xfrm rot="0">
                        <a:off x="0" y="0"/>
                        <a:ext cx="1828800" cy="1828800"/>
                      </a:xfrm>
                      <a:prstGeom prst="rect"/>
                      <a:ln>
                        <a:noFill/>
                      </a:ln>
                    </wps:spPr>
                    <wps:txbx id="4097">
                      <w:txbxContent>
                        <w:p>
                          <w:pPr>
                            <w:pStyle w:val="style32"/>
                            <w:rPr>
                              <w:rStyle w:val="style4097"/>
                            </w:rPr>
                          </w:pPr>
                          <w:r>
                            <w:rPr>
                              <w:rStyle w:val="style4097"/>
                              <w:rFonts w:hint="eastAsia"/>
                            </w:rPr>
                            <w:t xml:space="preserve">— </w:t>
                          </w:r>
                          <w:r>
                            <w:rPr/>
                            <w:fldChar w:fldCharType="begin"/>
                          </w:r>
                          <w:r>
                            <w:rPr>
                              <w:rStyle w:val="style4097"/>
                            </w:rPr>
                            <w:instrText xml:space="preserve">PAGE  </w:instrText>
                          </w:r>
                          <w:r>
                            <w:rPr/>
                            <w:fldChar w:fldCharType="separate"/>
                          </w:r>
                          <w:r>
                            <w:rPr>
                              <w:rStyle w:val="style4097"/>
                            </w:rPr>
                            <w:t>4</w:t>
                          </w:r>
                          <w:r>
                            <w:rPr/>
                            <w:fldChar w:fldCharType="end"/>
                          </w:r>
                          <w:r>
                            <w:rPr>
                              <w:rStyle w:val="style4097"/>
                              <w:rFonts w:hint="eastAsia"/>
                            </w:rPr>
                            <w:t xml:space="preserve"> —</w:t>
                          </w:r>
                        </w:p>
                      </w:txbxContent>
                    </wps:txbx>
                    <wps:bodyPr lIns="0" rIns="0" tIns="0" bIns="0" wrap="none" upright="true">
                      <a:prstTxWarp prst="textNoShape"/>
                      <a:spAutoFit/>
                    </wps:bodyPr>
                  </wps:wsp>
                </a:graphicData>
              </a:graphic>
            </wp:anchor>
          </w:drawing>
        </mc:Choice>
        <mc:Fallback>
          <w:pict>
            <v:rect id="4097" filled="f" stroked="f" style="position:absolute;margin-left:0.0pt;margin-top:0.0pt;width:144.0pt;height:144.0pt;z-index:2;mso-position-horizontal:center;mso-position-horizontal-relative:margin;mso-position-vertical-relative:text;mso-width-relative:page;mso-height-relative:page;mso-wrap-distance-left:0.0pt;mso-wrap-distance-right:0.0pt;visibility:visible;mso-wrap-style:none;">
              <v:stroke on="f"/>
              <v:fill/>
              <v:textbox inset="0.0pt,0.0pt,0.0pt,0.0pt" style="mso-fit-shape-to-text:true;">
                <w:txbxContent>
                  <w:p>
                    <w:pPr>
                      <w:pStyle w:val="style32"/>
                      <w:rPr>
                        <w:rStyle w:val="style4097"/>
                      </w:rPr>
                    </w:pPr>
                    <w:r>
                      <w:rPr>
                        <w:rStyle w:val="style4097"/>
                        <w:rFonts w:hint="eastAsia"/>
                      </w:rPr>
                      <w:t xml:space="preserve">— </w:t>
                    </w:r>
                    <w:r>
                      <w:rPr/>
                      <w:fldChar w:fldCharType="begin"/>
                    </w:r>
                    <w:r>
                      <w:rPr>
                        <w:rStyle w:val="style4097"/>
                      </w:rPr>
                      <w:instrText xml:space="preserve">PAGE  </w:instrText>
                    </w:r>
                    <w:r>
                      <w:rPr/>
                      <w:fldChar w:fldCharType="separate"/>
                    </w:r>
                    <w:r>
                      <w:rPr>
                        <w:rStyle w:val="style4097"/>
                      </w:rPr>
                      <w:t>4</w:t>
                    </w:r>
                    <w:r>
                      <w:rPr/>
                      <w:fldChar w:fldCharType="end"/>
                    </w:r>
                    <w:r>
                      <w:rPr>
                        <w:rStyle w:val="style4097"/>
                        <w:rFonts w:hint="eastAsia"/>
                      </w:rPr>
                      <w:t xml:space="preserve"> —</w:t>
                    </w:r>
                  </w:p>
                </w:txbxContent>
              </v:textbox>
            </v:rect>
          </w:pict>
        </mc:Fallback>
      </mc:AlternateContent>
    </w:r>
  </w:p>
  <w:p>
    <w:pPr>
      <w:pStyle w:val="style0"/>
      <w:ind w:right="360" w:firstLine="360"/>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package/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0"/>
    <w:multiLevelType w:val="singleLevel"/>
    <w:tmpl w:val="A931D53D"/>
    <w:lvl w:ilvl="0">
      <w:start w:val="1"/>
      <w:numFmt w:val="decimal"/>
      <w:lvlText w:val="%1."/>
      <w:lvlJc w:val="left"/>
      <w:pPr>
        <w:tabs>
          <w:tab w:val="left" w:leader="none" w:pos="312"/>
        </w:tabs>
      </w:pPr>
    </w:lvl>
  </w:abstractNum>
  <w:abstractNum w:abstractNumId="1">
    <w:nsid w:val="00000001"/>
    <w:multiLevelType w:val="singleLevel"/>
    <w:tmpl w:val="109D1EAC"/>
    <w:lvl w:ilvl="0">
      <w:start w:val="4"/>
      <w:numFmt w:val="chineseCounting"/>
      <w:suff w:val="nothing"/>
      <w:lvlText w:val="%1、"/>
      <w:lvlJc w:val="left"/>
      <w:pPr/>
      <w:rPr>
        <w:rFonts w:hint="eastAsia"/>
      </w:rPr>
    </w:lvl>
  </w:abstractNum>
  <w:num w:numId="1">
    <w:abstractNumId w:val="0"/>
  </w:num>
  <w:num w:numId="2">
    <w:abstractNumId w:val="1"/>
  </w:num>
</w:numbering>
</file>

<file path=word/settings.xml><?xml version="1.0" encoding="utf-8"?>
<w:settings xmlns:w="http://schemas.openxmlformats.org/wordprocessingml/2006/main" xmlns:r="http://schemas.openxmlformats.org/officeDocument/2006/relationships" xmlns:m="http://schemas.openxmlformats.org/officeDocument/2006/math">
  <w:zoom w:percent="100"/>
  <w:embedSystemFonts/>
  <w:stylePaneFormatFilter w:val="5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0"/>
  <w:stylePaneSortMethod w:val="0001"/>
  <w:defaultTabStop w:val="420"/>
  <w:drawingGridVerticalSpacing w:val="156"/>
  <w:displayHorizontalDrawingGridEvery w:val="1"/>
  <w:displayVerticalDrawingGridEvery w:val="1"/>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w="http://schemas.openxmlformats.org/wordprocessingml/2006/main" xmlns:w14="http://schemas.microsoft.com/office/word/2010/wordml" mc:Ignorable="w14">
  <w:docDefaults>
    <w:rPrDefault>
      <w:rPr>
        <w:rFonts w:ascii="Times New Roman" w:cs="Times New Roman" w:eastAsia="宋体" w:hAnsi="Times New Roman"/>
      </w:rPr>
    </w:rPrDefault>
    <w:pPrDefault>
      <w:pPr/>
    </w:pPrDefault>
  </w:docDefaults>
  <w:style w:type="paragraph" w:default="1" w:styleId="style0">
    <w:name w:val="Normal"/>
    <w:next w:val="style78"/>
    <w:qFormat/>
    <w:uiPriority w:val="0"/>
    <w:pPr>
      <w:widowControl w:val="false"/>
      <w:jc w:val="both"/>
    </w:pPr>
    <w:rPr>
      <w:rFonts w:ascii="Times New Roman" w:cs="Times New Roman" w:eastAsia="宋体" w:hAnsi="Times New Roman"/>
      <w:kern w:val="2"/>
      <w:sz w:val="21"/>
      <w:szCs w:val="24"/>
      <w:lang w:val="en-US" w:eastAsia="zh-CN"/>
    </w:rPr>
  </w:style>
  <w:style w:type="character" w:default="1" w:styleId="style65">
    <w:name w:val="Default Paragraph Font"/>
    <w:next w:val="style65"/>
    <w:qFormat/>
    <w:uiPriority w:val="0"/>
  </w:style>
  <w:style w:type="table" w:default="1" w:styleId="style105">
    <w:name w:val="Normal Table"/>
    <w:next w:val="style105"/>
    <w:qFormat/>
    <w:uiPriority w:val="0"/>
    <w:pPr/>
    <w:rPr/>
    <w:tblPr>
      <w:tblCellMar>
        <w:top w:w="0" w:type="dxa"/>
        <w:left w:w="108" w:type="dxa"/>
        <w:bottom w:w="0" w:type="dxa"/>
        <w:right w:w="108" w:type="dxa"/>
      </w:tblCellMar>
    </w:tblPr>
    <w:tcPr>
      <w:tcBorders/>
    </w:tcPr>
  </w:style>
  <w:style w:type="paragraph" w:styleId="style78">
    <w:name w:val="Body Text First Indent 2"/>
    <w:basedOn w:val="style67"/>
    <w:next w:val="style78"/>
    <w:qFormat/>
    <w:uiPriority w:val="0"/>
    <w:pPr>
      <w:spacing w:before="100" w:beforeAutospacing="true" w:after="0"/>
      <w:ind w:left="0" w:firstLine="420" w:firstLineChars="200"/>
    </w:pPr>
    <w:rPr>
      <w:rFonts w:ascii="Calibri" w:hAnsi="Calibri"/>
    </w:rPr>
  </w:style>
  <w:style w:type="paragraph" w:styleId="style67">
    <w:name w:val="Body Text Indent"/>
    <w:basedOn w:val="style0"/>
    <w:next w:val="style67"/>
    <w:qFormat/>
    <w:uiPriority w:val="0"/>
    <w:pPr>
      <w:spacing w:after="120"/>
      <w:ind w:left="420" w:leftChars="200"/>
    </w:pPr>
    <w:rPr>
      <w:rFonts w:cs="Times New Roman" w:eastAsia="宋体"/>
    </w:rPr>
  </w:style>
  <w:style w:type="paragraph" w:styleId="style66">
    <w:name w:val="Body Text"/>
    <w:basedOn w:val="style0"/>
    <w:next w:val="style23"/>
    <w:qFormat/>
    <w:uiPriority w:val="99"/>
    <w:pPr>
      <w:spacing w:after="120"/>
    </w:pPr>
    <w:rPr/>
  </w:style>
  <w:style w:type="paragraph" w:styleId="style23">
    <w:name w:val="toc 5"/>
    <w:basedOn w:val="style0"/>
    <w:next w:val="style0"/>
    <w:qFormat/>
    <w:uiPriority w:val="99"/>
    <w:pPr>
      <w:ind w:left="1680" w:leftChars="800"/>
    </w:pPr>
    <w:rPr/>
  </w:style>
  <w:style w:type="paragraph" w:styleId="style32">
    <w:name w:val="footer"/>
    <w:basedOn w:val="style0"/>
    <w:next w:val="style32"/>
    <w:qFormat/>
    <w:uiPriority w:val="0"/>
    <w:pPr>
      <w:tabs>
        <w:tab w:val="center" w:leader="none" w:pos="4153"/>
        <w:tab w:val="right" w:leader="none" w:pos="8306"/>
      </w:tabs>
      <w:snapToGrid w:val="false"/>
      <w:jc w:val="left"/>
    </w:pPr>
    <w:rPr>
      <w:kern w:val="0"/>
      <w:sz w:val="18"/>
      <w:szCs w:val="18"/>
    </w:rPr>
  </w:style>
  <w:style w:type="character" w:customStyle="1" w:styleId="style4097">
    <w:name w:val="page number_08a34334-363a-4c05-b109-91be08c678b0"/>
    <w:next w:val="style4097"/>
    <w:qFormat/>
    <w:uiPriority w:val="0"/>
  </w:style>
  <w:style w:type="paragraph" w:customStyle="1" w:styleId="style4098">
    <w:name w:val="正文-公1"/>
    <w:basedOn w:val="style0"/>
    <w:next w:val="style4098"/>
    <w:qFormat/>
    <w:uiPriority w:val="0"/>
    <w:pPr>
      <w:ind w:firstLine="200" w:firstLineChars="200"/>
    </w:pPr>
    <w:rPr>
      <w:color w:val="000000"/>
    </w:rPr>
  </w:style>
  <w:style w:type="character" w:customStyle="1" w:styleId="style4099">
    <w:name w:val="二级标题 Char"/>
    <w:next w:val="style4099"/>
    <w:link w:val="style4100"/>
    <w:qFormat/>
    <w:uiPriority w:val="0"/>
    <w:rPr>
      <w:rFonts w:ascii="黑体" w:cs="Times New Roman" w:eastAsia="楷体_GB2312" w:hAnsi="Calibri"/>
      <w:b/>
      <w:kern w:val="2"/>
      <w:sz w:val="32"/>
      <w:szCs w:val="22"/>
      <w:lang w:val="en-US" w:bidi="ar-SA" w:eastAsia="zh-CN"/>
    </w:rPr>
  </w:style>
  <w:style w:type="paragraph" w:customStyle="1" w:styleId="style4100">
    <w:name w:val="二级标题"/>
    <w:next w:val="style0"/>
    <w:link w:val="style4099"/>
    <w:qFormat/>
    <w:uiPriority w:val="0"/>
    <w:pPr>
      <w:spacing w:lineRule="exact" w:line="600"/>
      <w:jc w:val="both"/>
    </w:pPr>
    <w:rPr>
      <w:rFonts w:ascii="黑体" w:cs="Times New Roman" w:eastAsia="楷体_GB2312" w:hAnsi="Calibri"/>
      <w:b/>
      <w:kern w:val="2"/>
      <w:sz w:val="32"/>
      <w:szCs w:val="22"/>
      <w:lang w:val="en-US" w:bidi="ar-SA" w:eastAsia="zh-CN"/>
    </w:rPr>
  </w:style>
</w:styles>
</file>

<file path=word/_rels/document.xml.rels><?xml version="1.0" encoding="UTF-8"?>
<Relationships xmlns="http://schemas.openxmlformats.org/package/2006/relationships"><Relationship Id="rId1" Type="http://schemas.openxmlformats.org/officeDocument/2006/relationships/numbering" Target="numbering.xml"/><Relationship Id="rId2" Type="http://schemas.openxmlformats.org/officeDocument/2006/relationships/footer" Target="footer1.xml"/><Relationship Id="rId3" Type="http://schemas.openxmlformats.org/officeDocument/2006/relationships/footer" Target="footer2.xml"/><Relationship Id="rId4" Type="http://schemas.openxmlformats.org/officeDocument/2006/relationships/styles" Target="styles.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Relationship Id="rId8"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Words>6459</Words>
  <Pages>14</Pages>
  <Characters>6957</Characters>
  <Application>WPS Office</Application>
  <DocSecurity>0</DocSecurity>
  <Paragraphs>685</Paragraphs>
  <ScaleCrop>false</ScaleCrop>
  <LinksUpToDate>false</LinksUpToDate>
  <CharactersWithSpaces>7440</CharactersWithSpaces>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2023-06-27T01:00:00Z</dcterms:created>
  <dc:creator>Administrator</dc:creator>
  <lastModifiedBy>ELE-AL00</lastModifiedBy>
  <dcterms:modified xsi:type="dcterms:W3CDTF">2023-07-24T05:09:36Z</dcterms:modified>
  <revision>1</revision>
</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E88F3B924588447BA78D8E320F4908B7_11</vt:lpwstr>
  </property>
</Properties>
</file>