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岳阳市君山区农业农村局</w:t>
      </w:r>
    </w:p>
    <w:p>
      <w:pPr>
        <w:spacing w:before="156"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144001</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135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熊劼</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0730-8178793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widowControl w:val="0"/>
              <w:autoSpaceDN w:val="0"/>
              <w:spacing w:after="0" w:line="58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区农业农村局主要承担承担着全区种植业、养殖业、农业产业化、乡镇企</w:t>
            </w:r>
            <w:bookmarkStart w:id="1" w:name="_GoBack"/>
            <w:bookmarkEnd w:id="1"/>
            <w:r>
              <w:rPr>
                <w:rFonts w:hint="eastAsia" w:ascii="仿宋_GB2312" w:hAnsi="仿宋_GB2312" w:eastAsia="仿宋_GB2312" w:cs="仿宋_GB2312"/>
                <w:color w:val="000000"/>
                <w:sz w:val="24"/>
              </w:rPr>
              <w:t>业、农机监管和农村生态能源建设、管理农业科技，促进农业发展等有关管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理职责。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任务1：积极推进美丽乡村和农村环境整治工作                                 任务2：农产品质量安全监管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任务3：提高农业生产基础设施水平，稳定发展粮食生产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任务4：持续推进禁捕退捕工作任务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w:t>
            </w:r>
            <w:r>
              <w:rPr>
                <w:rFonts w:hint="eastAsia" w:ascii="仿宋_GB2312" w:hAnsi="仿宋_GB2312" w:eastAsia="仿宋_GB2312" w:cs="仿宋_GB2312"/>
                <w:color w:val="000000"/>
                <w:sz w:val="24"/>
              </w:rPr>
              <w:t xml:space="preserve">巩固“两不愁三保障”成果情况                                     </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w:t>
            </w:r>
            <w:r>
              <w:rPr>
                <w:rFonts w:hint="eastAsia" w:ascii="仿宋_GB2312" w:hAnsi="仿宋_GB2312" w:eastAsia="仿宋_GB2312" w:cs="仿宋_GB2312"/>
                <w:color w:val="000000"/>
                <w:sz w:val="24"/>
              </w:rPr>
              <w:t>农业机械管理</w:t>
            </w:r>
          </w:p>
          <w:p>
            <w:pPr>
              <w:pStyle w:val="2"/>
              <w:ind w:left="0" w:leftChars="0" w:firstLine="0" w:firstLineChars="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任务7：</w:t>
            </w:r>
            <w:r>
              <w:rPr>
                <w:rFonts w:hint="eastAsia" w:ascii="仿宋_GB2312" w:hAnsi="仿宋_GB2312" w:eastAsia="仿宋_GB2312" w:cs="仿宋_GB2312"/>
                <w:color w:val="000000"/>
                <w:sz w:val="24"/>
              </w:rPr>
              <w:t>完成省级下达的棉花区试试种任务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keepNext w:val="0"/>
              <w:keepLines w:val="0"/>
              <w:pageBreakBefore w:val="0"/>
              <w:widowControl w:val="0"/>
              <w:kinsoku/>
              <w:wordWrap/>
              <w:overflowPunct/>
              <w:topLinePunct w:val="0"/>
              <w:autoSpaceDE/>
              <w:autoSpaceDN w:val="0"/>
              <w:bidi w:val="0"/>
              <w:adjustRightInd w:val="0"/>
              <w:snapToGrid/>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val="0"/>
              <w:bidi w:val="0"/>
              <w:adjustRightInd w:val="0"/>
              <w:snapToGrid/>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val="0"/>
              <w:bidi w:val="0"/>
              <w:adjustRightInd w:val="0"/>
              <w:snapToGrid/>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2022年，</w:t>
            </w:r>
            <w:r>
              <w:rPr>
                <w:rFonts w:hint="eastAsia" w:ascii="仿宋_GB2312" w:hAnsi="仿宋_GB2312" w:eastAsia="仿宋_GB2312" w:cs="仿宋_GB2312"/>
                <w:color w:val="000000"/>
                <w:sz w:val="24"/>
                <w:lang w:eastAsia="zh-CN"/>
              </w:rPr>
              <w:t>在区委区政府的坚强领导下，有效应对疫情和旱灾影响，农业农村工作稳中加固、稳中向好：稳定粮食生产</w:t>
            </w:r>
            <w:r>
              <w:rPr>
                <w:rFonts w:hint="eastAsia" w:ascii="仿宋_GB2312" w:hAnsi="仿宋_GB2312" w:eastAsia="仿宋_GB2312" w:cs="仿宋_GB2312"/>
                <w:color w:val="000000"/>
                <w:sz w:val="24"/>
                <w:lang w:val="en-US" w:eastAsia="zh-CN"/>
              </w:rPr>
              <w:t>，粮食综合产能不断提升；</w:t>
            </w:r>
            <w:r>
              <w:rPr>
                <w:rFonts w:hint="eastAsia" w:ascii="仿宋_GB2312" w:hAnsi="仿宋_GB2312" w:eastAsia="仿宋_GB2312" w:cs="仿宋_GB2312"/>
                <w:color w:val="000000"/>
                <w:sz w:val="24"/>
                <w:lang w:eastAsia="zh-CN"/>
              </w:rPr>
              <w:t>守住了不发生规模性返贫的底线；禁捕退捕</w:t>
            </w:r>
            <w:r>
              <w:rPr>
                <w:rFonts w:hint="eastAsia" w:ascii="仿宋_GB2312" w:hAnsi="仿宋_GB2312" w:eastAsia="仿宋_GB2312" w:cs="仿宋_GB2312"/>
                <w:color w:val="000000"/>
                <w:sz w:val="24"/>
                <w:lang w:val="en-US" w:eastAsia="zh-CN"/>
              </w:rPr>
              <w:t>典型做法被主流媒体</w:t>
            </w:r>
            <w:r>
              <w:rPr>
                <w:rFonts w:hint="eastAsia" w:ascii="仿宋_GB2312" w:hAnsi="仿宋_GB2312" w:eastAsia="仿宋_GB2312" w:cs="仿宋_GB2312"/>
                <w:color w:val="000000"/>
                <w:sz w:val="24"/>
                <w:lang w:eastAsia="zh-CN"/>
              </w:rPr>
              <w:t>重磅推介；</w:t>
            </w:r>
            <w:r>
              <w:rPr>
                <w:rFonts w:hint="eastAsia" w:ascii="仿宋_GB2312" w:hAnsi="仿宋_GB2312" w:eastAsia="仿宋_GB2312" w:cs="仿宋_GB2312"/>
                <w:color w:val="000000"/>
                <w:sz w:val="24"/>
                <w:lang w:val="en-US" w:eastAsia="zh-CN"/>
              </w:rPr>
              <w:t>8个涉农</w:t>
            </w:r>
            <w:r>
              <w:rPr>
                <w:rFonts w:hint="eastAsia" w:ascii="仿宋_GB2312" w:hAnsi="仿宋_GB2312" w:eastAsia="仿宋_GB2312" w:cs="仿宋_GB2312"/>
                <w:color w:val="000000"/>
                <w:sz w:val="24"/>
                <w:lang w:eastAsia="zh-CN"/>
              </w:rPr>
              <w:t>生态环境突出问题完成整改销号；保持全区农业农村稳健发展态势，各项工作稳步推进。</w:t>
            </w:r>
          </w:p>
          <w:p>
            <w:pPr>
              <w:ind w:firstLine="640"/>
              <w:jc w:val="both"/>
              <w:rPr>
                <w:rFonts w:hint="default" w:ascii="仿宋_GB2312" w:hAnsi="仿宋_GB2312" w:eastAsia="仿宋_GB2312" w:cs="仿宋_GB2312"/>
                <w:sz w:val="32"/>
                <w:szCs w:val="32"/>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30503.46</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16844.77</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13658.69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23876.50</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10494.79</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13381.72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生态能源服务中心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58.43</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57.10</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农业科学研究所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264.12</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133.26</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4、农业机械服务中心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1731.50</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1596.18</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9"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5、乡村振兴服务中心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4572.91</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4563.44</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26449.95</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1800.9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1145.40</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655.49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24649.05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4053.52</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19862.96</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1294.18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809.51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484.67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18568.78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4013.54</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生态能源服务中心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58.32</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58.32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42.21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16.10</w:t>
            </w:r>
          </w:p>
        </w:tc>
        <w:tc>
          <w:tcPr>
            <w:tcW w:w="1080"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0.12</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农业科学研究所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225.33</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117.99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91.14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107.34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38.79</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4、农业机械服务中心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1730.43</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185.83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132.86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52.97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1544.60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w:t>
            </w: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5、乡村振兴服务中心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4572.91</w:t>
            </w:r>
          </w:p>
        </w:tc>
        <w:tc>
          <w:tcPr>
            <w:tcW w:w="135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144.58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69.68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74.9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4428.33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6"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12.82</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25"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9.24</w:t>
            </w:r>
          </w:p>
        </w:tc>
        <w:tc>
          <w:tcPr>
            <w:tcW w:w="135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7.11</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生态能源服务中心</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农业科学研究所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w:t>
            </w: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4、农业机械服务中心</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5、乡村振兴服务中心</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1877.05</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1877.05</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1806.72</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1806.72</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生态能源服务中心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4.94</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农业科学研究所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17.00</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17.00</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4、农业机械服务中心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34.49</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34.49</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5、乡村振兴服务中心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13.90</w:t>
            </w:r>
          </w:p>
        </w:tc>
        <w:tc>
          <w:tcPr>
            <w:tcW w:w="2435" w:type="dxa"/>
            <w:gridSpan w:val="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13.90</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目标1：积极推进美丽乡村和农村环境整治工作                                 目标2：农产品质量安全监管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目标3：提高农业生产基础设施水平，稳定发展粮食生产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目标4：持续推进禁捕退捕工作任务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 xml:space="preserve">巩固“两不愁三保障”成果情况                                     </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农业机械管理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完成省级下达的棉花区试试种任务</w:t>
            </w:r>
          </w:p>
        </w:tc>
        <w:tc>
          <w:tcPr>
            <w:tcW w:w="4585" w:type="dxa"/>
            <w:gridSpan w:val="9"/>
            <w:noWrap w:val="0"/>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积极推进了美丽乡村和农村环境整治</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农产品质量安全监管、农业机械管理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提高了农业生产基础设施水平</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稳定粮食生产发展</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守住了不发生规模性返贫的底线</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巩固了</w:t>
            </w:r>
            <w:r>
              <w:rPr>
                <w:rFonts w:hint="eastAsia" w:ascii="仿宋_GB2312" w:hAnsi="仿宋_GB2312" w:eastAsia="仿宋_GB2312" w:cs="仿宋_GB2312"/>
                <w:color w:val="000000"/>
                <w:sz w:val="24"/>
              </w:rPr>
              <w:t>“两不愁三保障”成果情况</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完成了省级下达的棉花区试种任务等</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指标3：固定资产利用率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指标1：财政供养人员控制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指标2：三公经费变动率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指标1：资金到位率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指标2：项目执行及时性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26449.95万元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粮食综合产能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不断提升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指标2：改善农田灌溉设施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指标3：美丽乡村建设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指标1：提高农民收入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指标2：降低生产成本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指标1：减少农业生产农药化肥用量</w:t>
            </w:r>
          </w:p>
        </w:tc>
        <w:tc>
          <w:tcPr>
            <w:tcW w:w="2684" w:type="dxa"/>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秸秆禁烧与综合利用</w:t>
            </w:r>
          </w:p>
        </w:tc>
        <w:tc>
          <w:tcPr>
            <w:tcW w:w="2684" w:type="dxa"/>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指标3：减少农村垃圾污染</w:t>
            </w:r>
          </w:p>
        </w:tc>
        <w:tc>
          <w:tcPr>
            <w:tcW w:w="2684" w:type="dxa"/>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339" w:type="dxa"/>
            <w:gridSpan w:val="3"/>
            <w:vMerge w:val="continue"/>
            <w:noWrap w:val="0"/>
            <w:vAlign w:val="center"/>
          </w:tcPr>
          <w:p>
            <w:pPr>
              <w:autoSpaceDN w:val="0"/>
              <w:spacing w:line="320" w:lineRule="exact"/>
              <w:rPr>
                <w:rFonts w:ascii="仿宋_GB2312" w:hAnsi="仿宋_GB2312" w:eastAsia="仿宋_GB2312" w:cs="仿宋_GB2312"/>
                <w:sz w:val="24"/>
              </w:rPr>
            </w:pPr>
          </w:p>
        </w:tc>
        <w:tc>
          <w:tcPr>
            <w:tcW w:w="162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textAlignment w:val="center"/>
              <w:rPr>
                <w:rFonts w:hint="eastAsia" w:ascii="Times New Roman" w:hAnsi="Times New Roman" w:eastAsia="仿宋_GB2312" w:cs="Times New Roman"/>
                <w:kern w:val="2"/>
                <w:sz w:val="21"/>
                <w:szCs w:val="21"/>
                <w:lang w:val="en-US" w:eastAsia="zh-CN"/>
              </w:rPr>
            </w:pPr>
            <w:r>
              <w:rPr>
                <w:rFonts w:hint="eastAsia" w:ascii="仿宋_GB2312" w:hAnsi="仿宋_GB2312" w:eastAsia="仿宋_GB2312" w:cs="仿宋_GB2312"/>
                <w:color w:val="000000"/>
                <w:sz w:val="24"/>
              </w:rPr>
              <w:t>指标1：社会满意度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rPr>
            </w:pP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8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2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8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2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黄正洲</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党委书记、局长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高建新</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分管财务副局长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方  兰</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发展计划财务股股长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曹红林</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种植业管理股股长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胡辉平</w:t>
            </w:r>
          </w:p>
        </w:tc>
        <w:tc>
          <w:tcPr>
            <w:tcW w:w="3561" w:type="dxa"/>
            <w:gridSpan w:val="5"/>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农业资源保护与利用股股长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区农业农村局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70" w:lineRule="atLeast"/>
              <w:ind w:firstLine="560" w:firstLineChars="200"/>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岳阳市君山区农业农村局是区人民政府工作部门，为正科级。区委农村工作领导小组办公室（以下简称区委农办）设在区农业农村局，接受区委农村工作领导小组的直接领导，承担区委农村工作领导小组具体工作。区农业农村局的内设机构根据工作需要承担区委农村工作领导小组办公室相关工作，接受区委农村工作领导小组办公室的统筹协调。内设机构：办公室（党建办、区委农办秘书室、行政审批股）；乡村振兴局；政策法规股（农机管理股、加挂定点屠宰管理办公室牌子）；发展规划和计划财务股；农村社会事业促进股（乡村产业发展股）；农业资源保护与利用股（农业投资与农田建设股）；农产品质量安全监管股（市场信息化股）；种植业管理股（科技教育和农药管理股）；畜牧兽医和渔业渔政管理股。所属事业单位分别是：区农业机械服务中心、区生态能源服务中心、区乡村振兴服务中心、区动物卫生监督所、区农业科学研究所、区渔政管理站、区农产品质量安全检验检测站、区农业技术推广中心、区植保植检站、区农业综合行政执法大队、区农业农村局财务结算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2.主要职能：</w:t>
            </w:r>
          </w:p>
          <w:p>
            <w:pPr>
              <w:ind w:firstLine="560" w:firstLineChars="200"/>
              <w:jc w:val="both"/>
              <w:rPr>
                <w:rFonts w:hint="eastAsia" w:ascii="仿宋_GB2312" w:hAnsi="仿宋_GB2312" w:eastAsia="仿宋_GB2312" w:cs="仿宋_GB2312"/>
                <w:bCs/>
                <w:kern w:val="2"/>
                <w:sz w:val="28"/>
                <w:szCs w:val="28"/>
                <w:lang w:val="en-US" w:eastAsia="zh-CN" w:bidi="ar"/>
              </w:rPr>
            </w:pPr>
            <w:bookmarkStart w:id="0" w:name="FUNCRESP"/>
            <w:r>
              <w:rPr>
                <w:rFonts w:hint="eastAsia" w:ascii="仿宋_GB2312" w:hAnsi="仿宋_GB2312" w:eastAsia="仿宋_GB2312" w:cs="仿宋_GB2312"/>
                <w:bCs/>
                <w:kern w:val="2"/>
                <w:sz w:val="28"/>
                <w:szCs w:val="28"/>
                <w:lang w:val="en-US" w:eastAsia="zh-CN" w:bidi="ar"/>
              </w:rPr>
              <w:t>（1）统筹研究和组织实施“三农”工作的发展中长期规划、重大政策；组织起草农业农村有关规范性文件，指导农业综合执法；参与涉农的财税、价格、收储、金融保险、进出口等政策制定。</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（2）统筹推动发展农村社会事业、农村公共服务、农村文化、农村基础设施和乡村治理；牵头组织改善农村人居环境；指导农村精神文明和优秀农耕文化建设。指导农业行业安全生产工作。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4）负责种植业、畜牧业、渔业、农垦、农业机械化等农业各产业的监督管理；指导粮食、油料、畜禽、水产等农产品生产；组织构建现代农业产业体系、生产体系、经营体系，指导农业标准化生产；负责渔政渔港监督管理。</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5）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（6）指导农产品产地环境管理和农业清洁生产；指导设施农业、生态循环农业、节水农业发展以及农村可再生能源综合开发利用、农业生物质产业发展；牵头管理外来物种；配合做好农业资源区划工作。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7）负责有关农业生产资料和农业投入品的监督管理。配合做好农业生产资料市场体系建设；贯彻执行农业生产资料、兽药质量、兽药残留限量和残留检测方法国家标准并监督实施；组织兽医医政、兽药药政药检工作，负责执业兽医和畜禽屠宰行业管理。</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（8）负责农业防灾减灾、农作物重大病虫害防治工作。指导动植物防疫检疫体系建设，负责动植物防疫检疫工作，发布疫情并组织扑灭；配合有关部门制定血吸虫病防治工作计划并组织实施。</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（9）负责农业投资管理。编制农业投资项目建设规划，提出农业投资规模和方向、扶持农业农村发展财政项目的建设，按规定权限审批农业投资项目，负责农业投资项目资金安排和监督管理。</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10）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（11）指导农业农村人才工作。拟订农业农村人才队伍建设规划并组织实施，指导农业教育和农业职业技能开发，指导新型职业农民培育、农业科技人才培养和农村实用人才培训工作。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（12）负责全区巩固拓展脱贫攻坚成果同乡村振兴有效衔接工作。</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（13）完成区委、区政府交办的其他任务。</w:t>
            </w:r>
          </w:p>
          <w:p>
            <w:pPr>
              <w:ind w:firstLine="560" w:firstLineChars="20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（14）职能转变。</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统筹实施乡村振兴战略，深化农业供给侧结构性改革，提升农业发展质量，牵头组织农村人居环境整治工作，扎实推进美丽乡村建设，推动农业全面升级、农村全面进步、农民全面发展，加快实现农业农村现代化。</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2.加强农产品质量安全和相关农业生产资料、农业投入品的监督管理，坚持最严谨的标准、最严格的监管、最严厉的处罚、最严肃的问责，严防、严管、严控质量安全风险，让人民群众吃得放心、安心。</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深入推进简政放权，加强对行业内交叉重复以及性质相同、用途相近的农业投资项目的统筹整合，最大限度缩小项目审批范围，进一步下放审批权限，加强事中事后监管，切实提升国家支农政策效果和资金使用效益。</w:t>
            </w:r>
            <w:bookmarkEnd w:id="0"/>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农业农村局整体支出共计26449.95万元，其中基本支出1800.90万元，项目支出24649.05万元，主要包括农田建设专项，农业生产发展专项，巩固脱贫衔接乡村振兴专项，农业资源保护修复与利用专项，棉花目标价格补贴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农业农村局系统基本支出共计1800.90万元，主要用于人员支出1145.39万元，主要包括基本工资170.62万元，津补贴60.48万元，奖金133.38万元，绩效工资108.62万元，机关基本养老保险104.33万元，职业年金缴费15.76万元，基本医疗保险48.62万元，住房公积金162.44万元，退休费102.27万元等；公用支出655.18万元，主要包括办公费25.23万元，印刷费39.42万元，咨询费9.50万元，水电费17.18万元，差旅费4.50万元，维修费15.41万元，培训费1.19万元，公务接待费2.13万元，专用材料费5.57万元，劳务费196.08万元，委托业务费132.02万元，工会经费46.33万元，公务用车运行维护费10.69万元，其他交通费20.81万元等。公用支出中“三公”经费合计12.82万元，其中公务接待费2.13万元，公务用车运行维护10.69万元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各级财政安排农业农村局专项资金共24649.05万元。其中：农田建设专项1842.96万元，农业生产发展专项1388.66万元，巩固脱贫衔接乡村振兴专项5809.60万元，农业资源保护修复与利用专项557.97万元，棉花目标价格补贴502.94万元，其他专项14546.93万元。</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各专项资金使用情况及拨付情况较为及时，其中早稻集中育秧补贴、耕地地力保护补贴、棉花目标价格补贴、农机购置补贴等补给资金全部由财政及时打卡发放。</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为规范专项资金使用，提高专项资金使用效益，区农业农村局主要采取五项措施。一是制订专项资金管理制度；二是建立专账管理专项资金；三是制订了项目实施方案；四是认真组织项目验收；五是专款专用。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成立区农业农村局管理小组，由局长任组长、区纪委派驻农业农村局纪检组长、机关党风廉政分管领导、财务分管领导、项目相应股室分管领导任副组长，财务股长、机关党风廉政专干、项目相应股站长为组员。所有专项资金使用前都制订了详细的实施方案，同时健全了项目资金管理、工程招标管理、政府采购管理、工程质量监理管理等各种管理制度。要求各相关责任人严格按照项目实施方案和相关制度实施项目。</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成立工作领导小组。由局机关一名副职牵头，相关股室具体负责项目实施。重大项目则由区主要领导牵头组织项目实施，相关部门参与项目重大事项决策，项目乡镇安排一名主要领导负责项目实施的协调工作。</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强化责任。所有专项资金使用前都制订了详细的实施方案，同时健全了项目资金管理、工程招标管理、政府采购管理、工程质量监理管理等各种管理制度。要求各相关责任人严格按照项目实施方案和相关制度实施项目。</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3、强化监督，依法依规实施项目。项目的货物采购都由区采购办统一采购，财政部门直接支付货物资金。项目实施过程中及完工后，农业农村局都邀请区财政、发改等部门进行检查验收，所有项目完工后，都由区审计局对项目资金使用情况进行审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2022年，在区委区政府的坚强领导下，有效应对疫情和旱灾影响，农业农村工作稳中加固、稳中向好：</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一是稳定粮食生产。落实区委区政府粮食生产十二条“硬措施”，对标粮食面积39.44万亩、总产14.68万吨“硬任务”，新增水稻集中育苗大棚6000平方米、实现早稻集中育秧全覆盖，推广机插机抛面积1.5万亩，扩种玉米大豆带状种植0.7万亩、旱粮2万亩，新建高标准农田2.1万亩、全区粮食播种面积45.274万亩，总产19.85万吨，粮食综合产能不断提升。</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二是防止规模返贫。认真开展防返贫监测，防返贫集中排查，及时处置预警信息累计2146条，巩固拓展现有11个省级脱贫村，2410户5980人脱贫人口的脱贫成效；针对重点群体，聚焦“5种情形”，排查农户3.59万户12.17万人，新纳入监测对象263户631人。强化针对性帮扶，开发乡村公益岗位807个，脱贫人口务工规模2399人、比去年增加99人；落实“四跟四走”产业帮扶1502户、资金153.3万元。全区脱贫人口人均纯收入增幅14.8%，守住了不发生规模性返贫的底线。</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三是发展乡村产业。棉花种植面积4.48万亩，认定为2022年全省产棉大县；新增省级标杆龙头企业1家（国泰）、百企培育工程2家（口水娃、乡村田园）、省级现代农业特色产业园2个（江南农科、康亿黄茶），创建1家省级全程机械化综合农事服务中心（福农农机）、1家省级现代农机合作社（青云农机）。“君山小虾”认定为全省“一县一特”精品农业品牌，“洞庭湖边咸鸭蛋黄”获评中部农博会金奖。申报农业产业化省级龙头企业2家（大农米业、新洺瀚）、市级5家（茂祺食品、中孚农构生物科技、天井山茶叶合作社、旺君龙水产、兴百味食品）。</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line="600" w:lineRule="exact"/>
              <w:ind w:leftChars="0" w:firstLine="560" w:firstLineChars="200"/>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四是推进禁捕退捕。对标省政府真抓实干督查激励措施，强化领导小组统筹、牵头部门协调、成员单位联动的禁捕退捕工作机制，构建河（湖）长主导、属地管理、部门督促、公安配合、社会参与的专管群护的管控体系。全区核实标识留用船舶5525艘，落实动态监管。开展联合执法专项整治行动6次，出动执法人员1126人次，执法车辆325台次、执法艇130次，抓获违法人员8人，办案10起、立刑案4起；劝止驱散垂钓人员1100余人，警告谈话50人次，依法暂扣、没收违规钓具1130杆套。在洞庭湖水域实施增殖放流鱼苗400万尾，竖立禁渔警示牌40多块，发放宣传资料1万余份，印发政策宣传手册8000份，悬挂宣传横幅80余条，媒体宣传12次，特别是我区禁捕退捕典型做法，分别在今年元月8日、8月15日、9月15日中央新闻频道重磅推介，9月30日《人民日报》整版特别报道。</w:t>
            </w:r>
          </w:p>
          <w:p>
            <w:pPr>
              <w:ind w:firstLine="640"/>
              <w:jc w:val="both"/>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五是加强乡村治理。按照农村人居环境整治提升实施意见，认真开展“一月一考核、一季一讲评”督查考核，全区农村垃圾及时清理、人居环境持续改善、村容村貌不断提升，申报市级美丽乡村2个（柳林上反嘴村、广兴洲洪市村）、美丽屋场2个（钱粮湖观音村移民屋场、广兴洲黄安村同心屋场），完成省市美丽乡村创建任务。按时完成年度1000个农村户厕改建任务，改（新）建公厕14座，排查整改厕所问题138个；秸秆禁烧力度空前，有效规避省市约谈问责；8个涉农生态环境突出问题完成整改销号（农业面源污染，化肥减量，养殖池塘生态化改造，农村改厕、污染耕地安全利用，秸秆禁烧与综合利用，农业废弃物回收，1.5万亩绿肥种植）。</w:t>
            </w:r>
          </w:p>
          <w:p>
            <w:pPr>
              <w:ind w:firstLine="640"/>
              <w:jc w:val="both"/>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六是应对风险挑战。有效应对“3.15”酸菜事件，协调大田芥菜收购，落实“土窖”挂牌管理，完成2万亩芥菜种植任务，国泰企业打造成芥菜产业的省级标杆龙头企业。面对有史以来最严重的旱灾，组成5个指导组，深入村组、田头加强技术指导，针对性开展技术指导、灾情调度、保险理赔，统筹资金300多万元，打井146处，保灌面积8.3万亩，落实集中育苗面积3650亩，可移栽大田9.5万亩，最大限度减轻灾害损失，确保秋冬种生产不误农时、赢得主动。10月20日，全市2022年秋冬种生产现场推进会在君山举行，我区作典型发言。</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Cs/>
                <w:kern w:val="2"/>
                <w:sz w:val="28"/>
                <w:szCs w:val="28"/>
                <w:lang w:val="en-US" w:eastAsia="zh-CN" w:bidi="ar"/>
              </w:rPr>
              <w:t>七是奋力争资争先。2022年已到位项目资金2.44亿元、比上年增加4400万元；积极配合对接深圳万雨、中联农科，有力有序推进食用菌产业、智慧农场项目建设。同时，我区创建“2022年全国县域农业农村信息化发展先进县”已通过省级评审，争创“省政府真抓实干督促激励（十年禁渔）正有序推进，乡村振兴、高标准农田建设、“六大强农”、数字乡村等重点工作，努力在全市争先进位。</w:t>
            </w:r>
          </w:p>
          <w:p>
            <w:pPr>
              <w:pStyle w:val="2"/>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1、预算编制有待更严格执行。有的项目的预算编制与实际支出存在差异，专项支出有待进一步加强。</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pPr>
            <w:r>
              <w:rPr>
                <w:rFonts w:hint="eastAsia" w:ascii="仿宋_GB2312" w:hAnsi="仿宋_GB2312" w:eastAsia="仿宋_GB2312" w:cs="仿宋_GB2312"/>
                <w:bCs/>
                <w:kern w:val="2"/>
                <w:sz w:val="28"/>
                <w:szCs w:val="28"/>
                <w:lang w:val="en-US" w:eastAsia="zh-CN" w:bidi="ar"/>
              </w:rPr>
              <w:t>2、绩效管理理念有待进一步增强。虽然预算单位对绩效的理念有了一定的了解，但长期以来形成的“重安排，轻监督；重使用，轻绩效”的思想短期内还存在，认为只要资金使用合法合规就行，不重视预算的绩效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1、增强预算绩效管理意识。将绩效管理融入预算管理全过程，构建事前、事中、事后的预算绩效管理闭环系统。</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2、完善预算绩效管理制度。建立健全预算绩效管理制度，完善预算绩效管理体系，提高绩效评价结果的客观性和准确性，将绩效评价结果应用于预算编制。</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eastAsia="楷体_GB2312"/>
                <w:bCs/>
                <w:sz w:val="28"/>
                <w:szCs w:val="28"/>
              </w:rPr>
            </w:pPr>
            <w:r>
              <w:rPr>
                <w:rFonts w:hint="eastAsia" w:ascii="仿宋_GB2312" w:hAnsi="仿宋_GB2312" w:eastAsia="仿宋_GB2312" w:cs="仿宋_GB2312"/>
                <w:bCs/>
                <w:kern w:val="2"/>
                <w:sz w:val="28"/>
                <w:szCs w:val="28"/>
                <w:lang w:val="en-US" w:eastAsia="zh-CN" w:bidi="ar"/>
              </w:rPr>
              <w:t>3、按照预算规定的项目和用途严格财务审计，经费支出严格按预算规定项目的财务支出内容进行财务预算，在预算金额内严格控制费用的支出。</w:t>
            </w:r>
          </w:p>
        </w:tc>
      </w:tr>
    </w:tbl>
    <w:p/>
    <w:p>
      <w:pPr>
        <w:pStyle w:val="2"/>
      </w:pPr>
    </w:p>
    <w:p>
      <w:pPr>
        <w:pStyle w:val="2"/>
      </w:pPr>
    </w:p>
    <w:p>
      <w:pPr>
        <w:pStyle w:val="2"/>
      </w:pPr>
    </w:p>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10"/>
        <w:tblW w:w="9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649"/>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49"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有预算追加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项目完工未结算产生资金结余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5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9"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5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2"/>
                            </w:rPr>
                          </w:pPr>
                          <w:r>
                            <w:rPr>
                              <w:rStyle w:val="12"/>
                              <w:rFonts w:hint="eastAsia"/>
                            </w:rPr>
                            <w:t xml:space="preserve">— </w:t>
                          </w:r>
                          <w:r>
                            <w:fldChar w:fldCharType="begin"/>
                          </w:r>
                          <w:r>
                            <w:rPr>
                              <w:rStyle w:val="12"/>
                            </w:rPr>
                            <w:instrText xml:space="preserve">PAGE  </w:instrText>
                          </w:r>
                          <w:r>
                            <w:fldChar w:fldCharType="separate"/>
                          </w:r>
                          <w:r>
                            <w:rPr>
                              <w:rStyle w:val="12"/>
                            </w:rPr>
                            <w:t>4</w:t>
                          </w:r>
                          <w:r>
                            <w:fldChar w:fldCharType="end"/>
                          </w:r>
                          <w:r>
                            <w:rPr>
                              <w:rStyle w:val="12"/>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7"/>
                      <w:rPr>
                        <w:rStyle w:val="12"/>
                      </w:rPr>
                    </w:pPr>
                    <w:r>
                      <w:rPr>
                        <w:rStyle w:val="12"/>
                        <w:rFonts w:hint="eastAsia"/>
                      </w:rPr>
                      <w:t xml:space="preserve">— </w:t>
                    </w:r>
                    <w:r>
                      <w:fldChar w:fldCharType="begin"/>
                    </w:r>
                    <w:r>
                      <w:rPr>
                        <w:rStyle w:val="12"/>
                      </w:rPr>
                      <w:instrText xml:space="preserve">PAGE  </w:instrText>
                    </w:r>
                    <w:r>
                      <w:fldChar w:fldCharType="separate"/>
                    </w:r>
                    <w:r>
                      <w:rPr>
                        <w:rStyle w:val="12"/>
                      </w:rPr>
                      <w:t>4</w:t>
                    </w:r>
                    <w:r>
                      <w:fldChar w:fldCharType="end"/>
                    </w:r>
                    <w:r>
                      <w:rPr>
                        <w:rStyle w:val="12"/>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F2CD3"/>
    <w:multiLevelType w:val="singleLevel"/>
    <w:tmpl w:val="BA9F2CD3"/>
    <w:lvl w:ilvl="0" w:tentative="0">
      <w:start w:val="5"/>
      <w:numFmt w:val="chineseCounting"/>
      <w:suff w:val="nothing"/>
      <w:lvlText w:val="%1、"/>
      <w:lvlJc w:val="left"/>
      <w:rPr>
        <w:rFonts w:hint="eastAsia"/>
      </w:rPr>
    </w:lvl>
  </w:abstractNum>
  <w:abstractNum w:abstractNumId="1">
    <w:nsid w:val="E138D7E2"/>
    <w:multiLevelType w:val="singleLevel"/>
    <w:tmpl w:val="E138D7E2"/>
    <w:lvl w:ilvl="0" w:tentative="0">
      <w:start w:val="2"/>
      <w:numFmt w:val="chineseCounting"/>
      <w:suff w:val="nothing"/>
      <w:lvlText w:val="（%1）"/>
      <w:lvlJc w:val="left"/>
      <w:rPr>
        <w:rFonts w:hint="eastAsia"/>
      </w:rPr>
    </w:lvl>
  </w:abstractNum>
  <w:abstractNum w:abstractNumId="2">
    <w:nsid w:val="148FF970"/>
    <w:multiLevelType w:val="singleLevel"/>
    <w:tmpl w:val="148FF970"/>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GVmOWRjMWM1NmYyNjhiZGY0MjE0MmZlNjMzYTcifQ=="/>
  </w:docVars>
  <w:rsids>
    <w:rsidRoot w:val="5ADE3A10"/>
    <w:rsid w:val="04BC1856"/>
    <w:rsid w:val="04FF2195"/>
    <w:rsid w:val="06A0572A"/>
    <w:rsid w:val="06AD1E27"/>
    <w:rsid w:val="0DD86D26"/>
    <w:rsid w:val="130B554D"/>
    <w:rsid w:val="17012110"/>
    <w:rsid w:val="1D9E2CAB"/>
    <w:rsid w:val="1E843671"/>
    <w:rsid w:val="277261C7"/>
    <w:rsid w:val="29195CAD"/>
    <w:rsid w:val="2A0F6206"/>
    <w:rsid w:val="2CE02C8D"/>
    <w:rsid w:val="340E7A8F"/>
    <w:rsid w:val="3D513183"/>
    <w:rsid w:val="3DFD1951"/>
    <w:rsid w:val="3E4719FC"/>
    <w:rsid w:val="44F7490B"/>
    <w:rsid w:val="47254FC3"/>
    <w:rsid w:val="4E0B73AD"/>
    <w:rsid w:val="4F9475EA"/>
    <w:rsid w:val="551038D5"/>
    <w:rsid w:val="56BF1A61"/>
    <w:rsid w:val="570C29CC"/>
    <w:rsid w:val="5ADE3A10"/>
    <w:rsid w:val="5B1E1AE3"/>
    <w:rsid w:val="5C4904AD"/>
    <w:rsid w:val="60E94201"/>
    <w:rsid w:val="62C17904"/>
    <w:rsid w:val="64EB74E6"/>
    <w:rsid w:val="70D64C91"/>
    <w:rsid w:val="72F10D84"/>
    <w:rsid w:val="73300051"/>
    <w:rsid w:val="733810A5"/>
    <w:rsid w:val="76C415FC"/>
    <w:rsid w:val="7AEC00ED"/>
    <w:rsid w:val="7B195978"/>
    <w:rsid w:val="7DA938C8"/>
    <w:rsid w:val="7DBA0E68"/>
    <w:rsid w:val="7DE7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spacing w:after="0"/>
      <w:ind w:firstLine="200" w:firstLineChars="200"/>
    </w:pPr>
    <w:rPr>
      <w:sz w:val="24"/>
    </w:rPr>
  </w:style>
  <w:style w:type="paragraph" w:styleId="3">
    <w:name w:val="Body Text"/>
    <w:basedOn w:val="1"/>
    <w:next w:val="4"/>
    <w:autoRedefine/>
    <w:unhideWhenUsed/>
    <w:qFormat/>
    <w:uiPriority w:val="99"/>
    <w:pPr>
      <w:spacing w:after="120"/>
    </w:pPr>
  </w:style>
  <w:style w:type="paragraph" w:styleId="4">
    <w:name w:val="toc 5"/>
    <w:basedOn w:val="1"/>
    <w:next w:val="1"/>
    <w:autoRedefine/>
    <w:qFormat/>
    <w:uiPriority w:val="0"/>
    <w:pPr>
      <w:ind w:left="1680" w:leftChars="800"/>
    </w:pPr>
  </w:style>
  <w:style w:type="paragraph" w:styleId="5">
    <w:name w:val="Normal Indent"/>
    <w:basedOn w:val="1"/>
    <w:qFormat/>
    <w:uiPriority w:val="0"/>
    <w:pPr>
      <w:ind w:firstLine="420"/>
    </w:pPr>
    <w:rPr>
      <w:szCs w:val="20"/>
    </w:rPr>
  </w:style>
  <w:style w:type="paragraph" w:styleId="6">
    <w:name w:val="Body Text Indent"/>
    <w:basedOn w:val="1"/>
    <w:autoRedefine/>
    <w:qFormat/>
    <w:uiPriority w:val="99"/>
    <w:pPr>
      <w:spacing w:after="120"/>
      <w:ind w:left="420" w:leftChars="200"/>
    </w:pPr>
    <w:rPr>
      <w:rFonts w:cs="Times New Roman"/>
    </w:rPr>
  </w:style>
  <w:style w:type="paragraph" w:styleId="7">
    <w:name w:val="footer"/>
    <w:basedOn w:val="1"/>
    <w:autoRedefine/>
    <w:qFormat/>
    <w:uiPriority w:val="0"/>
    <w:pPr>
      <w:tabs>
        <w:tab w:val="center" w:pos="4153"/>
        <w:tab w:val="right" w:pos="8306"/>
      </w:tabs>
      <w:snapToGrid w:val="0"/>
      <w:jc w:val="left"/>
    </w:pPr>
    <w:rPr>
      <w:kern w:val="0"/>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autoRedefine/>
    <w:qFormat/>
    <w:uiPriority w:val="99"/>
    <w:pPr>
      <w:spacing w:before="100" w:beforeAutospacing="1" w:after="0"/>
      <w:ind w:left="0" w:firstLine="420" w:firstLineChars="200"/>
    </w:pPr>
  </w:style>
  <w:style w:type="character" w:customStyle="1" w:styleId="12">
    <w:name w:val="page number"/>
    <w:qFormat/>
    <w:uiPriority w:val="0"/>
  </w:style>
  <w:style w:type="character" w:customStyle="1" w:styleId="13">
    <w:name w:val="UserStyle_1"/>
    <w:link w:val="1"/>
    <w:autoRedefine/>
    <w:qFormat/>
    <w:uiPriority w:val="0"/>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8413</Words>
  <Characters>9283</Characters>
  <Lines>0</Lines>
  <Paragraphs>0</Paragraphs>
  <TotalTime>4</TotalTime>
  <ScaleCrop>false</ScaleCrop>
  <LinksUpToDate>false</LinksUpToDate>
  <CharactersWithSpaces>9909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2023-06-30T08:43:00Z</dcterms:created>
  <dc:creator>Administrator</dc:creator>
  <cp:lastModifiedBy>Administrator</cp:lastModifiedBy>
  <dcterms:modified xsi:type="dcterms:W3CDTF">2024-08-20T07:10:16Z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CEDAADE7E7BD46EBB4C1F56814A02E30_13</vt:lpwstr>
  </property>
</Properties>
</file>