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君山区202</w:t>
      </w:r>
      <w:r>
        <w:rPr>
          <w:rFonts w:hint="eastAsia" w:eastAsia="方正小标宋简体"/>
          <w:bCs/>
          <w:sz w:val="46"/>
          <w:szCs w:val="46"/>
          <w:lang w:val="en-US" w:eastAsia="zh-CN"/>
        </w:rPr>
        <w:t>2</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岳阳市君山区统一战线工作部</w:t>
      </w:r>
    </w:p>
    <w:p>
      <w:pPr>
        <w:spacing w:beforeLines="50" w:line="348" w:lineRule="auto"/>
        <w:ind w:firstLine="476" w:firstLineChars="150"/>
        <w:rPr>
          <w:rFonts w:eastAsia="仿宋_GB2312"/>
          <w:color w:val="FF0000"/>
          <w:spacing w:val="20"/>
          <w:sz w:val="32"/>
          <w:szCs w:val="32"/>
          <w:u w:val="single"/>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color w:val="000000" w:themeColor="text1"/>
          <w:spacing w:val="30"/>
          <w:sz w:val="32"/>
          <w:szCs w:val="32"/>
          <w:u w:val="single"/>
          <w:lang w:val="en-US" w:eastAsia="zh-CN"/>
          <w14:textFill>
            <w14:solidFill>
              <w14:schemeClr w14:val="tx1"/>
            </w14:solidFill>
          </w14:textFill>
        </w:rPr>
        <w:t>110</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3</w:t>
      </w:r>
      <w:r>
        <w:rPr>
          <w:rFonts w:hint="eastAsia" w:eastAsia="仿宋_GB2312"/>
          <w:sz w:val="32"/>
        </w:rPr>
        <w:t>年0</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25</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任少武</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15073056155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贯彻落实党的路线、方针、政策和党委的指示、决定，向党委全面反映统一战线情况，提出开展统一战线工作的意见和建议，制定统一战线工作计划并组织实施，协调统一战线各方面关系。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任务1：以凝聚共识为主线，树好统战工作新形象</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任务2：以责任落实为底线，彰显统战工作新担当</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任务3：以自身建设为防线，开拓统战工作新局面</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3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今年来，在市委统战部的精心指导</w:t>
            </w:r>
            <w:r>
              <w:rPr>
                <w:rFonts w:hint="eastAsia" w:ascii="仿宋_GB2312" w:hAnsi="仿宋_GB2312" w:eastAsia="仿宋_GB2312" w:cs="仿宋_GB2312"/>
                <w:color w:val="000000"/>
                <w:sz w:val="24"/>
              </w:rPr>
              <w:t>和</w:t>
            </w:r>
            <w:r>
              <w:rPr>
                <w:rFonts w:hint="eastAsia" w:ascii="仿宋_GB2312" w:hAnsi="仿宋_GB2312" w:eastAsia="仿宋_GB2312" w:cs="仿宋_GB2312"/>
                <w:color w:val="000000"/>
                <w:sz w:val="24"/>
                <w:lang w:eastAsia="zh-Hans"/>
              </w:rPr>
              <w:t>区委</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lang w:eastAsia="zh-Hans"/>
              </w:rPr>
              <w:t>坚强领导下，</w:t>
            </w:r>
            <w:r>
              <w:rPr>
                <w:rFonts w:hint="eastAsia" w:ascii="仿宋_GB2312" w:hAnsi="仿宋_GB2312" w:eastAsia="仿宋_GB2312" w:cs="仿宋_GB2312"/>
                <w:color w:val="000000"/>
                <w:sz w:val="24"/>
                <w:lang w:eastAsia="zh-CN"/>
              </w:rPr>
              <w:t>我部</w:t>
            </w:r>
            <w:r>
              <w:rPr>
                <w:rFonts w:hint="eastAsia" w:ascii="仿宋_GB2312" w:hAnsi="仿宋_GB2312" w:eastAsia="仿宋_GB2312" w:cs="仿宋_GB2312"/>
                <w:color w:val="000000"/>
                <w:sz w:val="24"/>
                <w:lang w:eastAsia="zh-Hans"/>
              </w:rPr>
              <w:t>以习近平新时代中国特色社会主义理论为指导，充分发挥统战部门了解情况</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Hans"/>
              </w:rPr>
              <w:t>掌握政策</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Hans"/>
              </w:rPr>
              <w:t>协调关系</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Hans"/>
              </w:rPr>
              <w:t>安排人事</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Hans"/>
              </w:rPr>
              <w:t>增进共识</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Hans"/>
              </w:rPr>
              <w:t>加强团结等职能作用</w:t>
            </w:r>
            <w:r>
              <w:rPr>
                <w:rFonts w:hint="eastAsia" w:ascii="仿宋_GB2312" w:hAnsi="仿宋_GB2312" w:eastAsia="仿宋_GB2312" w:cs="仿宋_GB2312"/>
                <w:color w:val="000000"/>
                <w:sz w:val="24"/>
              </w:rPr>
              <w:t>，紧紧围绕区委“一二三六”工作思路，</w:t>
            </w:r>
            <w:r>
              <w:rPr>
                <w:rFonts w:hint="eastAsia" w:ascii="仿宋_GB2312" w:hAnsi="仿宋_GB2312" w:eastAsia="仿宋_GB2312" w:cs="仿宋_GB2312"/>
                <w:color w:val="000000"/>
                <w:sz w:val="24"/>
                <w:lang w:eastAsia="zh-Hans"/>
              </w:rPr>
              <w:t>统筹推进统一战线各领域工作</w:t>
            </w:r>
            <w:r>
              <w:rPr>
                <w:rFonts w:hint="eastAsia" w:ascii="仿宋_GB2312" w:hAnsi="仿宋_GB2312" w:eastAsia="仿宋_GB2312" w:cs="仿宋_GB2312"/>
                <w:color w:val="000000"/>
                <w:sz w:val="24"/>
              </w:rPr>
              <w:t>高</w:t>
            </w:r>
            <w:r>
              <w:rPr>
                <w:rFonts w:hint="eastAsia" w:ascii="仿宋_GB2312" w:hAnsi="仿宋_GB2312" w:eastAsia="仿宋_GB2312" w:cs="仿宋_GB2312"/>
                <w:color w:val="000000"/>
                <w:sz w:val="24"/>
                <w:lang w:eastAsia="zh-Hans"/>
              </w:rPr>
              <w:t>质量发展，不断提升统战工作</w:t>
            </w:r>
            <w:r>
              <w:rPr>
                <w:rFonts w:hint="eastAsia" w:ascii="仿宋_GB2312" w:hAnsi="仿宋_GB2312" w:eastAsia="仿宋_GB2312" w:cs="仿宋_GB2312"/>
                <w:color w:val="000000"/>
                <w:sz w:val="24"/>
              </w:rPr>
              <w:t>能力</w:t>
            </w:r>
            <w:r>
              <w:rPr>
                <w:rFonts w:hint="eastAsia" w:ascii="仿宋_GB2312" w:hAnsi="仿宋_GB2312" w:eastAsia="仿宋_GB2312" w:cs="仿宋_GB2312"/>
                <w:color w:val="000000"/>
                <w:sz w:val="24"/>
                <w:lang w:eastAsia="zh-Hans"/>
              </w:rPr>
              <w:t>水平</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Hans"/>
              </w:rPr>
              <w:t>为</w:t>
            </w:r>
            <w:r>
              <w:rPr>
                <w:rFonts w:hint="eastAsia" w:ascii="仿宋_GB2312" w:hAnsi="仿宋_GB2312" w:eastAsia="仿宋_GB2312" w:cs="仿宋_GB2312"/>
                <w:color w:val="000000"/>
                <w:sz w:val="24"/>
              </w:rPr>
              <w:t>建设</w:t>
            </w:r>
            <w:r>
              <w:rPr>
                <w:rFonts w:hint="eastAsia" w:ascii="仿宋_GB2312" w:hAnsi="仿宋_GB2312" w:eastAsia="仿宋_GB2312" w:cs="仿宋_GB2312"/>
                <w:color w:val="000000"/>
                <w:sz w:val="24"/>
                <w:lang w:eastAsia="zh-Hans"/>
              </w:rPr>
              <w:t>精致精美</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Hans"/>
              </w:rPr>
              <w:t>出新出彩的洞庭明珠积极贡献了</w:t>
            </w:r>
            <w:r>
              <w:rPr>
                <w:rFonts w:hint="eastAsia" w:ascii="仿宋_GB2312" w:hAnsi="仿宋_GB2312" w:eastAsia="仿宋_GB2312" w:cs="仿宋_GB2312"/>
                <w:color w:val="000000"/>
                <w:sz w:val="24"/>
              </w:rPr>
              <w:t>统战智慧力量</w:t>
            </w:r>
            <w:r>
              <w:rPr>
                <w:rFonts w:hint="eastAsia" w:ascii="仿宋_GB2312" w:hAnsi="仿宋_GB2312" w:eastAsia="仿宋_GB2312" w:cs="仿宋_GB2312"/>
                <w:color w:val="000000"/>
                <w:sz w:val="24"/>
                <w:lang w:eastAsia="zh-Hans"/>
              </w:rPr>
              <w:t>。</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317.88</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313.03</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317.88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313.03</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9"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317.88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313.88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166.88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317.88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313.88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166.88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147</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7.69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7.69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7.69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20.75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20.75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20.75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7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目标1：汇合“冲劲”，服务中心大局下真功。</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目标2：凝聚“干劲”，多党合作事业有成效</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目标3：卯足“拼劲”，非公经济发展出实绩。</w:t>
            </w:r>
          </w:p>
          <w:p>
            <w:pPr>
              <w:autoSpaceDN w:val="0"/>
              <w:spacing w:line="320" w:lineRule="exact"/>
              <w:textAlignment w:val="center"/>
            </w:pPr>
            <w:r>
              <w:rPr>
                <w:rFonts w:hint="eastAsia" w:ascii="仿宋_GB2312" w:hAnsi="仿宋_GB2312" w:eastAsia="仿宋_GB2312" w:cs="仿宋_GB2312"/>
                <w:color w:val="000000"/>
                <w:sz w:val="24"/>
              </w:rPr>
              <w:t>目标4：增强“钻劲”，民宗事务管理提质量。</w:t>
            </w:r>
          </w:p>
        </w:tc>
        <w:tc>
          <w:tcPr>
            <w:tcW w:w="4585" w:type="dxa"/>
            <w:gridSpan w:val="9"/>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是深入推进“万企兴万村”行动，走访乡镇、村（社区）和民营企业共计75家，二是建立联点创建机制，支持并指导柿树岭村成功创建省级同心美丽乡村、濠河村积极创建市级同心美丽乡村。三是扎实开展“四明白四清楚”大调研活动，引导各民主党派、知联会和新阶联围绕中心大局工作，深入开展调查研究、建言献策，向省市共报送统战信息30余条，调研文章13篇。</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区委常委和党外代表人士33人交朋友，规范落实了领导干部与党外代表人士谈心交心、定期走访等制度。今年来，10名党外干部先后得到提拔重用，党外干部的培养选拔和管理工作水平持续提升、成效显著。帮助民主党派完善理论学习、民主决策、工作述职和民主评议等管理制度，提高民主党派工作水平。协助区委制定年度政党协商计划，确定协商议题，完善协商反馈，提高协商实效。</w:t>
            </w:r>
          </w:p>
          <w:p>
            <w:pPr>
              <w:pStyle w:val="4"/>
            </w:pPr>
            <w:r>
              <w:rPr>
                <w:rFonts w:hint="eastAsia" w:ascii="仿宋_GB2312" w:hAnsi="仿宋_GB2312" w:eastAsia="仿宋_GB2312" w:cs="仿宋_GB2312"/>
                <w:color w:val="000000"/>
                <w:kern w:val="2"/>
                <w:sz w:val="24"/>
                <w:szCs w:val="24"/>
                <w:lang w:val="en-US" w:eastAsia="zh-Hans" w:bidi="ar-SA"/>
              </w:rPr>
              <w:t>切实加强了党对民宗工作的领导，进一步建立健全了区、镇（街道）、村三级责任体系和工作网络，在全区民宗系统推行《宗教工作日志》制度，督促镇村落实“四查四看两报告”制度，压实了镇村两级责任，将民宗工作纳入了区委理论学习中心组、绩效考核、政治巡察、党建述职和党校培训的重要内容。以促进民族团结进步为抓手，推动许市黄金小学民族团结进步示范学校创建，协调相关单位给予项目支持，通过开展宣传教育、交流交往、社会公益等活动，不断营造民族团结、和衷共济的良好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指标1：积极纾难解困</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针对央视“3·15”曝光酸菜腌制加工问题，积极研究应对办法和措施</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指标2：着力优化营商环境</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挂牌成立君山区商会商事人民调解委员会并开展工作。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4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指标1：坚持我国宗教中国化方向</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全区宗教领域零感染；排查整改建筑安全、消防安全问题14个。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指标2：认真开展侨情调查。</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整理登记归侨2人、华侨17人、华人46人、侨眷107人、港澳居民17人、港澳居民眷属23人，归国留学生14人。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按工作计划实施</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已完成计划工作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按年初预算执行</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3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依法维护侨界权益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2名“三侨考生”享受高考加分10分，国泰食品有限公司被确定为省侨界助力乡村振兴示范基地，野生荷花世界再次确定为省侨联“华侨文化交流基地”。</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积极推介为侨品牌</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2名君山籍海外侨胞担任市海联会理事，1名归国留学生担任省侨青委委员、并被评为省侨联“五四”优秀青年，君山野生荷花世界被定为省侨联“华侨文化交流基地”。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宣传环保意识</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3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社会满意度</w:t>
            </w:r>
            <w:r>
              <w:rPr>
                <w:rFonts w:hint="eastAsia" w:ascii="仿宋_GB2312" w:hAnsi="仿宋_GB2312" w:eastAsia="仿宋_GB2312" w:cs="仿宋_GB2312"/>
                <w:color w:val="000000"/>
                <w:sz w:val="24"/>
                <w:lang w:val="en-US" w:eastAsia="zh-CN"/>
              </w:rPr>
              <w:t>90%</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庞玉环</w:t>
            </w:r>
          </w:p>
        </w:tc>
        <w:tc>
          <w:tcPr>
            <w:tcW w:w="3561" w:type="dxa"/>
            <w:gridSpan w:val="6"/>
            <w:vAlign w:val="center"/>
          </w:tcPr>
          <w:p>
            <w:pPr>
              <w:tabs>
                <w:tab w:val="left" w:pos="996"/>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val="en-US" w:eastAsia="zh-CN"/>
              </w:rPr>
              <w:t>常务副部长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区统一战线工作部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  宏</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副部长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区统一战线工作部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任少武</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侨联副主席</w:t>
            </w:r>
          </w:p>
        </w:tc>
        <w:tc>
          <w:tcPr>
            <w:tcW w:w="1479" w:type="dxa"/>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区统一战线工作部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67"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97"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61"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填报人（签名）：                          联系电话：</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620" w:lineRule="exact"/>
              <w:ind w:firstLine="640" w:firstLineChars="200"/>
              <w:jc w:val="center"/>
              <w:rPr>
                <w:rFonts w:ascii="黑体" w:hAnsi="仿宋" w:eastAsia="黑体"/>
                <w:sz w:val="32"/>
                <w:szCs w:val="32"/>
              </w:rPr>
            </w:pPr>
            <w:r>
              <w:rPr>
                <w:rFonts w:hint="eastAsia" w:ascii="黑体" w:hAnsi="仿宋" w:eastAsia="黑体"/>
                <w:sz w:val="32"/>
                <w:szCs w:val="32"/>
              </w:rPr>
              <w:t>岳阳市君山区统一战线工作部</w:t>
            </w:r>
          </w:p>
          <w:p>
            <w:pPr>
              <w:spacing w:line="620" w:lineRule="exact"/>
              <w:ind w:firstLine="640" w:firstLineChars="200"/>
              <w:jc w:val="center"/>
              <w:rPr>
                <w:rFonts w:hint="eastAsia" w:ascii="黑体" w:hAnsi="仿宋" w:eastAsia="黑体"/>
                <w:sz w:val="32"/>
                <w:szCs w:val="32"/>
              </w:rPr>
            </w:pPr>
            <w:r>
              <w:rPr>
                <w:rFonts w:hint="eastAsia" w:ascii="黑体" w:hAnsi="仿宋" w:eastAsia="黑体"/>
                <w:sz w:val="32"/>
                <w:szCs w:val="32"/>
              </w:rPr>
              <w:t>202</w:t>
            </w:r>
            <w:r>
              <w:rPr>
                <w:rFonts w:hint="eastAsia" w:ascii="黑体" w:hAnsi="仿宋" w:eastAsia="黑体"/>
                <w:sz w:val="32"/>
                <w:szCs w:val="32"/>
                <w:lang w:val="en-US" w:eastAsia="zh-CN"/>
              </w:rPr>
              <w:t>2</w:t>
            </w:r>
            <w:r>
              <w:rPr>
                <w:rFonts w:hint="eastAsia" w:ascii="黑体" w:hAnsi="仿宋" w:eastAsia="黑体"/>
                <w:sz w:val="32"/>
                <w:szCs w:val="32"/>
              </w:rPr>
              <w:t>年部门整体支出绩效评价报告</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根据《君山区财政局关于开展 2022 年度财政支出绩效自评工作的通知》（岳君财发〔2023〕40 号）文件精神，为全面推进部门整体绩效目标的实现，提升财政资金的使用效率，强化预算支出的责任和效率，我</w:t>
            </w:r>
            <w:r>
              <w:rPr>
                <w:rFonts w:hint="eastAsia" w:ascii="仿宋" w:hAnsi="仿宋" w:eastAsia="仿宋" w:cs="仿宋_GB2312"/>
                <w:bCs/>
                <w:sz w:val="32"/>
                <w:szCs w:val="32"/>
                <w:lang w:eastAsia="zh-CN"/>
              </w:rPr>
              <w:t>部门</w:t>
            </w:r>
            <w:r>
              <w:rPr>
                <w:rFonts w:ascii="仿宋" w:hAnsi="仿宋" w:eastAsia="仿宋" w:cs="仿宋_GB2312"/>
                <w:bCs/>
                <w:sz w:val="32"/>
                <w:szCs w:val="32"/>
              </w:rPr>
              <w:t>对 2022 年部门整体支出开展了绩效自评，现将具体情况报告如下：</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一、部门（单位）概况</w:t>
            </w:r>
          </w:p>
          <w:p>
            <w:pPr>
              <w:spacing w:line="560" w:lineRule="exact"/>
              <w:ind w:firstLine="640" w:firstLineChars="200"/>
              <w:rPr>
                <w:rFonts w:ascii="仿宋_GB2312" w:hAnsi="仿宋_GB2312" w:eastAsia="仿宋_GB2312" w:cs="仿宋_GB2312"/>
                <w:bCs/>
                <w:sz w:val="28"/>
                <w:szCs w:val="28"/>
              </w:rPr>
            </w:pPr>
            <w:r>
              <w:rPr>
                <w:rFonts w:hint="eastAsia" w:ascii="仿宋" w:hAnsi="仿宋" w:eastAsia="仿宋" w:cs="仿宋_GB2312"/>
                <w:sz w:val="32"/>
                <w:szCs w:val="32"/>
              </w:rPr>
              <w:t>（一）机构设置情况</w:t>
            </w:r>
          </w:p>
          <w:p>
            <w:pPr>
              <w:pStyle w:val="8"/>
              <w:shd w:val="clear" w:color="auto" w:fill="FFFFFF"/>
              <w:spacing w:before="0" w:beforeAutospacing="0" w:after="0" w:afterAutospacing="0" w:line="600" w:lineRule="exact"/>
              <w:ind w:firstLine="482"/>
              <w:jc w:val="both"/>
              <w:rPr>
                <w:rFonts w:hint="eastAsia" w:eastAsia="仿宋_GB2312"/>
                <w:kern w:val="2"/>
                <w:sz w:val="32"/>
                <w:szCs w:val="32"/>
              </w:rPr>
            </w:pPr>
            <w:r>
              <w:rPr>
                <w:rFonts w:hint="eastAsia" w:eastAsia="仿宋_GB2312"/>
                <w:kern w:val="2"/>
                <w:sz w:val="32"/>
                <w:szCs w:val="32"/>
                <w:lang w:eastAsia="zh-CN"/>
              </w:rPr>
              <w:t>君山区委统一战线工作部内设</w:t>
            </w:r>
            <w:r>
              <w:rPr>
                <w:rFonts w:hint="eastAsia" w:eastAsia="仿宋_GB2312"/>
                <w:kern w:val="2"/>
                <w:sz w:val="32"/>
                <w:szCs w:val="32"/>
                <w:lang w:val="en-US" w:eastAsia="zh-CN"/>
              </w:rPr>
              <w:t>5个股室，分别为办公室、非公经济办、民主党派办、民综办和区政府侨办，</w:t>
            </w:r>
            <w:r>
              <w:rPr>
                <w:rFonts w:hint="eastAsia" w:eastAsia="仿宋_GB2312"/>
                <w:kern w:val="2"/>
                <w:sz w:val="32"/>
                <w:szCs w:val="32"/>
                <w:lang w:eastAsia="zh-CN"/>
              </w:rPr>
              <w:t>二级机构为</w:t>
            </w:r>
            <w:r>
              <w:rPr>
                <w:rFonts w:eastAsia="仿宋_GB2312"/>
                <w:kern w:val="2"/>
                <w:sz w:val="32"/>
                <w:szCs w:val="32"/>
              </w:rPr>
              <w:t>区民族宗教事务中心</w:t>
            </w:r>
            <w:r>
              <w:rPr>
                <w:rFonts w:hint="eastAsia" w:eastAsia="仿宋_GB2312"/>
                <w:kern w:val="2"/>
                <w:sz w:val="32"/>
                <w:szCs w:val="32"/>
                <w:lang w:eastAsia="zh-CN"/>
              </w:rPr>
              <w:t>，</w:t>
            </w:r>
            <w:r>
              <w:rPr>
                <w:rFonts w:hint="eastAsia" w:eastAsia="仿宋_GB2312"/>
                <w:kern w:val="2"/>
                <w:sz w:val="32"/>
                <w:szCs w:val="32"/>
              </w:rPr>
              <w:t>本单位编制人数12人，实际在岗人数11人。</w:t>
            </w:r>
          </w:p>
          <w:p>
            <w:pPr>
              <w:numPr>
                <w:ilvl w:val="0"/>
                <w:numId w:val="1"/>
              </w:numPr>
              <w:spacing w:line="580" w:lineRule="exact"/>
              <w:ind w:left="0" w:leftChars="0" w:firstLine="640" w:firstLineChars="200"/>
              <w:rPr>
                <w:rFonts w:hint="eastAsia" w:ascii="仿宋" w:hAnsi="仿宋" w:eastAsia="仿宋" w:cs="仿宋_GB2312"/>
                <w:sz w:val="32"/>
                <w:szCs w:val="32"/>
              </w:rPr>
            </w:pPr>
            <w:r>
              <w:rPr>
                <w:rFonts w:hint="eastAsia" w:ascii="仿宋" w:hAnsi="仿宋" w:eastAsia="仿宋" w:cs="仿宋_GB2312"/>
                <w:sz w:val="32"/>
                <w:szCs w:val="32"/>
              </w:rPr>
              <w:t>单位主要职能</w:t>
            </w:r>
          </w:p>
          <w:p>
            <w:pPr>
              <w:pStyle w:val="8"/>
              <w:shd w:val="clear" w:color="auto" w:fill="FFFFFF"/>
              <w:spacing w:before="0" w:beforeAutospacing="0" w:after="0" w:afterAutospacing="0" w:line="600" w:lineRule="exact"/>
              <w:ind w:firstLine="482"/>
              <w:jc w:val="both"/>
              <w:rPr>
                <w:rFonts w:eastAsia="仿宋_GB2312"/>
                <w:kern w:val="2"/>
                <w:sz w:val="32"/>
                <w:szCs w:val="32"/>
              </w:rPr>
            </w:pPr>
            <w:r>
              <w:rPr>
                <w:rFonts w:eastAsia="仿宋_GB2312"/>
                <w:kern w:val="2"/>
                <w:sz w:val="32"/>
                <w:szCs w:val="32"/>
              </w:rPr>
              <w:t>1.贯彻执行中央、省委、市委关于统一战线的方针、政策，调查研究统一战线理论和重大方针政策，向区委反映情况，提出全区开展统战工作的意见和建议。</w:t>
            </w:r>
          </w:p>
          <w:p>
            <w:pPr>
              <w:widowControl/>
              <w:shd w:val="clear" w:color="auto" w:fill="FFFFFF"/>
              <w:spacing w:line="600" w:lineRule="exact"/>
              <w:ind w:firstLine="482"/>
              <w:rPr>
                <w:rFonts w:eastAsia="仿宋_GB2312"/>
                <w:sz w:val="32"/>
                <w:szCs w:val="32"/>
              </w:rPr>
            </w:pPr>
            <w:r>
              <w:rPr>
                <w:rFonts w:eastAsia="仿宋_GB2312"/>
                <w:sz w:val="32"/>
                <w:szCs w:val="32"/>
              </w:rPr>
              <w:t>2.负责联系各民主党派和无党派代表人士，及时通报情况，反映他们的意见和建议；研究、贯彻党领导的多党合作和政治协商制度及民主党派的方针、政策；落实党中央、省委、市委关于发挥民主党派参政议政和民主监督作用的指示与决定；支持和帮助各民主党派加强自身建设，选拔、培养新一代代表人物。</w:t>
            </w:r>
          </w:p>
          <w:p>
            <w:pPr>
              <w:widowControl/>
              <w:shd w:val="clear" w:color="auto" w:fill="FFFFFF"/>
              <w:spacing w:line="600" w:lineRule="exact"/>
              <w:ind w:firstLine="482"/>
              <w:rPr>
                <w:rFonts w:eastAsia="仿宋_GB2312"/>
                <w:sz w:val="32"/>
                <w:szCs w:val="32"/>
              </w:rPr>
            </w:pPr>
            <w:r>
              <w:rPr>
                <w:rFonts w:eastAsia="仿宋_GB2312"/>
                <w:sz w:val="32"/>
                <w:szCs w:val="32"/>
              </w:rPr>
              <w:t>3.负责调查研究、协调检查有关民族、宗教工作的重大方针、政策问题；联系少数民族和宗教界上层人士，协助有关部门做好少数民族干部的培养和举荐工作。</w:t>
            </w:r>
          </w:p>
          <w:p>
            <w:pPr>
              <w:widowControl/>
              <w:shd w:val="clear" w:color="auto" w:fill="FFFFFF"/>
              <w:spacing w:line="600" w:lineRule="exact"/>
              <w:ind w:firstLine="482"/>
              <w:rPr>
                <w:rFonts w:eastAsia="仿宋_GB2312"/>
                <w:sz w:val="32"/>
                <w:szCs w:val="32"/>
              </w:rPr>
            </w:pPr>
            <w:r>
              <w:rPr>
                <w:rFonts w:eastAsia="仿宋_GB2312"/>
                <w:sz w:val="32"/>
                <w:szCs w:val="32"/>
              </w:rPr>
              <w:t>4.开展以祖国统一为重点的海外统战工作；联系海外有关社团及代表人士。</w:t>
            </w:r>
          </w:p>
          <w:p>
            <w:pPr>
              <w:widowControl/>
              <w:shd w:val="clear" w:color="auto" w:fill="FFFFFF"/>
              <w:spacing w:line="600" w:lineRule="exact"/>
              <w:ind w:firstLine="482"/>
              <w:rPr>
                <w:rFonts w:eastAsia="仿宋_GB2312"/>
                <w:sz w:val="32"/>
                <w:szCs w:val="32"/>
              </w:rPr>
            </w:pPr>
            <w:r>
              <w:rPr>
                <w:rFonts w:eastAsia="仿宋_GB2312"/>
                <w:sz w:val="32"/>
                <w:szCs w:val="32"/>
              </w:rPr>
              <w:t>5.负责党外人士的政治安排，会同有关部门做好培养、考察、选拔、推荐党外人士担任政府及司法机关领导职务的工作；做好党外干部和新的代表人物队伍的建设工作。</w:t>
            </w:r>
          </w:p>
          <w:p>
            <w:pPr>
              <w:widowControl/>
              <w:shd w:val="clear" w:color="auto" w:fill="FFFFFF"/>
              <w:spacing w:line="600" w:lineRule="exact"/>
              <w:ind w:firstLine="482"/>
              <w:rPr>
                <w:rFonts w:eastAsia="仿宋_GB2312"/>
                <w:sz w:val="32"/>
                <w:szCs w:val="32"/>
              </w:rPr>
            </w:pPr>
            <w:r>
              <w:rPr>
                <w:rFonts w:eastAsia="仿宋_GB2312"/>
                <w:sz w:val="32"/>
                <w:szCs w:val="32"/>
              </w:rPr>
              <w:t>6.负责联系海内外工商界社团和代表人士；调查、研究并反映本区非公有制经济代表人物的情况，协调关系，提出政策建议。</w:t>
            </w:r>
          </w:p>
          <w:p>
            <w:pPr>
              <w:widowControl/>
              <w:shd w:val="clear" w:color="auto" w:fill="FFFFFF"/>
              <w:spacing w:line="600" w:lineRule="exact"/>
              <w:ind w:firstLine="482"/>
              <w:rPr>
                <w:rFonts w:eastAsia="仿宋_GB2312"/>
                <w:sz w:val="32"/>
                <w:szCs w:val="32"/>
              </w:rPr>
            </w:pPr>
            <w:r>
              <w:rPr>
                <w:rFonts w:eastAsia="仿宋_GB2312"/>
                <w:sz w:val="32"/>
                <w:szCs w:val="32"/>
              </w:rPr>
              <w:t>7.调查研究党外知识分子的情况，反映情况，协调关系，提出政策建议；联系并培养党外知识分子的代表人物。</w:t>
            </w:r>
          </w:p>
          <w:p>
            <w:pPr>
              <w:widowControl/>
              <w:shd w:val="clear" w:color="auto" w:fill="FFFFFF"/>
              <w:spacing w:line="600" w:lineRule="exact"/>
              <w:ind w:firstLine="482"/>
              <w:rPr>
                <w:rFonts w:eastAsia="仿宋_GB2312"/>
                <w:sz w:val="32"/>
                <w:szCs w:val="32"/>
              </w:rPr>
            </w:pPr>
            <w:r>
              <w:rPr>
                <w:rFonts w:eastAsia="仿宋_GB2312"/>
                <w:sz w:val="32"/>
                <w:szCs w:val="32"/>
              </w:rPr>
              <w:t>8.发展开展海内外统一战线的宣传工作。</w:t>
            </w:r>
          </w:p>
          <w:p>
            <w:pPr>
              <w:widowControl/>
              <w:shd w:val="clear" w:color="auto" w:fill="FFFFFF"/>
              <w:spacing w:line="600" w:lineRule="exact"/>
              <w:ind w:firstLine="482"/>
              <w:rPr>
                <w:rFonts w:eastAsia="仿宋_GB2312"/>
                <w:sz w:val="32"/>
                <w:szCs w:val="32"/>
              </w:rPr>
            </w:pPr>
            <w:r>
              <w:rPr>
                <w:rFonts w:eastAsia="仿宋_GB2312"/>
                <w:sz w:val="32"/>
                <w:szCs w:val="32"/>
              </w:rPr>
              <w:t>9.指导各镇（办事处）、场统战工作，协调政府各有关部门的统战工作；联系、指导统战部门归口单位的工作，领导和管理区台联等有关社会团体的工作。</w:t>
            </w:r>
          </w:p>
          <w:p>
            <w:pPr>
              <w:widowControl/>
              <w:shd w:val="clear" w:color="auto" w:fill="FFFFFF"/>
              <w:spacing w:line="600" w:lineRule="exact"/>
              <w:ind w:firstLine="482"/>
              <w:rPr>
                <w:rFonts w:eastAsia="仿宋_GB2312"/>
                <w:sz w:val="32"/>
                <w:szCs w:val="32"/>
              </w:rPr>
            </w:pPr>
            <w:r>
              <w:rPr>
                <w:rFonts w:eastAsia="仿宋_GB2312"/>
                <w:sz w:val="32"/>
                <w:szCs w:val="32"/>
              </w:rPr>
              <w:t>10.指导非公有制经济组织党的建设工作，提出非公有制经济组织党组织设置方案，推荐非公有制经济组织中的党组织领导成员和优秀代表人士。</w:t>
            </w:r>
          </w:p>
          <w:p>
            <w:pPr>
              <w:widowControl/>
              <w:shd w:val="clear" w:color="auto" w:fill="FFFFFF"/>
              <w:spacing w:line="600" w:lineRule="exact"/>
              <w:ind w:firstLine="482"/>
              <w:rPr>
                <w:rFonts w:eastAsia="仿宋_GB2312"/>
                <w:sz w:val="32"/>
                <w:szCs w:val="32"/>
              </w:rPr>
            </w:pPr>
            <w:r>
              <w:rPr>
                <w:rFonts w:eastAsia="仿宋_GB2312"/>
                <w:sz w:val="32"/>
                <w:szCs w:val="32"/>
              </w:rPr>
              <w:t>11.提出区“万企联村”工作方案，指导政府各有关部门、各镇（办事处）、场和各企业开展“万企联村”活动。</w:t>
            </w:r>
          </w:p>
          <w:p>
            <w:pPr>
              <w:widowControl/>
              <w:shd w:val="clear" w:color="auto" w:fill="FFFFFF"/>
              <w:spacing w:line="600" w:lineRule="exact"/>
              <w:ind w:firstLine="482"/>
              <w:rPr>
                <w:rFonts w:eastAsia="仿宋_GB2312"/>
                <w:sz w:val="32"/>
                <w:szCs w:val="32"/>
              </w:rPr>
            </w:pPr>
            <w:r>
              <w:rPr>
                <w:rFonts w:eastAsia="仿宋_GB2312"/>
                <w:sz w:val="32"/>
                <w:szCs w:val="32"/>
              </w:rPr>
              <w:t>12.完成区委交办的其他任务。</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二、部门（单位）整体支出管理及使用情况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（一）单位整体支出管理情况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2.财务管理上，按照国家相关法律法规，制定了机关财务、公物购置使用、接待、会务、因公出国、车辆使用等管理制度，并严格按照制度管理和执行，防范风险，保证财政资金的安全和高效运行。</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（二）单位整体收支情况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1、收入情况：全年预算总收入</w:t>
            </w:r>
            <w:r>
              <w:rPr>
                <w:rFonts w:hint="eastAsia" w:ascii="仿宋" w:hAnsi="仿宋" w:eastAsia="仿宋" w:cs="仿宋_GB2312"/>
                <w:sz w:val="32"/>
                <w:szCs w:val="32"/>
                <w:lang w:val="en-US" w:eastAsia="zh-CN"/>
              </w:rPr>
              <w:t>317.88</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2、支出情况：全年</w:t>
            </w:r>
            <w:r>
              <w:rPr>
                <w:rFonts w:hint="eastAsia" w:ascii="仿宋" w:hAnsi="仿宋" w:eastAsia="仿宋" w:cs="仿宋_GB2312"/>
                <w:sz w:val="32"/>
                <w:szCs w:val="32"/>
                <w:lang w:val="en-US" w:eastAsia="zh-CN"/>
              </w:rPr>
              <w:t>整体</w:t>
            </w:r>
            <w:r>
              <w:rPr>
                <w:rFonts w:hint="eastAsia" w:ascii="仿宋" w:hAnsi="仿宋" w:eastAsia="仿宋" w:cs="仿宋_GB2312"/>
                <w:sz w:val="32"/>
                <w:szCs w:val="32"/>
              </w:rPr>
              <w:t>支出</w:t>
            </w:r>
            <w:r>
              <w:rPr>
                <w:rFonts w:hint="eastAsia" w:ascii="仿宋" w:hAnsi="仿宋" w:eastAsia="仿宋" w:cs="仿宋_GB2312"/>
                <w:sz w:val="32"/>
                <w:szCs w:val="32"/>
                <w:lang w:val="en-US" w:eastAsia="zh-CN"/>
              </w:rPr>
              <w:t>317.88</w:t>
            </w:r>
            <w:r>
              <w:rPr>
                <w:rFonts w:hint="eastAsia" w:ascii="仿宋" w:hAnsi="仿宋" w:eastAsia="仿宋" w:cs="仿宋_GB2312"/>
                <w:sz w:val="32"/>
                <w:szCs w:val="32"/>
              </w:rPr>
              <w:t>万元，其中：</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年我</w:t>
            </w:r>
            <w:r>
              <w:rPr>
                <w:rFonts w:hint="eastAsia" w:ascii="华文仿宋" w:hAnsi="华文仿宋" w:eastAsia="华文仿宋"/>
                <w:sz w:val="32"/>
                <w:szCs w:val="32"/>
                <w:lang w:eastAsia="zh-CN"/>
              </w:rPr>
              <w:t>部</w:t>
            </w:r>
            <w:r>
              <w:rPr>
                <w:rFonts w:hint="eastAsia" w:ascii="华文仿宋" w:hAnsi="华文仿宋" w:eastAsia="华文仿宋"/>
                <w:sz w:val="32"/>
                <w:szCs w:val="32"/>
              </w:rPr>
              <w:t>全年基本支出</w:t>
            </w:r>
            <w:r>
              <w:rPr>
                <w:rFonts w:hint="eastAsia" w:ascii="华文仿宋" w:hAnsi="华文仿宋" w:eastAsia="华文仿宋"/>
                <w:sz w:val="32"/>
                <w:szCs w:val="32"/>
                <w:lang w:val="en-US" w:eastAsia="zh-CN"/>
              </w:rPr>
              <w:t>313.88</w:t>
            </w:r>
            <w:r>
              <w:rPr>
                <w:rFonts w:hint="eastAsia" w:ascii="华文仿宋" w:hAnsi="华文仿宋" w:eastAsia="华文仿宋"/>
                <w:sz w:val="32"/>
                <w:szCs w:val="32"/>
              </w:rPr>
              <w:t>万元。</w:t>
            </w:r>
            <w:r>
              <w:rPr>
                <w:rFonts w:hint="eastAsia" w:ascii="华文仿宋" w:hAnsi="华文仿宋" w:eastAsia="华文仿宋"/>
                <w:color w:val="auto"/>
                <w:sz w:val="32"/>
                <w:szCs w:val="32"/>
              </w:rPr>
              <w:t>其中人员支出</w:t>
            </w:r>
            <w:r>
              <w:rPr>
                <w:rFonts w:hint="eastAsia" w:ascii="华文仿宋" w:hAnsi="华文仿宋" w:eastAsia="华文仿宋"/>
                <w:color w:val="auto"/>
                <w:sz w:val="32"/>
                <w:szCs w:val="32"/>
                <w:lang w:val="en-US" w:eastAsia="zh-CN"/>
              </w:rPr>
              <w:t>166.88</w:t>
            </w:r>
            <w:r>
              <w:rPr>
                <w:rFonts w:hint="eastAsia" w:ascii="华文仿宋" w:hAnsi="华文仿宋" w:eastAsia="华文仿宋"/>
                <w:color w:val="auto"/>
                <w:sz w:val="32"/>
                <w:szCs w:val="32"/>
              </w:rPr>
              <w:t>万元，主要包括：基本工资、津贴补贴、奖金、社会保障费、其他工资福利支出、退休费、生活补贴和住房公积金等；公用支出</w:t>
            </w:r>
            <w:r>
              <w:rPr>
                <w:rFonts w:hint="eastAsia" w:ascii="华文仿宋" w:hAnsi="华文仿宋" w:eastAsia="华文仿宋"/>
                <w:color w:val="auto"/>
                <w:sz w:val="32"/>
                <w:szCs w:val="32"/>
                <w:lang w:val="en-US" w:eastAsia="zh-CN"/>
              </w:rPr>
              <w:t>147</w:t>
            </w:r>
            <w:r>
              <w:rPr>
                <w:rFonts w:hint="eastAsia" w:ascii="华文仿宋" w:hAnsi="华文仿宋" w:eastAsia="华文仿宋"/>
                <w:color w:val="auto"/>
                <w:sz w:val="32"/>
                <w:szCs w:val="32"/>
              </w:rPr>
              <w:t>万元，</w:t>
            </w:r>
            <w:r>
              <w:rPr>
                <w:rFonts w:hint="eastAsia" w:ascii="华文仿宋" w:hAnsi="华文仿宋" w:eastAsia="华文仿宋"/>
                <w:sz w:val="32"/>
                <w:szCs w:val="32"/>
              </w:rPr>
              <w:t>主要包括：办公费、电费、差旅费、公务接待费、劳务费以及其他商品和服务支出等。</w:t>
            </w:r>
          </w:p>
          <w:p>
            <w:pPr>
              <w:spacing w:line="580" w:lineRule="exact"/>
              <w:ind w:firstLine="640" w:firstLineChars="200"/>
              <w:rPr>
                <w:rFonts w:hint="eastAsia"/>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3、结余情况：2022年度累计结余0万元。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、三公经费支出情况：全年三公经费总支出</w:t>
            </w:r>
            <w:r>
              <w:rPr>
                <w:rFonts w:hint="eastAsia" w:ascii="仿宋" w:hAnsi="仿宋" w:eastAsia="仿宋" w:cs="仿宋_GB2312"/>
                <w:sz w:val="32"/>
                <w:szCs w:val="32"/>
                <w:lang w:val="en-US" w:eastAsia="zh-CN"/>
              </w:rPr>
              <w:t>7.69</w:t>
            </w:r>
            <w:r>
              <w:rPr>
                <w:rFonts w:hint="eastAsia" w:ascii="仿宋" w:hAnsi="仿宋" w:eastAsia="仿宋" w:cs="仿宋_GB2312"/>
                <w:sz w:val="32"/>
                <w:szCs w:val="32"/>
              </w:rPr>
              <w:t>万元，其中：公务用车购置及运行维护费支出0万元；公务接待费</w:t>
            </w:r>
            <w:r>
              <w:rPr>
                <w:rFonts w:hint="eastAsia" w:ascii="仿宋" w:hAnsi="仿宋" w:eastAsia="仿宋" w:cs="仿宋_GB2312"/>
                <w:sz w:val="32"/>
                <w:szCs w:val="32"/>
                <w:lang w:val="en-US" w:eastAsia="zh-CN"/>
              </w:rPr>
              <w:t>7.69</w:t>
            </w:r>
            <w:r>
              <w:rPr>
                <w:rFonts w:hint="eastAsia" w:ascii="仿宋" w:hAnsi="仿宋" w:eastAsia="仿宋" w:cs="仿宋_GB2312"/>
                <w:sz w:val="32"/>
                <w:szCs w:val="32"/>
              </w:rPr>
              <w:t>万元。</w:t>
            </w:r>
          </w:p>
          <w:p>
            <w:pPr>
              <w:tabs>
                <w:tab w:val="left" w:pos="4364"/>
              </w:tabs>
              <w:spacing w:line="600" w:lineRule="exact"/>
              <w:ind w:firstLine="643" w:firstLineChars="201"/>
              <w:rPr>
                <w:rFonts w:ascii="华文仿宋" w:hAnsi="华文仿宋" w:eastAsia="华文仿宋"/>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lang w:eastAsia="zh-CN"/>
              </w:rPr>
              <w:t>）</w:t>
            </w:r>
            <w:r>
              <w:rPr>
                <w:rFonts w:hint="eastAsia" w:ascii="华文仿宋" w:hAnsi="华文仿宋" w:eastAsia="华文仿宋"/>
                <w:sz w:val="32"/>
                <w:szCs w:val="32"/>
              </w:rPr>
              <w:t>专项支出</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项目支出是在基本支出之外为完成其特定工作任务而发生的支出，</w:t>
            </w:r>
            <w:r>
              <w:rPr>
                <w:rFonts w:hint="eastAsia" w:ascii="华文仿宋" w:hAnsi="华文仿宋" w:eastAsia="华文仿宋"/>
                <w:color w:val="auto"/>
                <w:sz w:val="32"/>
                <w:szCs w:val="32"/>
              </w:rPr>
              <w:t>主要用于</w:t>
            </w:r>
            <w:r>
              <w:rPr>
                <w:rFonts w:hint="eastAsia" w:ascii="仿宋_GB2312" w:eastAsia="仿宋_GB2312"/>
                <w:color w:val="auto"/>
                <w:sz w:val="32"/>
                <w:szCs w:val="32"/>
              </w:rPr>
              <w:t>美丽乡村项目建设、省级华侨事务工作等专项支出</w:t>
            </w:r>
            <w:r>
              <w:rPr>
                <w:rFonts w:hint="eastAsia" w:ascii="仿宋_GB2312" w:eastAsia="仿宋_GB2312"/>
                <w:color w:val="auto"/>
                <w:sz w:val="32"/>
                <w:szCs w:val="32"/>
                <w:lang w:eastAsia="zh-CN"/>
              </w:rPr>
              <w:t>。</w:t>
            </w:r>
            <w:r>
              <w:rPr>
                <w:rFonts w:hint="eastAsia" w:ascii="华文仿宋" w:hAnsi="华文仿宋" w:eastAsia="华文仿宋"/>
                <w:sz w:val="32"/>
                <w:szCs w:val="32"/>
              </w:rPr>
              <w:t>（1）专项资金安排落实、总投入等情况分析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部</w:t>
            </w:r>
            <w:r>
              <w:rPr>
                <w:rFonts w:hint="eastAsia" w:ascii="仿宋" w:hAnsi="仿宋" w:eastAsia="仿宋" w:cs="仿宋_GB2312"/>
                <w:sz w:val="32"/>
                <w:szCs w:val="32"/>
              </w:rPr>
              <w:t>项目支出为</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全部</w:t>
            </w:r>
            <w:r>
              <w:rPr>
                <w:rFonts w:hint="eastAsia" w:ascii="仿宋" w:hAnsi="仿宋" w:eastAsia="仿宋" w:cs="仿宋_GB2312"/>
                <w:sz w:val="32"/>
                <w:szCs w:val="32"/>
              </w:rPr>
              <w:t>用于</w:t>
            </w:r>
            <w:r>
              <w:rPr>
                <w:rFonts w:hint="eastAsia" w:ascii="仿宋_GB2312" w:eastAsia="仿宋_GB2312"/>
                <w:color w:val="auto"/>
                <w:sz w:val="32"/>
                <w:szCs w:val="32"/>
              </w:rPr>
              <w:t>美丽乡村项目建设、省级华侨事务工作等专项支出</w:t>
            </w:r>
            <w:r>
              <w:rPr>
                <w:rFonts w:hint="eastAsia" w:ascii="仿宋" w:hAnsi="仿宋" w:eastAsia="仿宋" w:cs="仿宋_GB2312"/>
                <w:sz w:val="32"/>
                <w:szCs w:val="32"/>
              </w:rPr>
              <w:t>。</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color w:val="auto"/>
                <w:sz w:val="32"/>
                <w:szCs w:val="32"/>
              </w:rPr>
              <w:t>（2）专项资金实际使用情况分析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部</w:t>
            </w:r>
            <w:r>
              <w:rPr>
                <w:rFonts w:hint="eastAsia" w:ascii="仿宋" w:hAnsi="仿宋" w:eastAsia="仿宋" w:cs="仿宋_GB2312"/>
                <w:sz w:val="32"/>
                <w:szCs w:val="32"/>
              </w:rPr>
              <w:t>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预算</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元，实际项目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支付使用</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万元，主要用于</w:t>
            </w:r>
            <w:r>
              <w:rPr>
                <w:rFonts w:hint="eastAsia" w:ascii="仿宋_GB2312" w:eastAsia="仿宋_GB2312"/>
                <w:color w:val="auto"/>
                <w:sz w:val="32"/>
                <w:szCs w:val="32"/>
              </w:rPr>
              <w:t>美丽乡村项目建设、省级华侨事务工作等专项支出</w:t>
            </w:r>
            <w:r>
              <w:rPr>
                <w:rFonts w:hint="eastAsia" w:ascii="仿宋" w:hAnsi="仿宋" w:eastAsia="仿宋" w:cs="仿宋_GB2312"/>
                <w:sz w:val="32"/>
                <w:szCs w:val="32"/>
              </w:rPr>
              <w:t>。</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（3）专项资金管理情况分析</w:t>
            </w:r>
          </w:p>
          <w:p>
            <w:pPr>
              <w:tabs>
                <w:tab w:val="left" w:pos="4364"/>
              </w:tabs>
              <w:spacing w:line="600" w:lineRule="exact"/>
              <w:ind w:firstLine="643" w:firstLineChars="201"/>
            </w:pPr>
            <w:r>
              <w:rPr>
                <w:rFonts w:hint="eastAsia" w:ascii="华文仿宋" w:hAnsi="华文仿宋" w:eastAsia="华文仿宋"/>
                <w:sz w:val="32"/>
                <w:szCs w:val="32"/>
              </w:rPr>
              <w:t>我</w:t>
            </w:r>
            <w:r>
              <w:rPr>
                <w:rFonts w:hint="eastAsia" w:ascii="华文仿宋" w:hAnsi="华文仿宋" w:eastAsia="华文仿宋"/>
                <w:sz w:val="32"/>
                <w:szCs w:val="32"/>
                <w:lang w:eastAsia="zh-CN"/>
              </w:rPr>
              <w:t>部</w:t>
            </w:r>
            <w:r>
              <w:rPr>
                <w:rFonts w:hint="eastAsia" w:ascii="华文仿宋" w:hAnsi="华文仿宋" w:eastAsia="华文仿宋"/>
                <w:sz w:val="32"/>
                <w:szCs w:val="32"/>
              </w:rPr>
              <w:t>项目资金全部按财政国库集中支付制度要求使用和拨付，通过财政直接支付方式拨付给项</w:t>
            </w:r>
            <w:r>
              <w:rPr>
                <w:rFonts w:hint="eastAsia" w:ascii="华文仿宋" w:hAnsi="华文仿宋" w:eastAsia="华文仿宋"/>
                <w:sz w:val="32"/>
                <w:szCs w:val="32"/>
                <w:lang w:eastAsia="zh-CN"/>
              </w:rPr>
              <w:t>目</w:t>
            </w:r>
            <w:r>
              <w:rPr>
                <w:rFonts w:hint="eastAsia" w:ascii="华文仿宋" w:hAnsi="华文仿宋" w:eastAsia="华文仿宋"/>
                <w:sz w:val="32"/>
                <w:szCs w:val="32"/>
              </w:rPr>
              <w:t>实施单位。在拨付过程中严把监督审核关，建立内部审批制度，财务做好项目专帐，严格实行专款专用，保证资金及时足额用到项目中。</w:t>
            </w:r>
          </w:p>
          <w:p>
            <w:pPr>
              <w:spacing w:line="560" w:lineRule="exact"/>
              <w:ind w:firstLine="600" w:firstLineChars="200"/>
              <w:rPr>
                <w:rFonts w:ascii="黑体" w:hAnsi="黑体" w:eastAsia="黑体" w:cs="黑体"/>
                <w:bCs/>
                <w:sz w:val="28"/>
                <w:szCs w:val="28"/>
              </w:rPr>
            </w:pPr>
            <w:r>
              <w:rPr>
                <w:rFonts w:hint="eastAsia" w:ascii="黑体" w:hAnsi="黑体" w:eastAsia="黑体" w:cs="黑体"/>
                <w:bCs/>
                <w:sz w:val="30"/>
                <w:szCs w:val="30"/>
              </w:rPr>
              <w:t>三、部门（单位）专项组织实施情况</w:t>
            </w:r>
          </w:p>
          <w:p>
            <w:pPr>
              <w:spacing w:line="580" w:lineRule="exact"/>
              <w:ind w:firstLine="643" w:firstLineChars="200"/>
              <w:rPr>
                <w:rFonts w:ascii="仿宋" w:hAnsi="仿宋" w:eastAsia="仿宋" w:cs="仿宋_GB2312"/>
                <w:b/>
                <w:bCs/>
                <w:sz w:val="32"/>
                <w:szCs w:val="32"/>
              </w:rPr>
            </w:pPr>
            <w:r>
              <w:rPr>
                <w:rFonts w:ascii="仿宋" w:hAnsi="仿宋" w:eastAsia="仿宋" w:cs="仿宋_GB2312"/>
                <w:b/>
                <w:bCs/>
                <w:sz w:val="32"/>
                <w:szCs w:val="32"/>
              </w:rPr>
              <w:t>（一）</w:t>
            </w:r>
            <w:r>
              <w:rPr>
                <w:rFonts w:hint="eastAsia" w:ascii="仿宋" w:hAnsi="仿宋" w:eastAsia="仿宋" w:cs="仿宋_GB2312"/>
                <w:b/>
                <w:bCs/>
                <w:sz w:val="32"/>
                <w:szCs w:val="32"/>
              </w:rPr>
              <w:t>专项组织情况分析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2022年项目采取以项目实施单位为主体，严格按照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pPr>
              <w:spacing w:line="580" w:lineRule="exact"/>
              <w:ind w:firstLine="643" w:firstLineChars="200"/>
              <w:rPr>
                <w:rFonts w:ascii="仿宋" w:hAnsi="仿宋" w:eastAsia="仿宋" w:cs="仿宋_GB2312"/>
                <w:b/>
                <w:bCs/>
                <w:sz w:val="32"/>
                <w:szCs w:val="32"/>
              </w:rPr>
            </w:pPr>
            <w:r>
              <w:rPr>
                <w:rFonts w:ascii="仿宋" w:hAnsi="仿宋" w:eastAsia="仿宋" w:cs="仿宋_GB2312"/>
                <w:b/>
                <w:bCs/>
                <w:sz w:val="32"/>
                <w:szCs w:val="32"/>
              </w:rPr>
              <w:t>（二）</w:t>
            </w:r>
            <w:r>
              <w:rPr>
                <w:rFonts w:hint="eastAsia" w:ascii="仿宋" w:hAnsi="仿宋" w:eastAsia="仿宋" w:cs="仿宋_GB2312"/>
                <w:b/>
                <w:bCs/>
                <w:sz w:val="32"/>
                <w:szCs w:val="32"/>
              </w:rPr>
              <w:t>专项管理情况分析</w:t>
            </w:r>
          </w:p>
          <w:p>
            <w:pPr>
              <w:spacing w:line="580" w:lineRule="exact"/>
              <w:ind w:firstLine="640" w:firstLineChars="200"/>
              <w:rPr>
                <w:rFonts w:ascii="仿宋_GB2312" w:eastAsia="仿宋_GB2312"/>
                <w:sz w:val="32"/>
                <w:szCs w:val="32"/>
              </w:rPr>
            </w:pPr>
            <w:r>
              <w:rPr>
                <w:rFonts w:hint="eastAsia" w:ascii="仿宋" w:hAnsi="仿宋" w:eastAsia="仿宋" w:cs="仿宋_GB2312"/>
                <w:sz w:val="32"/>
                <w:szCs w:val="32"/>
              </w:rPr>
              <w:t>按照项目资金管理制度要求，对项目实施和资金使用分配方案坚持</w:t>
            </w:r>
            <w:r>
              <w:rPr>
                <w:rFonts w:hint="eastAsia" w:ascii="仿宋" w:hAnsi="仿宋" w:eastAsia="仿宋" w:cs="仿宋_GB2312"/>
                <w:sz w:val="32"/>
                <w:szCs w:val="32"/>
                <w:lang w:eastAsia="zh-CN"/>
              </w:rPr>
              <w:t>统战部班子</w:t>
            </w:r>
            <w:r>
              <w:rPr>
                <w:rFonts w:hint="eastAsia" w:ascii="仿宋" w:hAnsi="仿宋" w:eastAsia="仿宋" w:cs="仿宋_GB2312"/>
                <w:sz w:val="32"/>
                <w:szCs w:val="32"/>
              </w:rPr>
              <w:t>集体决策。对各项目制订工作方案，明确完成的具体时间，开展项目规划设计、部署工作，认真落实建设任务。</w:t>
            </w:r>
          </w:p>
          <w:p>
            <w:pPr>
              <w:spacing w:line="560" w:lineRule="exact"/>
              <w:ind w:firstLine="600" w:firstLineChars="200"/>
              <w:rPr>
                <w:rFonts w:ascii="黑体" w:hAnsi="黑体" w:eastAsia="黑体" w:cs="黑体"/>
                <w:bCs/>
                <w:sz w:val="28"/>
                <w:szCs w:val="28"/>
              </w:rPr>
            </w:pPr>
            <w:r>
              <w:rPr>
                <w:rFonts w:hint="eastAsia" w:ascii="黑体" w:hAnsi="黑体" w:eastAsia="黑体" w:cs="黑体"/>
                <w:bCs/>
                <w:sz w:val="30"/>
                <w:szCs w:val="30"/>
              </w:rPr>
              <w:t>四、部门（单位）整体支出绩效情况</w:t>
            </w:r>
          </w:p>
          <w:p>
            <w:pPr>
              <w:spacing w:line="600" w:lineRule="exact"/>
              <w:ind w:firstLine="420"/>
              <w:rPr>
                <w:rFonts w:ascii="华文仿宋" w:hAnsi="华文仿宋" w:eastAsia="华文仿宋"/>
                <w:sz w:val="32"/>
                <w:szCs w:val="32"/>
              </w:rPr>
            </w:pPr>
            <w:r>
              <w:rPr>
                <w:rFonts w:hint="eastAsia" w:ascii="华文仿宋" w:hAnsi="华文仿宋" w:eastAsia="华文仿宋"/>
                <w:sz w:val="32"/>
                <w:szCs w:val="32"/>
              </w:rPr>
              <w:t>（一）部门整体支出绩效评价依据</w:t>
            </w:r>
          </w:p>
          <w:p>
            <w:pPr>
              <w:spacing w:line="600" w:lineRule="exact"/>
              <w:ind w:firstLine="643" w:firstLineChars="201"/>
              <w:rPr>
                <w:rFonts w:eastAsia="仿宋_GB2312"/>
                <w:sz w:val="32"/>
                <w:szCs w:val="32"/>
              </w:rPr>
            </w:pPr>
            <w:r>
              <w:rPr>
                <w:rFonts w:hint="eastAsia" w:ascii="华文仿宋" w:hAnsi="华文仿宋" w:eastAsia="华文仿宋"/>
                <w:sz w:val="32"/>
                <w:szCs w:val="32"/>
              </w:rPr>
              <w:t>1、《岳阳市君山区财政局关于开展202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年度部门整体支出绩效自评工作的通知》</w:t>
            </w:r>
            <w:r>
              <w:rPr>
                <w:rFonts w:hint="eastAsia" w:ascii="华文仿宋" w:hAnsi="华文仿宋" w:eastAsia="华文仿宋"/>
                <w:sz w:val="32"/>
                <w:szCs w:val="32"/>
                <w:lang w:eastAsia="zh-CN"/>
              </w:rPr>
              <w:t>、</w:t>
            </w:r>
            <w:r>
              <w:rPr>
                <w:rFonts w:eastAsia="仿宋_GB2312"/>
                <w:sz w:val="32"/>
                <w:szCs w:val="32"/>
              </w:rPr>
              <w:t>《预算法》</w:t>
            </w:r>
            <w:r>
              <w:rPr>
                <w:rFonts w:hint="eastAsia" w:eastAsia="仿宋_GB2312"/>
                <w:sz w:val="32"/>
                <w:szCs w:val="32"/>
              </w:rPr>
              <w:t>、</w:t>
            </w:r>
            <w:r>
              <w:rPr>
                <w:rFonts w:eastAsia="仿宋_GB2312"/>
                <w:sz w:val="32"/>
                <w:szCs w:val="32"/>
              </w:rPr>
              <w:t>《党政机关厉行节约反对浪费条例》、</w:t>
            </w:r>
            <w:r>
              <w:rPr>
                <w:rFonts w:eastAsia="仿宋_GB2312"/>
                <w:color w:val="auto"/>
                <w:kern w:val="0"/>
                <w:sz w:val="32"/>
                <w:szCs w:val="32"/>
              </w:rPr>
              <w:t>财政部《项目支出绩效评价管理办法》（财预〔2020〕10号）</w:t>
            </w:r>
            <w:r>
              <w:rPr>
                <w:rFonts w:hint="eastAsia" w:eastAsia="仿宋_GB2312"/>
                <w:color w:val="auto"/>
                <w:kern w:val="0"/>
                <w:sz w:val="32"/>
                <w:szCs w:val="32"/>
              </w:rPr>
              <w:t>、</w:t>
            </w:r>
            <w:r>
              <w:rPr>
                <w:rFonts w:hint="eastAsia" w:ascii="仿宋" w:hAnsi="仿宋" w:eastAsia="仿宋" w:cs="仿宋"/>
                <w:color w:val="auto"/>
                <w:sz w:val="32"/>
                <w:szCs w:val="32"/>
              </w:rPr>
              <w:t>湖南省财政厅关于印发《湖南省预算支出绩效评价管理办法》的通知（湘财绩〔</w:t>
            </w:r>
            <w:r>
              <w:rPr>
                <w:rFonts w:hint="eastAsia" w:ascii="仿宋" w:hAnsi="仿宋" w:eastAsia="仿宋" w:cs="仿宋"/>
                <w:color w:val="auto"/>
                <w:spacing w:val="-6"/>
                <w:sz w:val="32"/>
                <w:szCs w:val="32"/>
              </w:rPr>
              <w:t>2020</w:t>
            </w:r>
            <w:r>
              <w:rPr>
                <w:rFonts w:hint="eastAsia" w:ascii="仿宋" w:hAnsi="仿宋" w:eastAsia="仿宋" w:cs="仿宋"/>
                <w:color w:val="auto"/>
                <w:sz w:val="32"/>
                <w:szCs w:val="32"/>
              </w:rPr>
              <w:t>〕7号）</w:t>
            </w:r>
            <w:r>
              <w:rPr>
                <w:rFonts w:eastAsia="仿宋_GB2312"/>
                <w:color w:val="auto"/>
                <w:sz w:val="32"/>
                <w:szCs w:val="32"/>
              </w:rPr>
              <w:t>，</w:t>
            </w:r>
            <w:r>
              <w:rPr>
                <w:rFonts w:eastAsia="仿宋_GB2312"/>
                <w:sz w:val="32"/>
                <w:szCs w:val="32"/>
              </w:rPr>
              <w:t>以及中央、省市有关政策规定和各行业财务会计制度。</w:t>
            </w:r>
          </w:p>
          <w:p>
            <w:pPr>
              <w:adjustRightInd w:val="0"/>
              <w:snapToGrid w:val="0"/>
              <w:spacing w:line="640" w:lineRule="exact"/>
              <w:ind w:firstLine="640" w:firstLineChars="200"/>
              <w:contextualSpacing/>
              <w:rPr>
                <w:rFonts w:eastAsia="仿宋_GB2312"/>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w:t>
            </w:r>
            <w:r>
              <w:rPr>
                <w:rFonts w:eastAsia="仿宋_GB2312"/>
                <w:sz w:val="32"/>
                <w:szCs w:val="32"/>
              </w:rPr>
              <w:t>部门职能职责、年度工作计划，专项资金绩效目标、专项资金及项目管理办法。</w:t>
            </w:r>
          </w:p>
          <w:p>
            <w:pPr>
              <w:adjustRightInd w:val="0"/>
              <w:snapToGrid w:val="0"/>
              <w:spacing w:line="640" w:lineRule="exact"/>
              <w:ind w:firstLine="640" w:firstLineChars="200"/>
              <w:contextualSpacing/>
              <w:rPr>
                <w:rFonts w:eastAsia="仿宋_GB2312"/>
              </w:rPr>
            </w:pP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部门预算资金、财政部门预算批复、部门年度预算执行情况、年度决算报告，项目审计报告和完成验收报告等。</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（二）部门整体支出绩效评价的目的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年度君山区</w:t>
            </w:r>
            <w:r>
              <w:rPr>
                <w:rFonts w:hint="eastAsia" w:ascii="华文仿宋" w:hAnsi="华文仿宋" w:eastAsia="华文仿宋"/>
                <w:sz w:val="32"/>
                <w:szCs w:val="32"/>
                <w:lang w:val="en-US" w:eastAsia="zh-CN"/>
              </w:rPr>
              <w:t>统战部</w:t>
            </w:r>
            <w:r>
              <w:rPr>
                <w:rFonts w:hint="eastAsia" w:ascii="华文仿宋" w:hAnsi="华文仿宋" w:eastAsia="华文仿宋"/>
                <w:sz w:val="32"/>
                <w:szCs w:val="32"/>
              </w:rPr>
              <w:t>的预算配置、预算管理、资产管理、职责履行、履职效益等内容的绩效考评，提高财政资金的使用效率，为预算管理提供决策依据。</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（三）部门整体支出评价原则、指标评价体系、评价方法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1、部门整体支出绩效评价原则：遵循客观公正，操作简便高效，尊重客观实际，实事求是的原则。</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整体支出绩效评价体系：指标体系包括共性指标和个性指标两部分，本次主要参照了上级财政部门制定的《部门整体支出绩效评价指标体系》的相关内容，根据部门具体情况对个性指标进行了调整细化，形成《君山区</w:t>
            </w:r>
            <w:r>
              <w:rPr>
                <w:rFonts w:hint="eastAsia" w:ascii="华文仿宋" w:hAnsi="华文仿宋" w:eastAsia="华文仿宋"/>
                <w:sz w:val="32"/>
                <w:szCs w:val="32"/>
                <w:lang w:val="en-US" w:eastAsia="zh-CN"/>
              </w:rPr>
              <w:t>统战部</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年整体支出绩效评价指标体系》。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3、整体支出绩效评价方法：主要采用因素分析法、投入产支出效益分析法，比较法等方法。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（四）整体支出绩效评价过程</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1、前期准备：按照绩效自评工作要求，组成以</w:t>
            </w:r>
            <w:r>
              <w:rPr>
                <w:rFonts w:hint="eastAsia" w:ascii="华文仿宋" w:hAnsi="华文仿宋" w:eastAsia="华文仿宋"/>
                <w:sz w:val="32"/>
                <w:szCs w:val="32"/>
                <w:lang w:val="en-US" w:eastAsia="zh-CN"/>
              </w:rPr>
              <w:t>庞玉环</w:t>
            </w:r>
            <w:r>
              <w:rPr>
                <w:rFonts w:hint="eastAsia" w:ascii="华文仿宋" w:hAnsi="华文仿宋" w:eastAsia="华文仿宋"/>
                <w:sz w:val="32"/>
                <w:szCs w:val="32"/>
              </w:rPr>
              <w:t>同志为组长的绩效评价工作小组，对相关的国家法律法规进行了认真学习，掌握政策，根据部门整体收支情况制定了部门整体支出绩效评价实施方案，设计了绩效评价指标体系。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2、组织实施：采用核查法，核查202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年度区级预算批复执行及部门整体支出情况，着重核查了“三公”经费及资产管理，内部控制制度情况，对内设机构，根据部门职能和年初制定的绩效考核目标，进行了实地绩效考评。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3、分析评价：对评价过程中收集资料进行归纳，汇总分析，依据设定的部门整体支出绩效评价指标体系进行了评分，形成了综合性书面报告。</w:t>
            </w:r>
          </w:p>
          <w:p>
            <w:pPr>
              <w:spacing w:line="580" w:lineRule="exact"/>
              <w:ind w:firstLine="640" w:firstLineChars="200"/>
              <w:rPr>
                <w:rStyle w:val="17"/>
                <w:rFonts w:ascii="仿宋_GB2312" w:eastAsia="仿宋_GB2312"/>
                <w:sz w:val="32"/>
                <w:szCs w:val="32"/>
              </w:rPr>
            </w:pPr>
            <w:r>
              <w:rPr>
                <w:rFonts w:hint="eastAsia" w:ascii="仿宋" w:hAnsi="仿宋" w:eastAsia="仿宋" w:cs="仿宋_GB2312"/>
                <w:sz w:val="32"/>
                <w:szCs w:val="32"/>
              </w:rPr>
              <w:t>根据考核评分细则，本单位严格按照国家的相关财务管理制度规定，财务制度健全，会计核算规范，依照计划管理使用，整体支出对保障区</w:t>
            </w:r>
            <w:r>
              <w:rPr>
                <w:rFonts w:hint="eastAsia" w:ascii="仿宋" w:hAnsi="仿宋" w:eastAsia="仿宋" w:cs="仿宋_GB2312"/>
                <w:sz w:val="32"/>
                <w:szCs w:val="32"/>
                <w:lang w:eastAsia="zh-CN"/>
              </w:rPr>
              <w:t>统战部</w:t>
            </w:r>
            <w:r>
              <w:rPr>
                <w:rFonts w:hint="eastAsia" w:ascii="仿宋" w:hAnsi="仿宋" w:eastAsia="仿宋" w:cs="仿宋_GB2312"/>
                <w:sz w:val="32"/>
                <w:szCs w:val="32"/>
              </w:rPr>
              <w:t>工作的正常运行、为</w:t>
            </w:r>
            <w:r>
              <w:rPr>
                <w:rFonts w:hint="eastAsia" w:ascii="仿宋" w:hAnsi="仿宋" w:eastAsia="仿宋" w:cs="仿宋_GB2312"/>
                <w:sz w:val="32"/>
                <w:szCs w:val="32"/>
                <w:lang w:eastAsia="zh-CN"/>
              </w:rPr>
              <w:t>统一战线事业</w:t>
            </w:r>
            <w:r>
              <w:rPr>
                <w:rFonts w:hint="eastAsia" w:ascii="仿宋" w:hAnsi="仿宋" w:eastAsia="仿宋" w:cs="仿宋_GB2312"/>
                <w:sz w:val="32"/>
                <w:szCs w:val="32"/>
              </w:rPr>
              <w:t>的发展大局服务发挥了重要保障作用。按照部门整体支出绩效评价指标体系对照打分得出结果为98分。</w:t>
            </w:r>
          </w:p>
          <w:p>
            <w:pPr>
              <w:spacing w:line="560" w:lineRule="exact"/>
              <w:ind w:firstLine="600" w:firstLineChars="200"/>
              <w:rPr>
                <w:rFonts w:ascii="黑体" w:hAnsi="黑体" w:eastAsia="黑体" w:cs="黑体"/>
                <w:bCs/>
                <w:sz w:val="28"/>
                <w:szCs w:val="28"/>
              </w:rPr>
            </w:pPr>
            <w:bookmarkStart w:id="0" w:name="_GoBack"/>
            <w:bookmarkEnd w:id="0"/>
            <w:r>
              <w:rPr>
                <w:rFonts w:hint="eastAsia" w:ascii="黑体" w:hAnsi="黑体" w:eastAsia="黑体" w:cs="黑体"/>
                <w:bCs/>
                <w:sz w:val="30"/>
                <w:szCs w:val="30"/>
              </w:rPr>
              <w:t>五、存在的主要问题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年初预算编制不够详细，年内预算追加了部分经费，部门预算编制的科学化、精细化有待提高。目前，预算编制要求经济科目细化到款级，但在实际编制过程中，由于有的预算支出项目具有预测性和不确定性等特点，造成实际支出与预算编制不符。</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2、因统战工作职能特殊性，项目经费开支范围属于部门工作业务费支出，均需要在商品和服务支出开支、对个人和家庭的补助开支、年末商品和服务支出中“其他”所占比重较重。</w:t>
            </w:r>
          </w:p>
          <w:p>
            <w:p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六、改进措施和有关建议</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细化预算编制工作，认真做好预算的编制。严格按照预算编制的相关制度和要求进行预算编制，全面编制预算项目，优先保障固定性的相对刚性的费用支出项目，进一步提高预算编制的科学性、严谨性和可控性。</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加强内部权力制衡，规范内部权力运行。结合单位实际，科学设置内设机构、管理层级、岗位权限和权力运行规程，切实做到分事行权，分岗设权，分级授权。做到对经济和业务活动的决策、执行、监督明确分工、相互分离，防止职责混淆、权限交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3、建立长效机制，把绩效评价作为统战系统各级各部门的日常性工作，建立绩效评价管理工作机制。</w:t>
            </w:r>
          </w:p>
        </w:tc>
      </w:tr>
    </w:tbl>
    <w:p>
      <w:r>
        <w:rPr>
          <w:rFonts w:eastAsia="楷体_GB2312"/>
          <w:bCs/>
          <w:sz w:val="28"/>
          <w:szCs w:val="28"/>
        </w:rPr>
        <w:br w:type="page"/>
      </w:r>
    </w:p>
    <w:p>
      <w:pPr>
        <w:spacing w:beforeLines="100"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Pr>
        <w:pStyle w:val="2"/>
        <w:ind w:left="420"/>
      </w:pPr>
    </w:p>
    <w:p>
      <w:pPr>
        <w:spacing w:beforeLines="100"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部门整体支出绩效评价评分表（续）</w:t>
      </w:r>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10"/>
        <w:gridCol w:w="109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1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9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8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1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9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进一步加强资产管理，提高资产使用效率。</w:t>
            </w:r>
          </w:p>
        </w:tc>
      </w:tr>
      <w:tr>
        <w:tblPrEx>
          <w:tblCellMar>
            <w:top w:w="0" w:type="dxa"/>
            <w:left w:w="108" w:type="dxa"/>
            <w:bottom w:w="0" w:type="dxa"/>
            <w:right w:w="108" w:type="dxa"/>
          </w:tblCellMar>
        </w:tblPrEx>
        <w:trPr>
          <w:trHeight w:val="609"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无此考核目标 </w:t>
            </w: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1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Style w:val="11"/>
                            </w:rPr>
                          </w:pPr>
                          <w:r>
                            <w:rPr>
                              <w:rStyle w:val="11"/>
                              <w:rFonts w:hint="eastAsia"/>
                            </w:rPr>
                            <w:t xml:space="preserve">— </w:t>
                          </w:r>
                          <w:r>
                            <w:fldChar w:fldCharType="begin"/>
                          </w:r>
                          <w:r>
                            <w:rPr>
                              <w:rStyle w:val="11"/>
                            </w:rPr>
                            <w:instrText xml:space="preserve">PAGE  </w:instrText>
                          </w:r>
                          <w:r>
                            <w:fldChar w:fldCharType="separate"/>
                          </w:r>
                          <w:r>
                            <w:rPr>
                              <w:rStyle w:val="11"/>
                            </w:rPr>
                            <w:t>1</w:t>
                          </w:r>
                          <w:r>
                            <w:fldChar w:fldCharType="end"/>
                          </w:r>
                          <w:r>
                            <w:rPr>
                              <w:rStyle w:val="11"/>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6"/>
                      <w:rPr>
                        <w:rStyle w:val="11"/>
                      </w:rPr>
                    </w:pPr>
                    <w:r>
                      <w:rPr>
                        <w:rStyle w:val="11"/>
                        <w:rFonts w:hint="eastAsia"/>
                      </w:rPr>
                      <w:t xml:space="preserve">— </w:t>
                    </w:r>
                    <w:r>
                      <w:fldChar w:fldCharType="begin"/>
                    </w:r>
                    <w:r>
                      <w:rPr>
                        <w:rStyle w:val="11"/>
                      </w:rPr>
                      <w:instrText xml:space="preserve">PAGE  </w:instrText>
                    </w:r>
                    <w:r>
                      <w:fldChar w:fldCharType="separate"/>
                    </w:r>
                    <w:r>
                      <w:rPr>
                        <w:rStyle w:val="11"/>
                      </w:rPr>
                      <w:t>1</w:t>
                    </w:r>
                    <w:r>
                      <w:fldChar w:fldCharType="end"/>
                    </w:r>
                    <w:r>
                      <w:rPr>
                        <w:rStyle w:val="11"/>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18</w:t>
                          </w:r>
                          <w:r>
                            <w:rPr>
                              <w:sz w:val="24"/>
                              <w:szCs w:val="24"/>
                            </w:rPr>
                            <w:fldChar w:fldCharType="end"/>
                          </w:r>
                          <w:r>
                            <w:rPr>
                              <w:rStyle w:val="11"/>
                              <w:rFonts w:hint="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6"/>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18</w:t>
                    </w:r>
                    <w:r>
                      <w:rPr>
                        <w:sz w:val="24"/>
                        <w:szCs w:val="24"/>
                      </w:rPr>
                      <w:fldChar w:fldCharType="end"/>
                    </w:r>
                    <w:r>
                      <w:rPr>
                        <w:rStyle w:val="11"/>
                        <w:rFonts w:hint="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C30E2"/>
    <w:multiLevelType w:val="singleLevel"/>
    <w:tmpl w:val="48FC30E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WI1YTBjMDVmMmNiM2E1MjU2ZTkzMDY0OTdlNjQifQ=="/>
  </w:docVars>
  <w:rsids>
    <w:rsidRoot w:val="00AA468A"/>
    <w:rsid w:val="001F79BC"/>
    <w:rsid w:val="0021277D"/>
    <w:rsid w:val="0037277B"/>
    <w:rsid w:val="00840D33"/>
    <w:rsid w:val="00AA468A"/>
    <w:rsid w:val="00B458AB"/>
    <w:rsid w:val="00CB264D"/>
    <w:rsid w:val="00CE3CB8"/>
    <w:rsid w:val="00FE479F"/>
    <w:rsid w:val="05594EA2"/>
    <w:rsid w:val="179B7A92"/>
    <w:rsid w:val="1C61285F"/>
    <w:rsid w:val="25376656"/>
    <w:rsid w:val="27B33E3F"/>
    <w:rsid w:val="29A354C0"/>
    <w:rsid w:val="2E946CB2"/>
    <w:rsid w:val="2F7A7397"/>
    <w:rsid w:val="35997B68"/>
    <w:rsid w:val="389F2F67"/>
    <w:rsid w:val="3B6373F9"/>
    <w:rsid w:val="3C5D62B6"/>
    <w:rsid w:val="3DF83061"/>
    <w:rsid w:val="3F300D94"/>
    <w:rsid w:val="40693423"/>
    <w:rsid w:val="46CD5A05"/>
    <w:rsid w:val="4A2F3EE7"/>
    <w:rsid w:val="5A5D055E"/>
    <w:rsid w:val="60C51DA3"/>
    <w:rsid w:val="60F9565C"/>
    <w:rsid w:val="6247732B"/>
    <w:rsid w:val="64A55732"/>
    <w:rsid w:val="65044710"/>
    <w:rsid w:val="65C8499E"/>
    <w:rsid w:val="693B5FAC"/>
    <w:rsid w:val="71207B8D"/>
    <w:rsid w:val="73B96854"/>
    <w:rsid w:val="79860D39"/>
    <w:rsid w:val="7A1D45C3"/>
    <w:rsid w:val="7B3F7B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pPr>
      <w:spacing w:after="120"/>
    </w:pPr>
  </w:style>
  <w:style w:type="paragraph" w:styleId="5">
    <w:name w:val="Body Text Indent 2"/>
    <w:basedOn w:val="1"/>
    <w:qFormat/>
    <w:uiPriority w:val="0"/>
    <w:pPr>
      <w:ind w:firstLine="588" w:firstLineChars="200"/>
    </w:pPr>
    <w:rPr>
      <w:rFonts w:ascii="仿宋_GB2312" w:hAnsi="Calibri" w:eastAsia="仿宋_GB2312"/>
      <w:sz w:val="32"/>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page number"/>
    <w:qFormat/>
    <w:uiPriority w:val="0"/>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列出段落1"/>
    <w:basedOn w:val="1"/>
    <w:unhideWhenUsed/>
    <w:qFormat/>
    <w:uiPriority w:val="99"/>
    <w:pPr>
      <w:ind w:firstLine="420" w:firstLineChars="200"/>
    </w:pPr>
  </w:style>
  <w:style w:type="character" w:customStyle="1" w:styleId="14">
    <w:name w:val="UserStyle_1"/>
    <w:link w:val="15"/>
    <w:semiHidden/>
    <w:qFormat/>
    <w:uiPriority w:val="0"/>
  </w:style>
  <w:style w:type="paragraph" w:customStyle="1" w:styleId="15">
    <w:name w:val="UserStyle_2"/>
    <w:basedOn w:val="16"/>
    <w:link w:val="14"/>
    <w:qFormat/>
    <w:uiPriority w:val="0"/>
    <w:pPr>
      <w:spacing w:line="436" w:lineRule="exact"/>
      <w:ind w:left="357"/>
      <w:jc w:val="left"/>
    </w:pPr>
  </w:style>
  <w:style w:type="paragraph" w:customStyle="1" w:styleId="16">
    <w:name w:val="UserStyle_3"/>
    <w:basedOn w:val="1"/>
    <w:semiHidden/>
    <w:qFormat/>
    <w:uiPriority w:val="0"/>
    <w:pPr>
      <w:shd w:val="clear" w:color="auto" w:fill="000080"/>
    </w:pPr>
  </w:style>
  <w:style w:type="character" w:customStyle="1" w:styleId="17">
    <w:name w:val="NormalCharacter"/>
    <w:link w:val="18"/>
    <w:semiHidden/>
    <w:qFormat/>
    <w:uiPriority w:val="0"/>
  </w:style>
  <w:style w:type="paragraph" w:customStyle="1" w:styleId="18">
    <w:name w:val="UserStyle_6"/>
    <w:basedOn w:val="19"/>
    <w:link w:val="17"/>
    <w:qFormat/>
    <w:uiPriority w:val="0"/>
    <w:pPr>
      <w:spacing w:line="436" w:lineRule="exact"/>
      <w:ind w:left="357"/>
      <w:jc w:val="left"/>
    </w:pPr>
  </w:style>
  <w:style w:type="paragraph" w:customStyle="1" w:styleId="19">
    <w:name w:val="NavPane"/>
    <w:basedOn w:val="1"/>
    <w:semiHidden/>
    <w:qFormat/>
    <w:uiPriority w:val="0"/>
    <w:pPr>
      <w:shd w:val="clear" w:color="auto" w:fill="0000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YYBD</Company>
  <Pages>16</Pages>
  <Words>7390</Words>
  <Characters>7741</Characters>
  <Lines>69</Lines>
  <Paragraphs>19</Paragraphs>
  <TotalTime>4</TotalTime>
  <ScaleCrop>false</ScaleCrop>
  <LinksUpToDate>false</LinksUpToDate>
  <CharactersWithSpaces>8225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2018-05-23T10:39:00Z</dcterms:created>
  <dc:creator>Administrator</dc:creator>
  <cp:lastModifiedBy>Administrator</cp:lastModifiedBy>
  <cp:lastPrinted>2020-06-16T16:24:00Z</cp:lastPrinted>
  <dcterms:modified xsi:type="dcterms:W3CDTF">2023-07-23T08:28:15Z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2E7EA6F75D4640FC948AC0E2E458B9D5</vt:lpwstr>
  </property>
</Properties>
</file>