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22</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lang w:eastAsia="zh-CN"/>
        </w:rPr>
        <w:t>岳阳市君山产业开发区管委会</w:t>
      </w:r>
    </w:p>
    <w:p>
      <w:pPr>
        <w:spacing w:before="156"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150001</w:t>
      </w:r>
    </w:p>
    <w:p>
      <w:pPr>
        <w:spacing w:before="156"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12</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3"/>
        <w:tblW w:w="99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131"/>
        <w:gridCol w:w="119"/>
        <w:gridCol w:w="248"/>
        <w:gridCol w:w="99"/>
        <w:gridCol w:w="45"/>
        <w:gridCol w:w="1078"/>
        <w:gridCol w:w="209"/>
        <w:gridCol w:w="1143"/>
        <w:gridCol w:w="277"/>
        <w:gridCol w:w="809"/>
        <w:gridCol w:w="384"/>
        <w:gridCol w:w="1093"/>
        <w:gridCol w:w="227"/>
        <w:gridCol w:w="194"/>
        <w:gridCol w:w="256"/>
        <w:gridCol w:w="1086"/>
        <w:gridCol w:w="262"/>
        <w:gridCol w:w="142"/>
        <w:gridCol w:w="31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9920" w:type="dxa"/>
            <w:gridSpan w:val="20"/>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149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4044"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张诗饴</w:t>
            </w:r>
          </w:p>
        </w:tc>
        <w:tc>
          <w:tcPr>
            <w:tcW w:w="1093"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85"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07308170502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149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4044"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c>
          <w:tcPr>
            <w:tcW w:w="1093"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85"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6345" w:hRule="atLeast"/>
          <w:jc w:val="center"/>
        </w:trPr>
        <w:tc>
          <w:tcPr>
            <w:tcW w:w="149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422" w:type="dxa"/>
            <w:gridSpan w:val="17"/>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君山产业开发区党工委、管委会贯彻执行中央和省、市关于产业开发区的方针政策和决策部署，根据相关法律法规和区委、区政府授权履行组织领导、发展规划、区域开发、产业发展、投资促进、协调服务等职能。</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负责贯彻执行党和国家关于开发区建设的方针政策、法律法规和决策部署。(二)负责研究拟订和组织实施君山产业开发区重大发展战略、发展规划和工作计划。(三)负责依据君山区国土空间总体规划和产业发展规划要求及相关权限，统筹君山产业开发区建设发展空间布局。负责拟订君山产业开发区产业发展规划、产业布局、产业政策、项目准入标准等重要事项并经批准后组织实施。(四)负责君山产业开发区招商引资工作，组织对外经济技术合作与交流。负责君山产业开发区基础设施、公用事业、重大项目等建设管理相关工作。(五)负责君山产业开发区优化营商环境工作，根据权限依法承担有关行政审批工作，履行行政审批服务职责。负责构建君山产业开发区创新创业服务体系，协助企业做好人才引进和服务工作。(六)负责君山产业开发区的科技创新和高新技术产业管理和服务，开展有关科技创新和高新技术产业政策研究，构建技术创新服务体系。指导区内企业建立现代化企业制度，推进高新技术产业化、国际化。(七)负责君山产业开发区党的建设和非公有制经济组织党建工作。(八)根据有关要求和职责分工，承担或协助君山产业开发区综合管理、统计、审计、信息、安全生产监督管理、生态环境保护、财政收支管理及国有资产管理等工作。(九)承办区委、区人民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6014" w:hRule="atLeast"/>
          <w:jc w:val="center"/>
        </w:trPr>
        <w:tc>
          <w:tcPr>
            <w:tcW w:w="149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422"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1：园区主要经济指标方面：完成技工贸总收入302亿元，同比增长30%；完成主导产业主营业务收入240亿，同比增长32%；完成高新技术产业主营业务收入237亿，同比增长62%；完成固定资产投资总量55亿元，同比增长30%；完成税收约2.2亿元，工业税收恢复至往年同期水平。</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2：招商引资方面。全年引进工业项目18个，合同引资额33.81亿元。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3：项目服务方面。全年新增规上企业8家、高新技术企业7家、省级小巨人企业1家、省级农业产业化龙头企业2家、市级农业产业化龙头企业2家，目前合计共有规上企业58家、高新技术企业26家、小巨人5家、省级龙头企业5家，招商质量、产业韧性明显提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4：规划建设方面：嘉鑫生物、南博钢构跑出“君山速度”，其中嘉鑫生物40个工作日内实现签约、开工、投产，南博钢构实现3月签约、4月开工、11月投产；万雨合业成功试点“拿地即开工”改革，5个工作日内实现“四证齐发”后启动建设；国泰二期、电子配套产业园、交投物流园等6个项目均超预期进度建设；东方国鸿、李记食品等重大项目已完成主体建设，投产在即。同时，按照项目既定、配套先行的原则，启动:岳华西路、富岗路（二期）等道路建设，已完成80%项目建设，预计2023年3月可完工。启动标准化厂房供电六期、集中供热扩能扩产等配套项目建设。完成杨树路项目建设，完成鲜味滋、李记食品热力管道建设及标准化厂房四期热力管道改造，充分保障企业生产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1520" w:hRule="atLeast"/>
          <w:jc w:val="center"/>
        </w:trPr>
        <w:tc>
          <w:tcPr>
            <w:tcW w:w="149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422"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根据区委、区政府工作部署、党工委的工作安排，已完成本年度主要工作任务。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9920" w:type="dxa"/>
            <w:gridSpan w:val="20"/>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9920" w:type="dxa"/>
            <w:gridSpan w:val="20"/>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1642" w:type="dxa"/>
            <w:gridSpan w:val="5"/>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78"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00" w:type="dxa"/>
            <w:gridSpan w:val="1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29" w:hRule="atLeast"/>
          <w:jc w:val="center"/>
        </w:trPr>
        <w:tc>
          <w:tcPr>
            <w:tcW w:w="1642" w:type="dxa"/>
            <w:gridSpan w:val="5"/>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2"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7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2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798"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6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642"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78"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11596.56</w:t>
            </w:r>
          </w:p>
        </w:tc>
        <w:tc>
          <w:tcPr>
            <w:tcW w:w="1352"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310.39</w:t>
            </w:r>
          </w:p>
        </w:tc>
        <w:tc>
          <w:tcPr>
            <w:tcW w:w="147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7980.73</w:t>
            </w:r>
          </w:p>
        </w:tc>
        <w:tc>
          <w:tcPr>
            <w:tcW w:w="132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2500</w:t>
            </w:r>
          </w:p>
        </w:tc>
        <w:tc>
          <w:tcPr>
            <w:tcW w:w="1798"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1642" w:type="dxa"/>
            <w:gridSpan w:val="5"/>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78"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11596.56</w:t>
            </w:r>
          </w:p>
        </w:tc>
        <w:tc>
          <w:tcPr>
            <w:tcW w:w="1352"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310.39</w:t>
            </w:r>
          </w:p>
        </w:tc>
        <w:tc>
          <w:tcPr>
            <w:tcW w:w="147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7980.73</w:t>
            </w:r>
          </w:p>
        </w:tc>
        <w:tc>
          <w:tcPr>
            <w:tcW w:w="132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2500</w:t>
            </w:r>
          </w:p>
        </w:tc>
        <w:tc>
          <w:tcPr>
            <w:tcW w:w="1798" w:type="dxa"/>
            <w:gridSpan w:val="4"/>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26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805.44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79" w:hRule="atLeast"/>
          <w:jc w:val="center"/>
        </w:trPr>
        <w:tc>
          <w:tcPr>
            <w:tcW w:w="9920" w:type="dxa"/>
            <w:gridSpan w:val="20"/>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79" w:hRule="atLeast"/>
          <w:jc w:val="center"/>
        </w:trPr>
        <w:tc>
          <w:tcPr>
            <w:tcW w:w="1642" w:type="dxa"/>
            <w:gridSpan w:val="5"/>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78"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8" w:type="dxa"/>
            <w:gridSpan w:val="10"/>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22"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79" w:hRule="atLeast"/>
          <w:jc w:val="center"/>
        </w:trPr>
        <w:tc>
          <w:tcPr>
            <w:tcW w:w="1642" w:type="dxa"/>
            <w:gridSpan w:val="5"/>
            <w:vMerge w:val="continue"/>
            <w:noWrap w:val="0"/>
            <w:vAlign w:val="center"/>
          </w:tcPr>
          <w:p>
            <w:pPr>
              <w:spacing w:line="320" w:lineRule="exact"/>
              <w:jc w:val="center"/>
              <w:rPr>
                <w:rFonts w:ascii="仿宋_GB2312" w:hAnsi="仿宋_GB2312" w:eastAsia="仿宋_GB2312" w:cs="仿宋_GB2312"/>
                <w:sz w:val="24"/>
              </w:rPr>
            </w:pPr>
          </w:p>
        </w:tc>
        <w:tc>
          <w:tcPr>
            <w:tcW w:w="1078"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2"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7"/>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6"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17"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0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79" w:hRule="atLeast"/>
          <w:jc w:val="center"/>
        </w:trPr>
        <w:tc>
          <w:tcPr>
            <w:tcW w:w="1642" w:type="dxa"/>
            <w:gridSpan w:val="5"/>
            <w:vMerge w:val="continue"/>
            <w:noWrap w:val="0"/>
            <w:vAlign w:val="center"/>
          </w:tcPr>
          <w:p>
            <w:pPr>
              <w:spacing w:line="320" w:lineRule="exact"/>
              <w:jc w:val="center"/>
              <w:rPr>
                <w:rFonts w:ascii="仿宋_GB2312" w:hAnsi="仿宋_GB2312" w:eastAsia="仿宋_GB2312" w:cs="仿宋_GB2312"/>
                <w:sz w:val="24"/>
              </w:rPr>
            </w:pPr>
          </w:p>
        </w:tc>
        <w:tc>
          <w:tcPr>
            <w:tcW w:w="1078"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2"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7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6"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17"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0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642" w:type="dxa"/>
            <w:gridSpan w:val="5"/>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78"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10793.47</w:t>
            </w:r>
          </w:p>
        </w:tc>
        <w:tc>
          <w:tcPr>
            <w:tcW w:w="1352"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211.3</w:t>
            </w:r>
          </w:p>
        </w:tc>
        <w:tc>
          <w:tcPr>
            <w:tcW w:w="147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186.44</w:t>
            </w:r>
          </w:p>
        </w:tc>
        <w:tc>
          <w:tcPr>
            <w:tcW w:w="177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24.86</w:t>
            </w:r>
          </w:p>
        </w:tc>
        <w:tc>
          <w:tcPr>
            <w:tcW w:w="1086"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10582.17</w:t>
            </w:r>
          </w:p>
        </w:tc>
        <w:tc>
          <w:tcPr>
            <w:tcW w:w="717"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492.7</w:t>
            </w:r>
          </w:p>
        </w:tc>
        <w:tc>
          <w:tcPr>
            <w:tcW w:w="80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79" w:hRule="atLeast"/>
          <w:jc w:val="center"/>
        </w:trPr>
        <w:tc>
          <w:tcPr>
            <w:tcW w:w="1642" w:type="dxa"/>
            <w:gridSpan w:val="5"/>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78"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10793.47</w:t>
            </w:r>
          </w:p>
        </w:tc>
        <w:tc>
          <w:tcPr>
            <w:tcW w:w="1352"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211.3</w:t>
            </w:r>
          </w:p>
        </w:tc>
        <w:tc>
          <w:tcPr>
            <w:tcW w:w="147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186.44</w:t>
            </w:r>
          </w:p>
        </w:tc>
        <w:tc>
          <w:tcPr>
            <w:tcW w:w="177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24.86</w:t>
            </w:r>
          </w:p>
        </w:tc>
        <w:tc>
          <w:tcPr>
            <w:tcW w:w="1086"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10582.17</w:t>
            </w:r>
          </w:p>
        </w:tc>
        <w:tc>
          <w:tcPr>
            <w:tcW w:w="717"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492.7</w:t>
            </w:r>
          </w:p>
        </w:tc>
        <w:tc>
          <w:tcPr>
            <w:tcW w:w="80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310.39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79" w:hRule="atLeast"/>
          <w:jc w:val="center"/>
        </w:trPr>
        <w:tc>
          <w:tcPr>
            <w:tcW w:w="1642" w:type="dxa"/>
            <w:gridSpan w:val="5"/>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78"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200" w:type="dxa"/>
            <w:gridSpan w:val="1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642" w:type="dxa"/>
            <w:gridSpan w:val="5"/>
            <w:vMerge w:val="continue"/>
            <w:noWrap w:val="0"/>
            <w:vAlign w:val="center"/>
          </w:tcPr>
          <w:p>
            <w:pPr>
              <w:spacing w:line="320" w:lineRule="exact"/>
              <w:jc w:val="center"/>
              <w:rPr>
                <w:rFonts w:ascii="仿宋_GB2312" w:hAnsi="仿宋_GB2312" w:eastAsia="仿宋_GB2312" w:cs="仿宋_GB2312"/>
                <w:sz w:val="24"/>
              </w:rPr>
            </w:pPr>
          </w:p>
        </w:tc>
        <w:tc>
          <w:tcPr>
            <w:tcW w:w="1078"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2"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47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7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08"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642" w:type="dxa"/>
            <w:gridSpan w:val="5"/>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78"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23.21</w:t>
            </w:r>
          </w:p>
        </w:tc>
        <w:tc>
          <w:tcPr>
            <w:tcW w:w="1352"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17.7</w:t>
            </w:r>
          </w:p>
        </w:tc>
        <w:tc>
          <w:tcPr>
            <w:tcW w:w="147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w:t>
            </w:r>
          </w:p>
        </w:tc>
        <w:tc>
          <w:tcPr>
            <w:tcW w:w="177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08"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79" w:hRule="atLeast"/>
          <w:jc w:val="center"/>
        </w:trPr>
        <w:tc>
          <w:tcPr>
            <w:tcW w:w="1642" w:type="dxa"/>
            <w:gridSpan w:val="5"/>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78"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23.21</w:t>
            </w:r>
          </w:p>
        </w:tc>
        <w:tc>
          <w:tcPr>
            <w:tcW w:w="1352"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17.7</w:t>
            </w:r>
          </w:p>
        </w:tc>
        <w:tc>
          <w:tcPr>
            <w:tcW w:w="147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5.51</w:t>
            </w:r>
          </w:p>
        </w:tc>
        <w:tc>
          <w:tcPr>
            <w:tcW w:w="177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08"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79" w:hRule="atLeast"/>
          <w:jc w:val="center"/>
        </w:trPr>
        <w:tc>
          <w:tcPr>
            <w:tcW w:w="1642" w:type="dxa"/>
            <w:gridSpan w:val="5"/>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78"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82" w:type="dxa"/>
            <w:gridSpan w:val="12"/>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18"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79" w:hRule="atLeast"/>
          <w:jc w:val="center"/>
        </w:trPr>
        <w:tc>
          <w:tcPr>
            <w:tcW w:w="1642" w:type="dxa"/>
            <w:gridSpan w:val="5"/>
            <w:vMerge w:val="continue"/>
            <w:noWrap w:val="0"/>
            <w:vAlign w:val="center"/>
          </w:tcPr>
          <w:p>
            <w:pPr>
              <w:spacing w:line="320" w:lineRule="exact"/>
              <w:jc w:val="center"/>
              <w:rPr>
                <w:rFonts w:ascii="仿宋_GB2312" w:hAnsi="仿宋_GB2312" w:eastAsia="仿宋_GB2312" w:cs="仿宋_GB2312"/>
                <w:sz w:val="24"/>
              </w:rPr>
            </w:pPr>
          </w:p>
        </w:tc>
        <w:tc>
          <w:tcPr>
            <w:tcW w:w="1078"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22" w:type="dxa"/>
            <w:gridSpan w:val="5"/>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60"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118"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642" w:type="dxa"/>
            <w:gridSpan w:val="5"/>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78"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531.25</w:t>
            </w:r>
          </w:p>
        </w:tc>
        <w:tc>
          <w:tcPr>
            <w:tcW w:w="2822" w:type="dxa"/>
            <w:gridSpan w:val="5"/>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531.25</w:t>
            </w:r>
          </w:p>
        </w:tc>
        <w:tc>
          <w:tcPr>
            <w:tcW w:w="3260"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8"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79" w:hRule="atLeast"/>
          <w:jc w:val="center"/>
        </w:trPr>
        <w:tc>
          <w:tcPr>
            <w:tcW w:w="1642" w:type="dxa"/>
            <w:gridSpan w:val="5"/>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78"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531.25</w:t>
            </w:r>
          </w:p>
        </w:tc>
        <w:tc>
          <w:tcPr>
            <w:tcW w:w="2822" w:type="dxa"/>
            <w:gridSpan w:val="5"/>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531.25</w:t>
            </w:r>
          </w:p>
        </w:tc>
        <w:tc>
          <w:tcPr>
            <w:tcW w:w="3260"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8"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9920" w:type="dxa"/>
            <w:gridSpan w:val="20"/>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1250"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292"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78"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10994" w:hRule="atLeast"/>
          <w:jc w:val="center"/>
        </w:trPr>
        <w:tc>
          <w:tcPr>
            <w:tcW w:w="1250" w:type="dxa"/>
            <w:gridSpan w:val="2"/>
            <w:vMerge w:val="continue"/>
            <w:noWrap w:val="0"/>
            <w:vAlign w:val="center"/>
          </w:tcPr>
          <w:p>
            <w:pPr>
              <w:spacing w:line="320" w:lineRule="exact"/>
              <w:rPr>
                <w:rFonts w:ascii="仿宋_GB2312" w:hAnsi="仿宋_GB2312" w:eastAsia="仿宋_GB2312" w:cs="仿宋_GB2312"/>
                <w:sz w:val="24"/>
              </w:rPr>
            </w:pPr>
          </w:p>
        </w:tc>
        <w:tc>
          <w:tcPr>
            <w:tcW w:w="4292" w:type="dxa"/>
            <w:gridSpan w:val="9"/>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1：园区主要经济指标方面：完成技工贸总收入302亿元，同比增长30%；完成主导产业主营业务收入240亿，同比增长32%；完成高新技术产业主营业务收入237亿，同比增长62%；完成固定资产投资总量55亿元，同比增长30%；完成税收约2.2亿元，工业税收恢复至往年同期水平。</w:t>
            </w: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2：招商引资方面。全年引进工业项目18个，合同引资额33.81亿元。</w:t>
            </w: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3：项目服务方面。全年新增规上企业8家、高新技术企业7家、省级小巨人企业1家、省级农业产业化龙头企业2家、市级农业产业化龙头企业2家，目前合计共有规上企业58家、高新技术企业26家、小巨人5家、省级龙头企业5家，招商质量、产业韧性明显提升。</w:t>
            </w: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4：规划建设方面：嘉鑫生物、南博钢构跑出“君山速度”，其中嘉鑫生物40个工作日内实现签约、开工、投产，南博钢构实现3月签约、4月开工、11月投产；万雨合业成功试点“拿地即开工”改革，5个工作日内实现“四证齐发”后启动建设；国泰二期、电子配套产业园、交投物流园等6个项目均超预期进度建设；东方国鸿、李记食品等重大项目已完成主体建设，投产在即。同时，按照项目既定、配套先行的原则，启动:岳华西路、富岗路（二期）等道路建设，已完成80%项目建设，预计2023年3月可完工。启动标准化厂房供电六期、集中供热扩能扩产等配套项目建设。完成杨树路项目建设，完成鲜味滋、李记食品热力管道建设及标准化厂房四期热力管道改造，充分保障企业生产需求。</w:t>
            </w:r>
          </w:p>
        </w:tc>
        <w:tc>
          <w:tcPr>
            <w:tcW w:w="4378"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1：园区主要经济指标方面：完成技工贸总收入302亿元，同比增长30%；完成主导产业主营业务收入240亿，同比增长32%；完成高新技术产业主营业务收入237亿，同比增长62%；完成固定资产投资总量55亿元，同比增长30%；完成税收约2.2亿元，工业税收恢复至往年同期水平。</w:t>
            </w: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2：招商引资方面。全年引进工业项目18个，合同引资额33.81亿元。</w:t>
            </w: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3：项目服务方面。全年新增规上企业8家、高新技术企业7家、省级小巨人企业1家、省级农业产业化龙头企业2家、市级农业产业化龙头企业2家，目前合计共有规上企业58家、高新技术企业26家、小巨人5家、省级龙头企业5家，招商质量、产业韧性明显提升。</w:t>
            </w: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4：规划建设方面：嘉鑫生物、南博钢构跑出“君山速度”，其中嘉鑫生物40个工作日内实现签约、开工、投产，南博钢构实现3月签约、4月开工、11月投产；万雨合业成功试点“拿地即开工”改革，5个工作日内实现“四证齐发”后启动建设；国泰二期、电子配套产业园、交投物流园等6个项目均超预期进度建设；东方国鸿、李记食品等重大项目已完成主体建设，投产在即。同时，按照项目既定、配套先行的原则，启动:岳华西路、富岗路（二期）等道路建设，已完成80%项目建设，预计2023年3月可完工。启动标准化厂房供电六期、集中供热扩能扩产等配套项目建设。完成杨树路项目建设，完成鲜味滋、李记食品热力管道建设及标准化厂房四期热力管道改造，充分保障企业生产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1368" w:hRule="atLeast"/>
          <w:jc w:val="center"/>
        </w:trPr>
        <w:tc>
          <w:tcPr>
            <w:tcW w:w="125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099"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7"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372" w:hRule="atLeast"/>
          <w:jc w:val="center"/>
        </w:trPr>
        <w:tc>
          <w:tcPr>
            <w:tcW w:w="1131" w:type="dxa"/>
            <w:vMerge w:val="restart"/>
            <w:noWrap w:val="0"/>
            <w:vAlign w:val="center"/>
          </w:tcPr>
          <w:p>
            <w:pPr>
              <w:spacing w:line="320" w:lineRule="exact"/>
              <w:rPr>
                <w:rFonts w:ascii="仿宋_GB2312" w:hAnsi="仿宋_GB2312" w:eastAsia="仿宋_GB2312" w:cs="仿宋_GB2312"/>
                <w:sz w:val="24"/>
              </w:rPr>
            </w:pPr>
          </w:p>
        </w:tc>
        <w:tc>
          <w:tcPr>
            <w:tcW w:w="1798" w:type="dxa"/>
            <w:gridSpan w:val="6"/>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20"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7"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加大招商引资力度</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372"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vMerge w:val="continue"/>
            <w:noWrap w:val="0"/>
            <w:vAlign w:val="center"/>
          </w:tcPr>
          <w:p>
            <w:pPr>
              <w:spacing w:line="320" w:lineRule="exact"/>
              <w:rPr>
                <w:rFonts w:ascii="仿宋_GB2312" w:hAnsi="仿宋_GB2312" w:eastAsia="仿宋_GB2312" w:cs="仿宋_GB2312"/>
                <w:sz w:val="24"/>
              </w:rPr>
            </w:pPr>
          </w:p>
        </w:tc>
        <w:tc>
          <w:tcPr>
            <w:tcW w:w="2707"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加快基础设施建设</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7"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指标1：完成技工贸总收入302亿元</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1035"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7"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指标2：完成主导产业主营业务收入240亿</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高新技术产业主营业务收入237亿</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7"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完成固定资产投资总量55亿元</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7" w:type="dxa"/>
            <w:gridSpan w:val="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完成税收约2.2亿元</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372"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7"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招商引资任务</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372"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7"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指标2：项目服务</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7"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支出控制在财政预算内</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7"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保障资金</w:t>
            </w:r>
            <w:r>
              <w:rPr>
                <w:rFonts w:hint="eastAsia" w:ascii="仿宋_GB2312" w:hAnsi="仿宋_GB2312" w:eastAsia="仿宋_GB2312" w:cs="仿宋_GB2312"/>
                <w:color w:val="000000"/>
                <w:sz w:val="24"/>
                <w:lang w:val="en-US" w:eastAsia="zh-CN"/>
              </w:rPr>
              <w:t>合理</w:t>
            </w:r>
            <w:r>
              <w:rPr>
                <w:rFonts w:hint="eastAsia" w:ascii="仿宋_GB2312" w:hAnsi="仿宋_GB2312" w:eastAsia="仿宋_GB2312" w:cs="仿宋_GB2312"/>
                <w:color w:val="000000"/>
                <w:sz w:val="24"/>
                <w:lang w:eastAsia="zh-CN"/>
              </w:rPr>
              <w:t>使用，不产生其他成本</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704"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2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7"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带动当地就业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让企业有归属感</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1035"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7"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促进区内对外、对内经济发展；</w:t>
            </w: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提高企业税收，创造经济效益。</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1035"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7" w:type="dxa"/>
            <w:gridSpan w:val="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提高环保工作质量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指标2：清理园区建筑生活垃圾，创造</w:t>
            </w:r>
            <w:r>
              <w:rPr>
                <w:rFonts w:hint="eastAsia" w:ascii="仿宋_GB2312" w:hAnsi="仿宋_GB2312" w:eastAsia="仿宋_GB2312" w:cs="仿宋_GB2312"/>
                <w:color w:val="000000"/>
                <w:sz w:val="24"/>
                <w:lang w:val="en-US" w:eastAsia="zh-CN"/>
              </w:rPr>
              <w:t>优质</w:t>
            </w:r>
            <w:r>
              <w:rPr>
                <w:rFonts w:hint="eastAsia" w:ascii="仿宋_GB2312" w:hAnsi="仿宋_GB2312" w:eastAsia="仿宋_GB2312" w:cs="仿宋_GB2312"/>
                <w:color w:val="000000"/>
                <w:sz w:val="24"/>
              </w:rPr>
              <w:t>生产环境。</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1035" w:hRule="atLeast"/>
          <w:jc w:val="center"/>
        </w:trPr>
        <w:tc>
          <w:tcPr>
            <w:tcW w:w="1131" w:type="dxa"/>
            <w:vMerge w:val="continue"/>
            <w:noWrap w:val="0"/>
            <w:vAlign w:val="center"/>
          </w:tcPr>
          <w:p>
            <w:pPr>
              <w:spacing w:line="320" w:lineRule="exact"/>
              <w:rPr>
                <w:rFonts w:ascii="仿宋_GB2312" w:hAnsi="仿宋_GB2312" w:eastAsia="仿宋_GB2312" w:cs="仿宋_GB2312"/>
                <w:sz w:val="24"/>
              </w:rPr>
            </w:pPr>
          </w:p>
        </w:tc>
        <w:tc>
          <w:tcPr>
            <w:tcW w:w="1798" w:type="dxa"/>
            <w:gridSpan w:val="6"/>
            <w:vMerge w:val="continue"/>
            <w:noWrap w:val="0"/>
            <w:vAlign w:val="center"/>
          </w:tcPr>
          <w:p>
            <w:pPr>
              <w:autoSpaceDN w:val="0"/>
              <w:spacing w:line="320" w:lineRule="exact"/>
              <w:rPr>
                <w:rFonts w:ascii="仿宋_GB2312" w:hAnsi="仿宋_GB2312" w:eastAsia="仿宋_GB2312" w:cs="仿宋_GB2312"/>
                <w:sz w:val="24"/>
              </w:rPr>
            </w:pPr>
          </w:p>
        </w:tc>
        <w:tc>
          <w:tcPr>
            <w:tcW w:w="142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7"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提高企业对园区服务工作、物业工作的满意度</w:t>
            </w:r>
          </w:p>
        </w:tc>
        <w:tc>
          <w:tcPr>
            <w:tcW w:w="286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2929"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91" w:type="dxa"/>
            <w:gridSpan w:val="1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Before w:w="0" w:type="auto"/>
          <w:trHeight w:val="444" w:hRule="atLeast"/>
          <w:jc w:val="center"/>
        </w:trPr>
        <w:tc>
          <w:tcPr>
            <w:tcW w:w="2929"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91" w:type="dxa"/>
            <w:gridSpan w:val="1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515" w:hRule="atLeast"/>
          <w:jc w:val="center"/>
        </w:trPr>
        <w:tc>
          <w:tcPr>
            <w:tcW w:w="9920" w:type="dxa"/>
            <w:gridSpan w:val="20"/>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444" w:hRule="atLeast"/>
          <w:jc w:val="center"/>
        </w:trPr>
        <w:tc>
          <w:tcPr>
            <w:tcW w:w="1597"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方学龙</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rPr>
            </w:pPr>
            <w:r>
              <w:rPr>
                <w:rFonts w:hint="eastAsia" w:ascii="仿宋_GB2312" w:hAnsi="仿宋_GB2312" w:eastAsia="仿宋_GB2312" w:cs="仿宋_GB2312"/>
                <w:color w:val="000000"/>
                <w:sz w:val="24"/>
                <w:highlight w:val="none"/>
                <w:lang w:eastAsia="zh-CN"/>
              </w:rPr>
              <w:t>党工委书记</w:t>
            </w:r>
          </w:p>
        </w:tc>
        <w:tc>
          <w:tcPr>
            <w:tcW w:w="147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芦建文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rPr>
            </w:pPr>
            <w:r>
              <w:rPr>
                <w:rFonts w:hint="eastAsia" w:ascii="仿宋_GB2312" w:hAnsi="仿宋_GB2312" w:eastAsia="仿宋_GB2312" w:cs="仿宋_GB2312"/>
                <w:color w:val="000000"/>
                <w:sz w:val="24"/>
                <w:highlight w:val="none"/>
                <w:lang w:eastAsia="zh-CN"/>
              </w:rPr>
              <w:t>党工委副书记、管委会主任</w:t>
            </w:r>
          </w:p>
        </w:tc>
        <w:tc>
          <w:tcPr>
            <w:tcW w:w="1477"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赖</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rPr>
            </w:pPr>
            <w:r>
              <w:rPr>
                <w:rFonts w:hint="eastAsia" w:ascii="仿宋_GB2312" w:hAnsi="仿宋_GB2312" w:eastAsia="仿宋_GB2312" w:cs="仿宋_GB2312"/>
                <w:color w:val="000000"/>
                <w:sz w:val="24"/>
                <w:highlight w:val="none"/>
                <w:lang w:eastAsia="zh-CN"/>
              </w:rPr>
              <w:t>党工委副书记</w:t>
            </w:r>
          </w:p>
        </w:tc>
        <w:tc>
          <w:tcPr>
            <w:tcW w:w="1477"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杨永新</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党工委委员、管委会副主任</w:t>
            </w:r>
          </w:p>
        </w:tc>
        <w:tc>
          <w:tcPr>
            <w:tcW w:w="147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徐海辉</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党工委委员、管委会副主任</w:t>
            </w:r>
          </w:p>
        </w:tc>
        <w:tc>
          <w:tcPr>
            <w:tcW w:w="147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王</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亮</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rPr>
            </w:pPr>
            <w:r>
              <w:rPr>
                <w:rFonts w:hint="eastAsia" w:ascii="仿宋_GB2312" w:hAnsi="仿宋_GB2312" w:eastAsia="仿宋_GB2312" w:cs="仿宋_GB2312"/>
                <w:color w:val="000000"/>
                <w:sz w:val="24"/>
                <w:highlight w:val="none"/>
                <w:lang w:eastAsia="zh-CN"/>
              </w:rPr>
              <w:t>党工委委员、纪工委书记</w:t>
            </w:r>
          </w:p>
        </w:tc>
        <w:tc>
          <w:tcPr>
            <w:tcW w:w="1477"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679"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唐忠亮</w:t>
            </w: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highlight w:val="none"/>
                <w:lang w:val="en-US" w:eastAsia="zh-CN"/>
              </w:rPr>
            </w:pPr>
            <w:r>
              <w:rPr>
                <w:rFonts w:hint="eastAsia" w:ascii="仿宋_GB2312" w:hAnsi="仿宋_GB2312" w:eastAsia="仿宋_GB2312" w:cs="仿宋_GB2312"/>
                <w:color w:val="000000"/>
                <w:sz w:val="24"/>
                <w:highlight w:val="none"/>
                <w:lang w:eastAsia="zh-CN"/>
              </w:rPr>
              <w:t>党工委委员、管委会副主任</w:t>
            </w:r>
          </w:p>
        </w:tc>
        <w:tc>
          <w:tcPr>
            <w:tcW w:w="1477"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吴淳杰</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rPr>
            </w:pPr>
            <w:r>
              <w:rPr>
                <w:rFonts w:hint="eastAsia" w:ascii="仿宋_GB2312" w:hAnsi="仿宋_GB2312" w:eastAsia="仿宋_GB2312" w:cs="仿宋_GB2312"/>
                <w:color w:val="000000"/>
                <w:sz w:val="24"/>
                <w:highlight w:val="none"/>
                <w:lang w:eastAsia="zh-CN"/>
              </w:rPr>
              <w:t>综合管理部部长</w:t>
            </w:r>
          </w:p>
        </w:tc>
        <w:tc>
          <w:tcPr>
            <w:tcW w:w="1477"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袁</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凯</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rPr>
            </w:pPr>
            <w:r>
              <w:rPr>
                <w:rFonts w:hint="eastAsia" w:ascii="仿宋_GB2312" w:hAnsi="仿宋_GB2312" w:eastAsia="仿宋_GB2312" w:cs="仿宋_GB2312"/>
                <w:color w:val="000000"/>
                <w:sz w:val="24"/>
                <w:highlight w:val="none"/>
                <w:lang w:eastAsia="zh-CN"/>
              </w:rPr>
              <w:t>开发建设部部长</w:t>
            </w:r>
          </w:p>
        </w:tc>
        <w:tc>
          <w:tcPr>
            <w:tcW w:w="1477"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张诗饴</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rPr>
            </w:pPr>
            <w:r>
              <w:rPr>
                <w:rFonts w:hint="eastAsia" w:ascii="仿宋_GB2312" w:hAnsi="仿宋_GB2312" w:eastAsia="仿宋_GB2312" w:cs="仿宋_GB2312"/>
                <w:color w:val="000000"/>
                <w:sz w:val="24"/>
                <w:highlight w:val="none"/>
                <w:lang w:eastAsia="zh-CN"/>
              </w:rPr>
              <w:t>财政金融部部长</w:t>
            </w:r>
          </w:p>
        </w:tc>
        <w:tc>
          <w:tcPr>
            <w:tcW w:w="1477"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王</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兰</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none"/>
                <w:lang w:val="en-US" w:eastAsia="zh-CN"/>
              </w:rPr>
            </w:pPr>
            <w:r>
              <w:rPr>
                <w:rFonts w:hint="eastAsia" w:ascii="仿宋_GB2312" w:hAnsi="仿宋_GB2312" w:eastAsia="仿宋_GB2312" w:cs="仿宋_GB2312"/>
                <w:color w:val="000000"/>
                <w:sz w:val="24"/>
                <w:highlight w:val="none"/>
                <w:lang w:eastAsia="zh-CN"/>
              </w:rPr>
              <w:t>经济合作部部长</w:t>
            </w:r>
          </w:p>
        </w:tc>
        <w:tc>
          <w:tcPr>
            <w:tcW w:w="1477"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704" w:hRule="atLeast"/>
          <w:jc w:val="center"/>
        </w:trPr>
        <w:tc>
          <w:tcPr>
            <w:tcW w:w="159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胡文忠</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产业发展部部长</w:t>
            </w:r>
          </w:p>
        </w:tc>
        <w:tc>
          <w:tcPr>
            <w:tcW w:w="147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君山产业开发区管委会</w:t>
            </w:r>
          </w:p>
        </w:tc>
        <w:tc>
          <w:tcPr>
            <w:tcW w:w="3285"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2363" w:hRule="atLeast"/>
          <w:jc w:val="center"/>
        </w:trPr>
        <w:tc>
          <w:tcPr>
            <w:tcW w:w="9920" w:type="dxa"/>
            <w:gridSpan w:val="20"/>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2363" w:hRule="atLeast"/>
          <w:jc w:val="center"/>
        </w:trPr>
        <w:tc>
          <w:tcPr>
            <w:tcW w:w="9920" w:type="dxa"/>
            <w:gridSpan w:val="20"/>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wAfter w:w="0" w:type="auto"/>
          <w:trHeight w:val="2403" w:hRule="atLeast"/>
          <w:jc w:val="center"/>
        </w:trPr>
        <w:tc>
          <w:tcPr>
            <w:tcW w:w="9920" w:type="dxa"/>
            <w:gridSpan w:val="20"/>
            <w:noWrap w:val="0"/>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张诗饴</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07308170502</w:t>
      </w:r>
    </w:p>
    <w:p>
      <w:pPr>
        <w:sectPr>
          <w:pgSz w:w="11906" w:h="16838"/>
          <w:pgMar w:top="1440" w:right="1800" w:bottom="1440" w:left="1800" w:header="851" w:footer="992" w:gutter="0"/>
          <w:cols w:space="425" w:num="1"/>
          <w:docGrid w:type="lines" w:linePitch="312" w:charSpace="0"/>
        </w:sect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君山产业开发区党工委、管委会贯彻执行中央和省、市关于产业开发区的方针政策和决策部署，根据相关法律法规和区委、区政府授权履行组织领导、发展规划、区域开发、产业发展、投资促进、协调服务等职能。</w:t>
            </w:r>
            <w:r>
              <w:rPr>
                <w:rFonts w:hint="eastAsia" w:ascii="仿宋_GB2312" w:hAnsi="仿宋_GB2312" w:eastAsia="仿宋_GB2312" w:cs="仿宋_GB2312"/>
                <w:bCs/>
                <w:sz w:val="28"/>
                <w:szCs w:val="28"/>
                <w:lang w:eastAsia="zh-CN"/>
              </w:rPr>
              <w:t>我单位属于</w:t>
            </w:r>
            <w:r>
              <w:rPr>
                <w:rFonts w:hint="eastAsia" w:ascii="仿宋_GB2312" w:hAnsi="仿宋_GB2312" w:eastAsia="仿宋_GB2312" w:cs="仿宋_GB2312"/>
                <w:bCs/>
                <w:sz w:val="28"/>
                <w:szCs w:val="28"/>
              </w:rPr>
              <w:t>区财政全额拨款事业单位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年区编办核实人员编制数为1</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人，年底实有人数为1</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人。内设有部室有</w:t>
            </w:r>
            <w:r>
              <w:rPr>
                <w:rFonts w:hint="eastAsia" w:ascii="仿宋_GB2312" w:hAnsi="仿宋_GB2312" w:eastAsia="仿宋_GB2312" w:cs="仿宋_GB2312"/>
                <w:bCs/>
                <w:sz w:val="28"/>
                <w:szCs w:val="28"/>
                <w:lang w:eastAsia="zh-CN"/>
              </w:rPr>
              <w:t>综合管理部、开发建设部、经济合作部、产业发展部、财政金融部</w:t>
            </w:r>
            <w:r>
              <w:rPr>
                <w:rFonts w:hint="eastAsia" w:ascii="仿宋_GB2312" w:hAnsi="仿宋_GB2312" w:eastAsia="仿宋_GB2312" w:cs="仿宋_GB2312"/>
                <w:bCs/>
                <w:sz w:val="28"/>
                <w:szCs w:val="28"/>
              </w:rPr>
              <w:t>等。主要工作职责如下：</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负责贯彻执行党和国家关于开发区建设的方针政策、法律法规和决策部署。</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负责研究拟订和组织实施君山产业开发区重大发展战略、发展规划和工作计划。</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负责依据君山区国土空间总体规划和产业发展规划要求及相关权限，统筹君山产业开发区建设发展空间布局。负责拟订君山产业开发区产业发展规划、产业布局、产业政策、项目准入标准等重要事项并经批准后组织实施。</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负责君山产业开发区招商引资工作，组织对外经济技术合作与交流。负责君山产业开发区基础设施、公用事业、重大项目等建设管理相关工作。</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负责君山产业开发区优化营商环境工作，根据权限依法承担有关行政审批工作，履行行政审批服务职责。负责构建君山产业开发区创新创业服务体系，协助企业做好人才引进和服务工作。</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负责君山产业开发区的科技创新和高新技术产业管理和服务，开展有关科技创新和高新技术产业政策研究，构建技术创新服务体系。指导区内企业建立现代化企业制度，推进高新技术产业化、国际化。</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负责君山产业开发区党的建设和非公有制经济组织党建工作。</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根据有关要求和职责分工，承担或协助君山产业开发区综合管理、统计、审计、信息、安全生产监督管理、生态环境保护、财政收支管理及国有资产管理等工作。</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承办区委、区人民政府交办的其他事项。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部门整体支出10793.47万元，主要用于单位日常基本支出、招商引资工作、基础设施配套建设、企业服务工作和对企业的补助资金等。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我单位基本支出主要用于维护机关正常工作的开展和运行所产生的费用，“三公”经费严格按照年初预算支出。20</w:t>
            </w: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年基本支出</w:t>
            </w:r>
            <w:r>
              <w:rPr>
                <w:rFonts w:hint="eastAsia" w:ascii="仿宋_GB2312" w:hAnsi="仿宋_GB2312" w:eastAsia="仿宋_GB2312" w:cs="仿宋_GB2312"/>
                <w:bCs/>
                <w:sz w:val="28"/>
                <w:szCs w:val="28"/>
                <w:lang w:val="en-US" w:eastAsia="zh-CN"/>
              </w:rPr>
              <w:t>211.3</w:t>
            </w:r>
            <w:r>
              <w:rPr>
                <w:rFonts w:hint="eastAsia" w:ascii="仿宋_GB2312" w:hAnsi="仿宋_GB2312" w:eastAsia="仿宋_GB2312" w:cs="仿宋_GB2312"/>
                <w:bCs/>
                <w:sz w:val="28"/>
                <w:szCs w:val="28"/>
              </w:rPr>
              <w:t>万元，其中人员支出</w:t>
            </w:r>
            <w:r>
              <w:rPr>
                <w:rFonts w:hint="eastAsia" w:ascii="仿宋_GB2312" w:hAnsi="仿宋_GB2312" w:eastAsia="仿宋_GB2312" w:cs="仿宋_GB2312"/>
                <w:bCs/>
                <w:sz w:val="28"/>
                <w:szCs w:val="28"/>
                <w:lang w:val="en-US" w:eastAsia="zh-CN"/>
              </w:rPr>
              <w:t>186.44</w:t>
            </w:r>
            <w:r>
              <w:rPr>
                <w:rFonts w:hint="eastAsia" w:ascii="仿宋_GB2312" w:hAnsi="仿宋_GB2312" w:eastAsia="仿宋_GB2312" w:cs="仿宋_GB2312"/>
                <w:bCs/>
                <w:sz w:val="28"/>
                <w:szCs w:val="28"/>
              </w:rPr>
              <w:t>万元，日常公用支出</w:t>
            </w:r>
            <w:r>
              <w:rPr>
                <w:rFonts w:hint="eastAsia" w:ascii="仿宋_GB2312" w:hAnsi="仿宋_GB2312" w:eastAsia="仿宋_GB2312" w:cs="仿宋_GB2312"/>
                <w:bCs/>
                <w:sz w:val="28"/>
                <w:szCs w:val="28"/>
                <w:lang w:val="en-US" w:eastAsia="zh-CN"/>
              </w:rPr>
              <w:t>24.86</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numPr>
                <w:numId w:val="0"/>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专项支出总计</w:t>
            </w:r>
            <w:r>
              <w:rPr>
                <w:rFonts w:hint="eastAsia" w:ascii="仿宋_GB2312" w:hAnsi="仿宋_GB2312" w:eastAsia="仿宋_GB2312" w:cs="仿宋_GB2312"/>
                <w:bCs/>
                <w:sz w:val="28"/>
                <w:szCs w:val="28"/>
                <w:lang w:val="en-US" w:eastAsia="zh-CN"/>
              </w:rPr>
              <w:t>10582.17</w:t>
            </w:r>
            <w:r>
              <w:rPr>
                <w:rFonts w:hint="eastAsia" w:ascii="仿宋_GB2312" w:hAnsi="仿宋_GB2312" w:eastAsia="仿宋_GB2312" w:cs="仿宋_GB2312"/>
                <w:bCs/>
                <w:sz w:val="28"/>
                <w:szCs w:val="28"/>
              </w:rPr>
              <w:t>万元。项目资金由财政统一拨付。</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2、专项资金实际使用情况</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专项支出总计</w:t>
            </w:r>
            <w:r>
              <w:rPr>
                <w:rFonts w:hint="eastAsia" w:ascii="仿宋_GB2312" w:hAnsi="仿宋_GB2312" w:eastAsia="仿宋_GB2312" w:cs="仿宋_GB2312"/>
                <w:bCs/>
                <w:sz w:val="28"/>
                <w:szCs w:val="28"/>
                <w:lang w:val="en-US" w:eastAsia="zh-CN"/>
              </w:rPr>
              <w:t>10582.17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主要用于</w:t>
            </w:r>
            <w:r>
              <w:rPr>
                <w:rFonts w:hint="eastAsia" w:ascii="仿宋_GB2312" w:hAnsi="仿宋_GB2312" w:eastAsia="仿宋_GB2312" w:cs="仿宋_GB2312"/>
                <w:bCs/>
                <w:sz w:val="28"/>
                <w:szCs w:val="28"/>
              </w:rPr>
              <w:t>招商引资工作、基础设施配套建设、企业服务工作和对企业的补助资金等</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我单位根据区财政局专项资金管理政策，细化制定了适用于园区的专项资金财务管理办法，资金拨付时严格按照专项资金审批程序组织实行，保障各款项实现专款专用。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今年专项资金</w:t>
            </w:r>
            <w:r>
              <w:rPr>
                <w:rFonts w:hint="eastAsia" w:ascii="仿宋_GB2312" w:hAnsi="仿宋_GB2312" w:eastAsia="仿宋_GB2312" w:cs="仿宋_GB2312"/>
                <w:bCs/>
                <w:sz w:val="28"/>
                <w:szCs w:val="28"/>
                <w:lang w:eastAsia="zh-CN"/>
              </w:rPr>
              <w:t>收入</w:t>
            </w:r>
            <w:r>
              <w:rPr>
                <w:rFonts w:hint="eastAsia" w:ascii="仿宋_GB2312" w:hAnsi="仿宋_GB2312" w:eastAsia="仿宋_GB2312" w:cs="仿宋_GB2312"/>
                <w:bCs/>
                <w:sz w:val="28"/>
                <w:szCs w:val="28"/>
                <w:lang w:val="en-US" w:eastAsia="zh-CN"/>
              </w:rPr>
              <w:t>11074.87</w:t>
            </w:r>
            <w:r>
              <w:rPr>
                <w:rFonts w:hint="eastAsia" w:ascii="仿宋_GB2312" w:hAnsi="仿宋_GB2312" w:eastAsia="仿宋_GB2312" w:cs="仿宋_GB2312"/>
                <w:bCs/>
                <w:sz w:val="28"/>
                <w:szCs w:val="28"/>
              </w:rPr>
              <w:t>万元，主要用于招商引资、标准化厂房建设、基础设施建设</w:t>
            </w:r>
            <w:r>
              <w:rPr>
                <w:rFonts w:hint="eastAsia" w:ascii="仿宋_GB2312" w:hAnsi="仿宋_GB2312" w:eastAsia="仿宋_GB2312" w:cs="仿宋_GB2312"/>
                <w:bCs/>
                <w:sz w:val="28"/>
                <w:szCs w:val="28"/>
                <w:lang w:eastAsia="zh-CN"/>
              </w:rPr>
              <w:t>及区内总部经济项目补助等</w:t>
            </w:r>
            <w:r>
              <w:rPr>
                <w:rFonts w:hint="eastAsia" w:ascii="仿宋_GB2312" w:hAnsi="仿宋_GB2312" w:eastAsia="仿宋_GB2312" w:cs="仿宋_GB2312"/>
                <w:bCs/>
                <w:sz w:val="28"/>
                <w:szCs w:val="28"/>
              </w:rPr>
              <w:t>。专项支出总计</w:t>
            </w:r>
            <w:r>
              <w:rPr>
                <w:rFonts w:hint="eastAsia" w:ascii="仿宋_GB2312" w:hAnsi="仿宋_GB2312" w:eastAsia="仿宋_GB2312" w:cs="仿宋_GB2312"/>
                <w:bCs/>
                <w:sz w:val="28"/>
                <w:szCs w:val="28"/>
                <w:lang w:val="en-US" w:eastAsia="zh-CN"/>
              </w:rPr>
              <w:t>10582.17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主要用于</w:t>
            </w:r>
            <w:r>
              <w:rPr>
                <w:rFonts w:hint="eastAsia" w:ascii="仿宋_GB2312" w:hAnsi="仿宋_GB2312" w:eastAsia="仿宋_GB2312" w:cs="仿宋_GB2312"/>
                <w:bCs/>
                <w:sz w:val="28"/>
                <w:szCs w:val="28"/>
              </w:rPr>
              <w:t>招商引资工作、基础设施配套建设、企业服务工作和对企业的补助资金等</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我单位对于专项资金的使用制定了相应的财务审批手续，做到项目建设管理资金专款到户。按职责分工、资金申报和分配、项目实施管理、资金监管等落实到位；基础设施建设资金，按照建设项目内控制度管理。</w:t>
            </w:r>
          </w:p>
          <w:p>
            <w:pPr>
              <w:spacing w:line="560" w:lineRule="exact"/>
              <w:ind w:firstLine="560" w:firstLineChars="200"/>
              <w:rPr>
                <w:rFonts w:hint="eastAsia" w:ascii="黑体" w:hAnsi="黑体" w:eastAsia="黑体" w:cs="黑体"/>
                <w:bCs/>
                <w:sz w:val="28"/>
                <w:szCs w:val="28"/>
              </w:rPr>
            </w:pPr>
            <w:bookmarkStart w:id="0" w:name="_GoBack"/>
            <w:bookmarkEnd w:id="0"/>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目标1：园区主要经济指标方面：完成技工贸总收入302亿元，同比增长30%；完成主导产业主营业务收入240亿，同比增长32%；完成高新技术产业主营业务收入237亿，同比增长62%；完成固定资产投资总量55亿元，同比增长30%；完成税收约2.2亿元，工业税收恢复至往年同期水平。目标2：招商引资方面。全年引进工业项目18个，合同引资额33.81亿元。目标3：项目服务方面。全年新增规上企业8家、高新技术企业7家、省级小巨人企业1家、省级农业产业化龙头企业2家、市级农业产业化龙头企业2家，目前合计共有规上企业58家、高新技术企业26家、小巨人5家、省级龙头企业5家，招商质量、产业韧性明显提升。目标4：规划建设方面：嘉鑫生物、南博钢构跑出“君山速度”，其中嘉鑫生物40个工作日内实现签约、开工、投产，南博钢构实现3月签约、4月开工、11月投产；万雨合业成功试点“拿地即开工”改革，5个工作日内实现“四证齐发”后启动建设；国泰二期、电子配套产业园、交投物流园等6个项目均超预期进度建设；东方国鸿、李记食品等重大项目已完成主体建设，投产在即。同时，按照项目既定、配套先行的原则，启动:岳华西路、富岗路（二期）等道路建设，已完成80%项目建设，预计2023年3月可完工。启动标准化厂房供电六期、集中供热扩能扩产等配套项目建设。完成杨树路项目建设，完成鲜味滋、李记食品热力管道建设及标准化厂房四期热力管道改造，充分保障企业生产需求。</w:t>
            </w:r>
          </w:p>
          <w:p>
            <w:pPr>
              <w:numPr>
                <w:ilvl w:val="0"/>
                <w:numId w:val="1"/>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56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单位运行内控管理水平有待提高。内部控制是财务及机关运行的重要环节，通过内部控制实现预算管理、收支管理、资产管理、合同管理、基础设施管理等工作环节的有效运行，且保障专项资金的专款专用。</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56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财务政策宣传力度不够。对于上级下发的有关财务的制度及文件宣传较少，导致一些财务政策及信息更新不及时。</w:t>
            </w:r>
          </w:p>
          <w:p>
            <w:pPr>
              <w:numPr>
                <w:ilvl w:val="0"/>
                <w:numId w:val="1"/>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加强内部控制工作的建设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根据上级下发的内部控制制度及相关文件，细化和规范制度，加强单位内部关于内控工作的动员和培训，严格落实制度，在内控管理小组的监督下，确保整体支出的可控化、合法化。</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加强财务制度的宣讲和培训</w:t>
            </w:r>
          </w:p>
          <w:p>
            <w:pPr>
              <w:widowControl w:val="0"/>
              <w:numPr>
                <w:numId w:val="0"/>
              </w:numPr>
              <w:spacing w:line="560" w:lineRule="exact"/>
              <w:jc w:val="both"/>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 xml:space="preserve">    定期组织对区内财务制度相关文件和单位内部财务制度进行培训和宣讲，让干部更好的理解费用报销的审批流程，使其他部门与财务工作衔接的更加高效、合理。</w:t>
            </w: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5"/>
                            </w:rPr>
                          </w:pPr>
                          <w:r>
                            <w:rPr>
                              <w:rStyle w:val="5"/>
                              <w:rFonts w:hint="eastAsia"/>
                            </w:rPr>
                            <w:t xml:space="preserve">— </w:t>
                          </w:r>
                          <w:r>
                            <w:fldChar w:fldCharType="begin"/>
                          </w:r>
                          <w:r>
                            <w:rPr>
                              <w:rStyle w:val="5"/>
                            </w:rPr>
                            <w:instrText xml:space="preserve">PAGE  </w:instrText>
                          </w:r>
                          <w:r>
                            <w:fldChar w:fldCharType="separate"/>
                          </w:r>
                          <w:r>
                            <w:rPr>
                              <w:rStyle w:val="5"/>
                            </w:rPr>
                            <w:t>4</w:t>
                          </w:r>
                          <w:r>
                            <w:fldChar w:fldCharType="end"/>
                          </w:r>
                          <w:r>
                            <w:rPr>
                              <w:rStyle w:val="5"/>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Style w:val="5"/>
                      </w:rPr>
                    </w:pPr>
                    <w:r>
                      <w:rPr>
                        <w:rStyle w:val="5"/>
                        <w:rFonts w:hint="eastAsia"/>
                      </w:rPr>
                      <w:t xml:space="preserve">— </w:t>
                    </w:r>
                    <w:r>
                      <w:fldChar w:fldCharType="begin"/>
                    </w:r>
                    <w:r>
                      <w:rPr>
                        <w:rStyle w:val="5"/>
                      </w:rPr>
                      <w:instrText xml:space="preserve">PAGE  </w:instrText>
                    </w:r>
                    <w:r>
                      <w:fldChar w:fldCharType="separate"/>
                    </w:r>
                    <w:r>
                      <w:rPr>
                        <w:rStyle w:val="5"/>
                      </w:rPr>
                      <w:t>4</w:t>
                    </w:r>
                    <w:r>
                      <w:fldChar w:fldCharType="end"/>
                    </w:r>
                    <w:r>
                      <w:rPr>
                        <w:rStyle w:val="5"/>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49EB1"/>
    <w:multiLevelType w:val="singleLevel"/>
    <w:tmpl w:val="F5949EB1"/>
    <w:lvl w:ilvl="0" w:tentative="0">
      <w:start w:val="1"/>
      <w:numFmt w:val="chineseCounting"/>
      <w:suff w:val="nothing"/>
      <w:lvlText w:val="（%1）"/>
      <w:lvlJc w:val="left"/>
      <w:rPr>
        <w:rFonts w:hint="eastAsia"/>
      </w:rPr>
    </w:lvl>
  </w:abstractNum>
  <w:abstractNum w:abstractNumId="1">
    <w:nsid w:val="211CBB2B"/>
    <w:multiLevelType w:val="singleLevel"/>
    <w:tmpl w:val="211CBB2B"/>
    <w:lvl w:ilvl="0" w:tentative="0">
      <w:start w:val="1"/>
      <w:numFmt w:val="chineseCounting"/>
      <w:suff w:val="nothing"/>
      <w:lvlText w:val="（%1）"/>
      <w:lvlJc w:val="left"/>
      <w:rPr>
        <w:rFonts w:hint="eastAsia"/>
      </w:rPr>
    </w:lvl>
  </w:abstractNum>
  <w:abstractNum w:abstractNumId="2">
    <w:nsid w:val="51B870E4"/>
    <w:multiLevelType w:val="singleLevel"/>
    <w:tmpl w:val="51B870E4"/>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NGEyYWExYjEyZWU1ZjBiMjU1MjQ0ZTRkMmQ0YWMifQ=="/>
  </w:docVars>
  <w:rsids>
    <w:rsidRoot w:val="67F76D9C"/>
    <w:rsid w:val="0FA95474"/>
    <w:rsid w:val="14ED3D4F"/>
    <w:rsid w:val="20AF45AF"/>
    <w:rsid w:val="2192045B"/>
    <w:rsid w:val="25096983"/>
    <w:rsid w:val="2C4402A1"/>
    <w:rsid w:val="46D83772"/>
    <w:rsid w:val="46E666CD"/>
    <w:rsid w:val="48270D4B"/>
    <w:rsid w:val="50C30C0E"/>
    <w:rsid w:val="51BA678C"/>
    <w:rsid w:val="58792349"/>
    <w:rsid w:val="624A4001"/>
    <w:rsid w:val="67F76D9C"/>
    <w:rsid w:val="7306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character" w:customStyle="1" w:styleId="5">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3131</Words>
  <Characters>3389</Characters>
  <Lines>0</Lines>
  <Paragraphs>0</Paragraphs>
  <TotalTime>0</TotalTime>
  <ScaleCrop>false</ScaleCrop>
  <LinksUpToDate>false</LinksUpToDate>
  <CharactersWithSpaces>3716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2023-07-12T01:12:00Z</dcterms:created>
  <dc:creator>偶尔能力者！</dc:creator>
  <cp:lastModifiedBy>偶尔能力者！</cp:lastModifiedBy>
  <dcterms:modified xsi:type="dcterms:W3CDTF">2023-07-12T09:36:08Z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A17D95C5BB354728B7071FAFBF013F9C_11</vt:lpwstr>
  </property>
</Properties>
</file>