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岳阳市君山区良心堡镇人民政府</w:t>
      </w:r>
      <w:r>
        <w:rPr>
          <w:rFonts w:hint="eastAsia" w:ascii="方正小标宋简体" w:hAnsi="方正小标宋简体" w:eastAsia="方正小标宋简体" w:cs="方正小标宋简体"/>
          <w:sz w:val="44"/>
          <w:szCs w:val="44"/>
          <w:highlight w:val="none"/>
        </w:rPr>
        <w:t>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 xml:space="preserve"> 月</w:t>
      </w:r>
      <w:r>
        <w:rPr>
          <w:rFonts w:hint="eastAsia" w:ascii="Times New Roman" w:hAnsi="Times New Roman" w:eastAsia="楷体_GB2312" w:cs="Times New Roman"/>
          <w:sz w:val="32"/>
          <w:szCs w:val="32"/>
          <w:highlight w:val="none"/>
          <w:lang w:val="en-US" w:eastAsia="zh-CN"/>
        </w:rPr>
        <w:t>20</w:t>
      </w:r>
      <w:r>
        <w:rPr>
          <w:rFonts w:hint="default" w:ascii="Times New Roman" w:hAnsi="Times New Roman" w:eastAsia="楷体_GB2312" w:cs="Times New Roman"/>
          <w:sz w:val="32"/>
          <w:szCs w:val="32"/>
          <w:highlight w:val="none"/>
        </w:rPr>
        <w:t xml:space="preserve"> 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岳阳市君山区良心堡镇人民政府</w:t>
      </w:r>
      <w:r>
        <w:rPr>
          <w:rFonts w:hint="eastAsia" w:ascii="方正小标宋简体" w:hAnsi="方正小标宋简体" w:eastAsia="方正小标宋简体" w:cs="方正小标宋简体"/>
          <w:sz w:val="44"/>
          <w:szCs w:val="44"/>
          <w:highlight w:val="none"/>
        </w:rPr>
        <w:t>整体支出绩效自评报告</w:t>
      </w: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部门基本情况</w:t>
      </w:r>
    </w:p>
    <w:p>
      <w:pPr>
        <w:keepNext w:val="0"/>
        <w:keepLines w:val="0"/>
        <w:pageBreakBefore w:val="0"/>
        <w:numPr>
          <w:ilvl w:val="0"/>
          <w:numId w:val="0"/>
        </w:numPr>
        <w:kinsoku/>
        <w:wordWrap/>
        <w:overflowPunct/>
        <w:topLinePunct w:val="0"/>
        <w:autoSpaceDE/>
        <w:autoSpaceDN/>
        <w:bidi w:val="0"/>
        <w:adjustRightInd/>
        <w:snapToGrid/>
        <w:spacing w:line="640" w:lineRule="exact"/>
        <w:jc w:val="both"/>
        <w:textAlignment w:val="auto"/>
        <w:rPr>
          <w:rFonts w:hint="eastAsia" w:ascii="Times New Roman" w:hAnsi="Times New Roman" w:eastAsia="楷体_GB2312" w:cs="Times New Roman"/>
          <w:b/>
          <w:kern w:val="0"/>
          <w:sz w:val="32"/>
          <w:szCs w:val="32"/>
          <w:highlight w:val="none"/>
          <w:lang w:val="en-US" w:eastAsia="zh-CN" w:bidi="ar-SA"/>
        </w:rPr>
      </w:pPr>
      <w:r>
        <w:rPr>
          <w:rFonts w:hint="eastAsia" w:ascii="Times New Roman" w:hAnsi="Times New Roman" w:eastAsia="黑体" w:cs="Times New Roman"/>
          <w:sz w:val="32"/>
          <w:szCs w:val="32"/>
          <w:highlight w:val="none"/>
          <w:lang w:eastAsia="zh-CN"/>
        </w:rPr>
        <w:t>　</w:t>
      </w:r>
      <w:r>
        <w:rPr>
          <w:rFonts w:hint="eastAsia" w:ascii="Times New Roman" w:hAnsi="Times New Roman" w:eastAsia="楷体_GB2312" w:cs="Times New Roman"/>
          <w:b/>
          <w:kern w:val="0"/>
          <w:sz w:val="32"/>
          <w:szCs w:val="32"/>
          <w:highlight w:val="none"/>
          <w:lang w:val="en-US" w:eastAsia="zh-CN" w:bidi="ar-SA"/>
        </w:rPr>
        <w:t>（一）单位基本情况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Times New Roman" w:hAnsi="Times New Roman" w:eastAsia="仿宋_GB2312" w:cs="Times New Roman"/>
          <w:color w:val="000000"/>
          <w:sz w:val="32"/>
          <w:szCs w:val="32"/>
          <w:highlight w:val="none"/>
          <w:lang w:val="en-US" w:eastAsia="zh-CN"/>
        </w:rPr>
        <w:t>岳阳市君山区良心堡镇人民政府</w:t>
      </w:r>
      <w:r>
        <w:rPr>
          <w:rFonts w:hint="eastAsia" w:ascii="仿宋_GB2312" w:hAnsi="仿宋_GB2312" w:eastAsia="仿宋_GB2312" w:cs="仿宋_GB2312"/>
          <w:kern w:val="2"/>
          <w:sz w:val="32"/>
          <w:szCs w:val="32"/>
          <w:lang w:val="en-US" w:eastAsia="zh-CN" w:bidi="ar-SA"/>
        </w:rPr>
        <w:t>（以下简称我镇）于2000年10月按照市委市政府撤场并区建镇的要求成立的</w:t>
      </w:r>
      <w:r>
        <w:rPr>
          <w:rFonts w:hint="eastAsia" w:ascii="Times New Roman" w:hAnsi="Times New Roman" w:eastAsia="仿宋_GB2312" w:cs="Times New Roman"/>
          <w:color w:val="000000"/>
          <w:sz w:val="32"/>
          <w:szCs w:val="32"/>
          <w:highlight w:val="none"/>
          <w:lang w:eastAsia="zh-CN"/>
        </w:rPr>
        <w:t>，其职能职责为</w:t>
      </w:r>
      <w:r>
        <w:rPr>
          <w:rFonts w:hint="default" w:ascii="Times New Roman" w:hAnsi="Times New Roman" w:eastAsia="仿宋_GB2312" w:cs="Times New Roman"/>
          <w:color w:val="000000"/>
          <w:sz w:val="32"/>
          <w:szCs w:val="32"/>
          <w:highlight w:val="none"/>
        </w:rPr>
        <w:t>：</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　　1、在镇党委的统一领导下，行使区人民政府赋予的权利，负责辖区的行政管理工作。</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　　2、宣传党的路线、方针、政策和国家的法律、法规，开展多种形式的社会主义精神文明建设活动。</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　　3、依法参与城市建设和管理，依法依规做好拆迁工作。</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　　4、加强社会治安综合治理，维护社会安定团结。</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　　5、积极发展社区服务业，发展多元化街道经济，不断壮大街道经济实体。</w:t>
      </w:r>
    </w:p>
    <w:p>
      <w:pPr>
        <w:keepNext w:val="0"/>
        <w:keepLines w:val="0"/>
        <w:pageBreakBefore w:val="0"/>
        <w:widowControl/>
        <w:kinsoku/>
        <w:wordWrap/>
        <w:overflowPunct/>
        <w:topLinePunct w:val="0"/>
        <w:autoSpaceDE/>
        <w:autoSpaceDN/>
        <w:bidi w:val="0"/>
        <w:adjustRightInd/>
        <w:snapToGrid/>
        <w:spacing w:line="640" w:lineRule="exact"/>
        <w:ind w:firstLine="640"/>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6、落实人口计划指标，加强流动人口的计生管理工作，搞好计划生育管理工作。</w:t>
      </w:r>
    </w:p>
    <w:p>
      <w:pPr>
        <w:keepNext w:val="0"/>
        <w:keepLines w:val="0"/>
        <w:pageBreakBefore w:val="0"/>
        <w:widowControl/>
        <w:kinsoku/>
        <w:wordWrap/>
        <w:overflowPunct/>
        <w:topLinePunct w:val="0"/>
        <w:autoSpaceDE/>
        <w:autoSpaceDN/>
        <w:bidi w:val="0"/>
        <w:adjustRightInd/>
        <w:snapToGrid/>
        <w:spacing w:line="640" w:lineRule="exact"/>
        <w:ind w:firstLine="640"/>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　7、做好社区教育、文化、体育活动的组织、协调工作。　</w:t>
      </w:r>
    </w:p>
    <w:p>
      <w:pPr>
        <w:keepNext w:val="0"/>
        <w:keepLines w:val="0"/>
        <w:pageBreakBefore w:val="0"/>
        <w:widowControl/>
        <w:kinsoku/>
        <w:wordWrap/>
        <w:overflowPunct/>
        <w:topLinePunct w:val="0"/>
        <w:autoSpaceDE/>
        <w:autoSpaceDN/>
        <w:bidi w:val="0"/>
        <w:adjustRightInd/>
        <w:snapToGrid/>
        <w:spacing w:line="640" w:lineRule="exact"/>
        <w:ind w:firstLine="640"/>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8、做好拥军家属和社会救济等基层社会保障工作，维护老人、妇女、儿童和残疾人的合法权利。</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　　9、协助做好侨台事务、离退休人员管理工作。</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eastAsia="zh-CN"/>
        </w:rPr>
        <w:t>　　10、指导社区居委会和村级组织工作，加强扶贫工作力度，扶持民办经济实体，帮助社区及村级组织解决实际困难。</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eastAsia="zh-CN"/>
        </w:rPr>
        <w:t>　　11、完成上级交办的其他工作。</w:t>
      </w:r>
    </w:p>
    <w:p>
      <w:pPr>
        <w:pStyle w:val="9"/>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eastAsia" w:ascii="Times New Roman" w:hAnsi="Times New Roman" w:eastAsia="楷体_GB2312" w:cs="Times New Roman"/>
          <w:b/>
          <w:sz w:val="32"/>
          <w:szCs w:val="32"/>
          <w:highlight w:val="none"/>
          <w:lang w:eastAsia="zh-CN"/>
        </w:rPr>
      </w:pPr>
      <w:r>
        <w:rPr>
          <w:rFonts w:hint="eastAsia" w:ascii="Times New Roman" w:hAnsi="Times New Roman" w:eastAsia="楷体_GB2312" w:cs="Times New Roman"/>
          <w:b/>
          <w:sz w:val="32"/>
          <w:szCs w:val="32"/>
          <w:highlight w:val="none"/>
          <w:lang w:eastAsia="zh-CN"/>
        </w:rPr>
        <w:t>（二）机构设置与人员情况</w:t>
      </w:r>
    </w:p>
    <w:p>
      <w:pPr>
        <w:spacing w:line="540" w:lineRule="exact"/>
        <w:ind w:firstLine="640" w:firstLineChars="200"/>
        <w:rPr>
          <w:rFonts w:hint="eastAsia" w:ascii="楷体_GB2312" w:hAnsi="仿宋" w:eastAsia="楷体_GB2312" w:cs="仿宋"/>
          <w:b/>
          <w:bCs/>
          <w:sz w:val="32"/>
          <w:szCs w:val="32"/>
          <w:lang w:val="en-US" w:eastAsia="zh-CN"/>
        </w:rPr>
      </w:pPr>
      <w:r>
        <w:rPr>
          <w:rFonts w:hint="eastAsia" w:ascii="Times New Roman" w:hAnsi="Times New Roman" w:eastAsia="仿宋_GB2312" w:cs="Times New Roman"/>
          <w:color w:val="000000"/>
          <w:kern w:val="0"/>
          <w:sz w:val="32"/>
          <w:szCs w:val="32"/>
          <w:highlight w:val="none"/>
          <w:lang w:val="en-US" w:eastAsia="zh-CN" w:bidi="ar-SA"/>
        </w:rPr>
        <w:t>我镇设5个内设股室，分别为：</w:t>
      </w:r>
      <w:r>
        <w:rPr>
          <w:rFonts w:hint="eastAsia" w:ascii="楷体_GB2312" w:hAnsi="仿宋" w:eastAsia="楷体_GB2312" w:cs="仿宋"/>
          <w:b/>
          <w:bCs/>
          <w:sz w:val="32"/>
          <w:szCs w:val="32"/>
        </w:rPr>
        <w:t>党政办公室（加挂行政审批办公室牌子）</w:t>
      </w:r>
      <w:r>
        <w:rPr>
          <w:rFonts w:hint="eastAsia" w:ascii="楷体_GB2312" w:hAnsi="仿宋" w:eastAsia="楷体_GB2312" w:cs="仿宋"/>
          <w:b/>
          <w:bCs/>
          <w:sz w:val="32"/>
          <w:szCs w:val="32"/>
          <w:lang w:eastAsia="zh-CN"/>
        </w:rPr>
        <w:t>、</w:t>
      </w:r>
      <w:r>
        <w:rPr>
          <w:rFonts w:hint="eastAsia" w:ascii="楷体_GB2312" w:hAnsi="仿宋" w:eastAsia="楷体_GB2312" w:cs="仿宋"/>
          <w:b/>
          <w:bCs/>
          <w:sz w:val="32"/>
          <w:szCs w:val="32"/>
        </w:rPr>
        <w:t>党建办公室</w:t>
      </w:r>
      <w:r>
        <w:rPr>
          <w:rFonts w:hint="eastAsia" w:ascii="楷体_GB2312" w:eastAsia="楷体_GB2312" w:cs="仿宋"/>
          <w:b/>
          <w:bCs/>
          <w:sz w:val="32"/>
          <w:szCs w:val="32"/>
          <w:lang w:eastAsia="zh-CN"/>
        </w:rPr>
        <w:t>、</w:t>
      </w:r>
      <w:r>
        <w:rPr>
          <w:rFonts w:hint="eastAsia" w:ascii="楷体_GB2312" w:hAnsi="仿宋" w:eastAsia="楷体_GB2312" w:cs="仿宋"/>
          <w:b/>
          <w:bCs/>
          <w:sz w:val="32"/>
          <w:szCs w:val="32"/>
        </w:rPr>
        <w:t>经济发展办公室与自然资源和生态环境办公室合署办公（加挂乡村振兴办公室牌子）</w:t>
      </w:r>
      <w:r>
        <w:rPr>
          <w:rFonts w:hint="eastAsia" w:ascii="楷体_GB2312" w:eastAsia="楷体_GB2312" w:cs="仿宋"/>
          <w:b/>
          <w:bCs/>
          <w:sz w:val="32"/>
          <w:szCs w:val="32"/>
          <w:lang w:eastAsia="zh-CN"/>
        </w:rPr>
        <w:t>、</w:t>
      </w:r>
      <w:r>
        <w:rPr>
          <w:rFonts w:hint="eastAsia" w:ascii="楷体_GB2312" w:hAnsi="仿宋" w:eastAsia="楷体_GB2312" w:cs="仿宋"/>
          <w:b/>
          <w:bCs/>
          <w:sz w:val="32"/>
          <w:szCs w:val="32"/>
        </w:rPr>
        <w:t>社会事务办公室（加挂卫生健康办公室牌子）</w:t>
      </w:r>
      <w:r>
        <w:rPr>
          <w:rFonts w:hint="eastAsia" w:ascii="楷体_GB2312" w:eastAsia="楷体_GB2312" w:cs="仿宋"/>
          <w:b/>
          <w:bCs/>
          <w:sz w:val="32"/>
          <w:szCs w:val="32"/>
          <w:lang w:eastAsia="zh-CN"/>
        </w:rPr>
        <w:t>、</w:t>
      </w:r>
      <w:r>
        <w:rPr>
          <w:rFonts w:hint="eastAsia" w:ascii="楷体_GB2312" w:hAnsi="仿宋" w:eastAsia="楷体_GB2312" w:cs="仿宋"/>
          <w:b/>
          <w:bCs/>
          <w:sz w:val="32"/>
          <w:szCs w:val="32"/>
        </w:rPr>
        <w:t>社会治安和应急管理办公室</w:t>
      </w:r>
      <w:r>
        <w:rPr>
          <w:rFonts w:hint="eastAsia" w:ascii="楷体_GB2312" w:eastAsia="楷体_GB2312" w:cs="仿宋"/>
          <w:b/>
          <w:bCs/>
          <w:sz w:val="32"/>
          <w:szCs w:val="32"/>
          <w:lang w:eastAsia="zh-CN"/>
        </w:rPr>
        <w:t>。</w:t>
      </w:r>
    </w:p>
    <w:p>
      <w:pPr>
        <w:spacing w:line="540" w:lineRule="exact"/>
        <w:ind w:firstLine="640" w:firstLineChars="200"/>
        <w:rPr>
          <w:rFonts w:hint="eastAsia" w:ascii="Times New Roman" w:hAnsi="Times New Roman" w:eastAsia="仿宋_GB2312" w:cs="Times New Roman"/>
          <w:color w:val="000000"/>
          <w:kern w:val="0"/>
          <w:sz w:val="32"/>
          <w:szCs w:val="32"/>
          <w:highlight w:val="none"/>
          <w:lang w:val="en-US" w:eastAsia="zh-CN" w:bidi="ar-SA"/>
        </w:rPr>
      </w:pPr>
      <w:r>
        <w:rPr>
          <w:rFonts w:hint="eastAsia" w:ascii="Times New Roman" w:hAnsi="Times New Roman" w:eastAsia="仿宋_GB2312" w:cs="Times New Roman"/>
          <w:color w:val="000000"/>
          <w:kern w:val="0"/>
          <w:sz w:val="32"/>
          <w:szCs w:val="32"/>
          <w:highlight w:val="none"/>
          <w:lang w:val="en-US" w:eastAsia="zh-CN" w:bidi="ar-SA"/>
        </w:rPr>
        <w:t>我镇所属6个事业站所分别是：</w:t>
      </w:r>
      <w:r>
        <w:rPr>
          <w:rFonts w:hint="eastAsia" w:ascii="楷体_GB2312" w:hAnsi="仿宋" w:eastAsia="楷体_GB2312" w:cs="仿宋"/>
          <w:b/>
          <w:bCs/>
          <w:sz w:val="32"/>
          <w:szCs w:val="32"/>
        </w:rPr>
        <w:t>政务服务中心</w:t>
      </w:r>
      <w:r>
        <w:rPr>
          <w:rFonts w:hint="eastAsia" w:ascii="Times New Roman" w:hAnsi="Times New Roman" w:eastAsia="仿宋_GB2312" w:cs="Times New Roman"/>
          <w:color w:val="000000"/>
          <w:kern w:val="0"/>
          <w:sz w:val="32"/>
          <w:szCs w:val="32"/>
          <w:highlight w:val="none"/>
          <w:lang w:val="en-US" w:eastAsia="zh-CN" w:bidi="ar-SA"/>
        </w:rPr>
        <w:t>、</w:t>
      </w:r>
      <w:r>
        <w:rPr>
          <w:rFonts w:hint="eastAsia" w:ascii="楷体_GB2312" w:hAnsi="仿宋" w:eastAsia="楷体_GB2312" w:cs="仿宋"/>
          <w:b/>
          <w:bCs/>
          <w:sz w:val="32"/>
          <w:szCs w:val="32"/>
        </w:rPr>
        <w:t>农业综合服务中心（加挂农村经营服务站牌子）</w:t>
      </w:r>
      <w:r>
        <w:rPr>
          <w:rFonts w:hint="eastAsia" w:ascii="楷体_GB2312" w:hAnsi="仿宋" w:eastAsia="楷体_GB2312" w:cs="仿宋"/>
          <w:b/>
          <w:bCs/>
          <w:sz w:val="32"/>
          <w:szCs w:val="32"/>
          <w:lang w:eastAsia="zh-CN"/>
        </w:rPr>
        <w:t>、</w:t>
      </w:r>
      <w:r>
        <w:rPr>
          <w:rFonts w:hint="eastAsia" w:ascii="楷体_GB2312" w:hAnsi="仿宋" w:eastAsia="楷体_GB2312" w:cs="仿宋"/>
          <w:b/>
          <w:bCs/>
          <w:sz w:val="32"/>
          <w:szCs w:val="32"/>
        </w:rPr>
        <w:t>社会事业综合服务中心</w:t>
      </w:r>
      <w:r>
        <w:rPr>
          <w:rFonts w:hint="eastAsia" w:ascii="楷体_GB2312" w:eastAsia="楷体_GB2312" w:cs="仿宋"/>
          <w:b/>
          <w:bCs/>
          <w:sz w:val="32"/>
          <w:szCs w:val="32"/>
          <w:lang w:eastAsia="zh-CN"/>
        </w:rPr>
        <w:t>、</w:t>
      </w:r>
      <w:r>
        <w:rPr>
          <w:rFonts w:hint="eastAsia" w:ascii="楷体_GB2312" w:hAnsi="仿宋" w:eastAsia="楷体_GB2312" w:cs="仿宋"/>
          <w:b/>
          <w:bCs/>
          <w:sz w:val="32"/>
          <w:szCs w:val="32"/>
        </w:rPr>
        <w:t>退役军人服务站</w:t>
      </w:r>
      <w:r>
        <w:rPr>
          <w:rFonts w:hint="eastAsia" w:ascii="楷体_GB2312" w:eastAsia="楷体_GB2312" w:cs="仿宋"/>
          <w:b/>
          <w:bCs/>
          <w:sz w:val="32"/>
          <w:szCs w:val="32"/>
          <w:lang w:eastAsia="zh-CN"/>
        </w:rPr>
        <w:t>、</w:t>
      </w:r>
      <w:r>
        <w:rPr>
          <w:rFonts w:hint="eastAsia" w:ascii="楷体_GB2312" w:hAnsi="仿宋" w:eastAsia="楷体_GB2312" w:cs="仿宋"/>
          <w:b/>
          <w:bCs/>
          <w:sz w:val="32"/>
          <w:szCs w:val="32"/>
        </w:rPr>
        <w:t>环境卫生服务中心</w:t>
      </w:r>
      <w:r>
        <w:rPr>
          <w:rFonts w:hint="eastAsia" w:ascii="楷体_GB2312" w:eastAsia="楷体_GB2312" w:cs="仿宋"/>
          <w:b/>
          <w:bCs/>
          <w:sz w:val="32"/>
          <w:szCs w:val="32"/>
          <w:lang w:eastAsia="zh-CN"/>
        </w:rPr>
        <w:t>、</w:t>
      </w:r>
      <w:r>
        <w:rPr>
          <w:rFonts w:hint="eastAsia" w:ascii="楷体_GB2312" w:hAnsi="仿宋" w:eastAsia="楷体_GB2312" w:cs="仿宋"/>
          <w:b/>
          <w:bCs/>
          <w:sz w:val="32"/>
          <w:szCs w:val="32"/>
        </w:rPr>
        <w:t>综合行政执法大队</w:t>
      </w:r>
      <w:r>
        <w:rPr>
          <w:rFonts w:hint="eastAsia" w:ascii="楷体_GB2312" w:eastAsia="楷体_GB2312" w:cs="仿宋"/>
          <w:b/>
          <w:bCs/>
          <w:sz w:val="32"/>
          <w:szCs w:val="32"/>
          <w:lang w:eastAsia="zh-CN"/>
        </w:rPr>
        <w:t>、</w:t>
      </w:r>
      <w:r>
        <w:rPr>
          <w:rFonts w:hint="eastAsia" w:ascii="Times New Roman" w:hAnsi="Times New Roman" w:eastAsia="仿宋_GB2312" w:cs="Times New Roman"/>
          <w:color w:val="000000"/>
          <w:kern w:val="0"/>
          <w:sz w:val="32"/>
          <w:szCs w:val="32"/>
          <w:highlight w:val="none"/>
          <w:lang w:val="en-US" w:eastAsia="zh-CN" w:bidi="ar-SA"/>
        </w:rPr>
        <w:t>2023</w:t>
      </w:r>
      <w:r>
        <w:rPr>
          <w:rFonts w:hint="default" w:ascii="Times New Roman" w:hAnsi="Times New Roman" w:eastAsia="仿宋_GB2312" w:cs="Times New Roman"/>
          <w:color w:val="000000"/>
          <w:kern w:val="0"/>
          <w:sz w:val="32"/>
          <w:szCs w:val="32"/>
          <w:highlight w:val="none"/>
          <w:lang w:val="en-US" w:eastAsia="zh-CN" w:bidi="ar-SA"/>
        </w:rPr>
        <w:t>年末</w:t>
      </w:r>
      <w:r>
        <w:rPr>
          <w:rFonts w:hint="eastAsia" w:ascii="Times New Roman" w:hAnsi="Times New Roman" w:eastAsia="仿宋_GB2312" w:cs="Times New Roman"/>
          <w:color w:val="000000"/>
          <w:kern w:val="0"/>
          <w:sz w:val="32"/>
          <w:szCs w:val="32"/>
          <w:highlight w:val="none"/>
          <w:lang w:val="en-US" w:eastAsia="zh-CN" w:bidi="ar-SA"/>
        </w:rPr>
        <w:t>共有在职人员52人，其中，行政人员29人，非参公事业人员23人。</w:t>
      </w:r>
    </w:p>
    <w:p>
      <w:pPr>
        <w:pStyle w:val="9"/>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eastAsia" w:ascii="Times New Roman" w:hAnsi="Times New Roman" w:eastAsia="楷体_GB2312" w:cs="Times New Roman"/>
          <w:b/>
          <w:sz w:val="32"/>
          <w:szCs w:val="32"/>
          <w:highlight w:val="none"/>
          <w:lang w:val="en-US" w:eastAsia="zh-CN"/>
        </w:rPr>
      </w:pPr>
      <w:r>
        <w:rPr>
          <w:rFonts w:hint="eastAsia" w:ascii="Times New Roman" w:hAnsi="Times New Roman" w:eastAsia="楷体_GB2312" w:cs="Times New Roman"/>
          <w:b/>
          <w:sz w:val="32"/>
          <w:szCs w:val="32"/>
          <w:highlight w:val="none"/>
          <w:lang w:val="en-US" w:eastAsia="zh-CN"/>
        </w:rPr>
        <w:t>单位绩效目标</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2"/>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整体支出绩效目标：强化财政资金使用情况的预算约束和监管，最大限度地降低行政成本，提高财政资金的使用效益。重点抓好农业产业发展、人居环境改善、守护好一江碧水、打好蓝天保卫战等工作，实现壮大集体经济、巩固脱贫成效、保障民生福祉，确保社会稳定的目标。</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jc w:val="both"/>
        <w:textAlignment w:val="auto"/>
        <w:rPr>
          <w:rFonts w:hint="eastAsia" w:ascii="仿宋_GB2312" w:hAnsi="仿宋_GB2312" w:eastAsia="仿宋_GB2312" w:cs="仿宋_GB2312"/>
          <w:kern w:val="2"/>
          <w:sz w:val="32"/>
          <w:szCs w:val="32"/>
          <w:highlight w:val="yellow"/>
          <w:lang w:val="en-US" w:eastAsia="zh-CN" w:bidi="ar-SA"/>
        </w:rPr>
      </w:pPr>
      <w:r>
        <w:rPr>
          <w:rFonts w:hint="eastAsia" w:ascii="仿宋_GB2312" w:hAnsi="仿宋_GB2312" w:eastAsia="仿宋_GB2312" w:cs="仿宋_GB2312"/>
          <w:kern w:val="2"/>
          <w:sz w:val="32"/>
          <w:szCs w:val="32"/>
          <w:lang w:val="en-US" w:eastAsia="zh-CN" w:bidi="ar-SA"/>
        </w:rPr>
        <w:t>项目支出绩效目标：</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color w:val="auto"/>
          <w:kern w:val="0"/>
          <w:sz w:val="32"/>
          <w:szCs w:val="32"/>
          <w:lang w:val="en-US" w:eastAsia="zh-CN" w:bidi="ar-SA"/>
        </w:rPr>
      </w:pPr>
      <w:r>
        <w:rPr>
          <w:rFonts w:hint="eastAsia" w:ascii="仿宋_GB2312" w:hAnsi="仿宋_GB2312" w:eastAsia="仿宋_GB2312" w:cs="仿宋_GB2312"/>
          <w:color w:val="auto"/>
          <w:kern w:val="0"/>
          <w:sz w:val="32"/>
          <w:szCs w:val="32"/>
          <w:lang w:val="en-US" w:eastAsia="zh-CN" w:bidi="ar-SA"/>
        </w:rPr>
        <w:t>目标1：加强村、社区建设、提高工作人员主动性、积极性和创造性，打造人民满意的生活环境。</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color w:val="auto"/>
          <w:kern w:val="0"/>
          <w:sz w:val="32"/>
          <w:szCs w:val="32"/>
          <w:lang w:val="en-US" w:eastAsia="zh-CN" w:bidi="ar-SA"/>
        </w:rPr>
      </w:pPr>
      <w:r>
        <w:rPr>
          <w:rFonts w:hint="eastAsia" w:ascii="仿宋_GB2312" w:hAnsi="仿宋_GB2312" w:eastAsia="仿宋_GB2312" w:cs="仿宋_GB2312"/>
          <w:color w:val="auto"/>
          <w:kern w:val="0"/>
          <w:sz w:val="32"/>
          <w:szCs w:val="32"/>
          <w:lang w:val="en-US" w:eastAsia="zh-CN" w:bidi="ar-SA"/>
        </w:rPr>
        <w:t>目标2：保证村级运转经费及村干部待遇，加强村级建设，提供工作人员主动性，积极性和创造性。</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color w:val="auto"/>
          <w:kern w:val="0"/>
          <w:sz w:val="32"/>
          <w:szCs w:val="32"/>
          <w:lang w:val="en-US" w:eastAsia="zh-CN" w:bidi="ar-SA"/>
        </w:rPr>
      </w:pPr>
      <w:r>
        <w:rPr>
          <w:rFonts w:hint="eastAsia" w:ascii="仿宋_GB2312" w:hAnsi="仿宋_GB2312" w:eastAsia="仿宋_GB2312" w:cs="仿宋_GB2312"/>
          <w:color w:val="auto"/>
          <w:kern w:val="0"/>
          <w:sz w:val="32"/>
          <w:szCs w:val="32"/>
          <w:lang w:val="en-US" w:eastAsia="zh-CN" w:bidi="ar-SA"/>
        </w:rPr>
        <w:t>目标3：确保社区运转经费及社区干部待遇，加强社区建设，提高工作人员主动性、积极性和创造性。</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color w:val="auto"/>
          <w:kern w:val="0"/>
          <w:sz w:val="32"/>
          <w:szCs w:val="32"/>
          <w:lang w:val="en-US" w:eastAsia="zh-CN" w:bidi="ar-SA"/>
        </w:rPr>
      </w:pPr>
      <w:r>
        <w:rPr>
          <w:rFonts w:hint="eastAsia" w:ascii="仿宋_GB2312" w:hAnsi="仿宋_GB2312" w:eastAsia="仿宋_GB2312" w:cs="仿宋_GB2312"/>
          <w:color w:val="auto"/>
          <w:kern w:val="0"/>
          <w:sz w:val="32"/>
          <w:szCs w:val="32"/>
          <w:lang w:val="en-US" w:eastAsia="zh-CN" w:bidi="ar-SA"/>
        </w:rPr>
        <w:t>目标4：落实国家关于农村、农业经济和文化工作，落实省、市、区的乡镇工作计划，完成年度预算，搞好全镇各项主要工作。</w:t>
      </w:r>
    </w:p>
    <w:p>
      <w:pPr>
        <w:pStyle w:val="9"/>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9"/>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楷体_GB2312" w:cs="Times New Roman"/>
          <w:b/>
          <w:sz w:val="32"/>
          <w:szCs w:val="32"/>
          <w:highlight w:val="none"/>
        </w:rPr>
      </w:pPr>
      <w:r>
        <w:rPr>
          <w:rFonts w:hint="eastAsia" w:ascii="仿宋_GB2312" w:hAnsi="仿宋_GB2312" w:eastAsia="仿宋_GB2312" w:cs="仿宋_GB2312"/>
          <w:kern w:val="2"/>
          <w:sz w:val="32"/>
          <w:szCs w:val="32"/>
          <w:lang w:val="en-US" w:eastAsia="zh-CN" w:bidi="ar-SA"/>
        </w:rPr>
        <w:t>我镇2023年</w:t>
      </w:r>
      <w:r>
        <w:rPr>
          <w:rFonts w:hint="default" w:ascii="仿宋_GB2312" w:hAnsi="仿宋_GB2312" w:eastAsia="仿宋_GB2312" w:cs="仿宋_GB2312"/>
          <w:kern w:val="2"/>
          <w:sz w:val="32"/>
          <w:szCs w:val="32"/>
          <w:lang w:val="en-US" w:eastAsia="zh-CN" w:bidi="ar-SA"/>
        </w:rPr>
        <w:t>全年</w:t>
      </w:r>
      <w:r>
        <w:rPr>
          <w:rFonts w:hint="eastAsia" w:ascii="仿宋_GB2312" w:hAnsi="仿宋_GB2312" w:eastAsia="仿宋_GB2312" w:cs="仿宋_GB2312"/>
          <w:kern w:val="2"/>
          <w:sz w:val="32"/>
          <w:szCs w:val="32"/>
          <w:lang w:val="en-US" w:eastAsia="zh-CN" w:bidi="ar-SA"/>
        </w:rPr>
        <w:t>预算资金2045.83</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其中：</w:t>
      </w:r>
      <w:r>
        <w:rPr>
          <w:rFonts w:hint="default" w:ascii="仿宋_GB2312" w:hAnsi="仿宋_GB2312" w:eastAsia="仿宋_GB2312" w:cs="仿宋_GB2312"/>
          <w:kern w:val="2"/>
          <w:sz w:val="32"/>
          <w:szCs w:val="32"/>
          <w:lang w:val="en-US" w:eastAsia="zh-CN" w:bidi="ar-SA"/>
        </w:rPr>
        <w:t>基本支出959</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6</w:t>
      </w:r>
      <w:r>
        <w:rPr>
          <w:rFonts w:hint="eastAsia" w:ascii="仿宋_GB2312" w:hAnsi="仿宋_GB2312" w:eastAsia="仿宋_GB2312" w:cs="仿宋_GB2312"/>
          <w:kern w:val="2"/>
          <w:sz w:val="32"/>
          <w:szCs w:val="32"/>
          <w:lang w:val="en-US" w:eastAsia="zh-CN" w:bidi="ar-SA"/>
        </w:rPr>
        <w:t>5</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项目支出1086.18</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。全年实际支出2045.83</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其中：</w:t>
      </w:r>
      <w:r>
        <w:rPr>
          <w:rFonts w:hint="default" w:ascii="仿宋_GB2312" w:hAnsi="仿宋_GB2312" w:eastAsia="仿宋_GB2312" w:cs="仿宋_GB2312"/>
          <w:kern w:val="2"/>
          <w:sz w:val="32"/>
          <w:szCs w:val="32"/>
          <w:lang w:val="en-US" w:eastAsia="zh-CN" w:bidi="ar-SA"/>
        </w:rPr>
        <w:t>基本支出959</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6</w:t>
      </w:r>
      <w:r>
        <w:rPr>
          <w:rFonts w:hint="eastAsia" w:ascii="仿宋_GB2312" w:hAnsi="仿宋_GB2312" w:eastAsia="仿宋_GB2312" w:cs="仿宋_GB2312"/>
          <w:kern w:val="2"/>
          <w:sz w:val="32"/>
          <w:szCs w:val="32"/>
          <w:lang w:val="en-US" w:eastAsia="zh-CN" w:bidi="ar-SA"/>
        </w:rPr>
        <w:t>5</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项目支出1086.18</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。预算执行率100%。</w:t>
      </w:r>
    </w:p>
    <w:p>
      <w:pPr>
        <w:pStyle w:val="9"/>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9"/>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我镇2023年</w:t>
      </w:r>
      <w:r>
        <w:rPr>
          <w:rFonts w:hint="default" w:ascii="仿宋_GB2312" w:hAnsi="仿宋_GB2312" w:eastAsia="仿宋_GB2312" w:cs="仿宋_GB2312"/>
          <w:kern w:val="2"/>
          <w:sz w:val="32"/>
          <w:szCs w:val="32"/>
          <w:lang w:val="en-US" w:eastAsia="zh-CN" w:bidi="ar-SA"/>
        </w:rPr>
        <w:t>全年基本支出959</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6</w:t>
      </w:r>
      <w:r>
        <w:rPr>
          <w:rFonts w:hint="eastAsia" w:ascii="仿宋_GB2312" w:hAnsi="仿宋_GB2312" w:eastAsia="仿宋_GB2312" w:cs="仿宋_GB2312"/>
          <w:kern w:val="2"/>
          <w:sz w:val="32"/>
          <w:szCs w:val="32"/>
          <w:lang w:val="en-US" w:eastAsia="zh-CN" w:bidi="ar-SA"/>
        </w:rPr>
        <w:t>5</w:t>
      </w:r>
      <w:r>
        <w:rPr>
          <w:rFonts w:hint="default" w:ascii="仿宋_GB2312" w:hAnsi="仿宋_GB2312" w:eastAsia="仿宋_GB2312" w:cs="仿宋_GB2312"/>
          <w:kern w:val="2"/>
          <w:sz w:val="32"/>
          <w:szCs w:val="32"/>
          <w:lang w:val="en-US" w:eastAsia="zh-CN" w:bidi="ar-SA"/>
        </w:rPr>
        <w:t>万元，其中人员经费870</w:t>
      </w:r>
      <w:r>
        <w:rPr>
          <w:rFonts w:hint="eastAsia" w:ascii="仿宋_GB2312" w:hAnsi="仿宋_GB2312" w:eastAsia="仿宋_GB2312" w:cs="仿宋_GB2312"/>
          <w:kern w:val="2"/>
          <w:sz w:val="32"/>
          <w:szCs w:val="32"/>
          <w:lang w:val="en-US" w:eastAsia="zh-CN" w:bidi="ar-SA"/>
        </w:rPr>
        <w:t>.40</w:t>
      </w:r>
      <w:r>
        <w:rPr>
          <w:rFonts w:hint="default" w:ascii="仿宋_GB2312" w:hAnsi="仿宋_GB2312" w:eastAsia="仿宋_GB2312" w:cs="仿宋_GB2312"/>
          <w:kern w:val="2"/>
          <w:sz w:val="32"/>
          <w:szCs w:val="32"/>
          <w:lang w:val="en-US" w:eastAsia="zh-CN" w:bidi="ar-SA"/>
        </w:rPr>
        <w:t>万元，公用经费89</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25万元。</w:t>
      </w:r>
    </w:p>
    <w:p>
      <w:pPr>
        <w:pStyle w:val="9"/>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基本支出主要是指为保障单位机构正常运转、完成日常工作任务而发生的各项支出，包括用于基本工资、绩效工资、津贴补贴、社会保障缴费等人员经费，办公费、印刷费、水电费、差旅费、公务接待费、维修（护）费等日常公用经费，以及离退休费用等其他对个人和家庭的补助支出。</w:t>
      </w:r>
    </w:p>
    <w:p>
      <w:pPr>
        <w:pStyle w:val="9"/>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pStyle w:val="9"/>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Times New Roman" w:hAnsi="Times New Roman" w:eastAsia="楷体_GB2312" w:cs="Times New Roman"/>
          <w:b/>
          <w:sz w:val="32"/>
          <w:szCs w:val="32"/>
          <w:highlight w:val="none"/>
          <w:lang w:eastAsia="zh-CN"/>
        </w:rPr>
        <w:t>　</w:t>
      </w:r>
      <w:r>
        <w:rPr>
          <w:rFonts w:hint="eastAsia" w:ascii="仿宋_GB2312" w:hAnsi="仿宋_GB2312" w:eastAsia="仿宋_GB2312" w:cs="仿宋_GB2312"/>
          <w:kern w:val="2"/>
          <w:sz w:val="32"/>
          <w:szCs w:val="32"/>
          <w:lang w:val="en-US" w:eastAsia="zh-CN" w:bidi="ar-SA"/>
        </w:rPr>
        <w:t>　2023年我镇</w:t>
      </w:r>
      <w:r>
        <w:rPr>
          <w:rFonts w:hint="default" w:ascii="仿宋_GB2312" w:hAnsi="仿宋_GB2312" w:eastAsia="仿宋_GB2312" w:cs="仿宋_GB2312"/>
          <w:kern w:val="2"/>
          <w:sz w:val="32"/>
          <w:szCs w:val="32"/>
          <w:lang w:val="en-US" w:eastAsia="zh-CN" w:bidi="ar-SA"/>
        </w:rPr>
        <w:t>全年</w:t>
      </w:r>
      <w:r>
        <w:rPr>
          <w:rFonts w:hint="eastAsia" w:ascii="仿宋_GB2312" w:hAnsi="仿宋_GB2312" w:eastAsia="仿宋_GB2312" w:cs="仿宋_GB2312"/>
          <w:kern w:val="2"/>
          <w:sz w:val="32"/>
          <w:szCs w:val="32"/>
          <w:lang w:val="en-US" w:eastAsia="zh-CN" w:bidi="ar-SA"/>
        </w:rPr>
        <w:t>项目支出1086.18</w:t>
      </w:r>
      <w:r>
        <w:rPr>
          <w:rFonts w:hint="default" w:ascii="仿宋_GB2312" w:hAnsi="仿宋_GB2312" w:eastAsia="仿宋_GB2312" w:cs="仿宋_GB2312"/>
          <w:kern w:val="2"/>
          <w:sz w:val="32"/>
          <w:szCs w:val="32"/>
          <w:lang w:val="en-US" w:eastAsia="zh-CN" w:bidi="ar-SA"/>
        </w:rPr>
        <w:t>万元</w:t>
      </w:r>
      <w:r>
        <w:rPr>
          <w:rFonts w:hint="eastAsia" w:ascii="仿宋_GB2312" w:hAnsi="仿宋_GB2312" w:eastAsia="仿宋_GB2312" w:cs="仿宋_GB2312"/>
          <w:kern w:val="2"/>
          <w:sz w:val="32"/>
          <w:szCs w:val="32"/>
          <w:lang w:val="en-US" w:eastAsia="zh-CN" w:bidi="ar-SA"/>
        </w:rPr>
        <w:t>，主要是本部门为完成特定工作任务或事业发展目标而发生的支出</w:t>
      </w:r>
      <w:r>
        <w:rPr>
          <w:rFonts w:hint="eastAsia" w:ascii="仿宋_GB2312" w:hAnsi="仿宋_GB2312" w:eastAsia="仿宋_GB2312" w:cs="仿宋_GB2312"/>
          <w:color w:val="000000"/>
          <w:kern w:val="2"/>
          <w:sz w:val="32"/>
          <w:szCs w:val="32"/>
          <w:shd w:val="clear" w:color="auto" w:fill="FFFFFF"/>
          <w:lang w:val="en-US" w:eastAsia="zh-CN" w:bidi="ar-SA"/>
        </w:rPr>
        <w:t>，包括有关事业发展专项、专项业务费、基本建设支出等，含村级支出、社区运转保障经费、离任村干部生活补助等项目支出。</w:t>
      </w:r>
    </w:p>
    <w:p>
      <w:pPr>
        <w:pStyle w:val="9"/>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政府性基金预算支出情况</w:t>
      </w:r>
    </w:p>
    <w:p>
      <w:pPr>
        <w:pStyle w:val="9"/>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我镇无此项支出。</w:t>
      </w:r>
    </w:p>
    <w:p>
      <w:pPr>
        <w:pStyle w:val="9"/>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9"/>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我镇无此项支出。</w:t>
      </w:r>
    </w:p>
    <w:p>
      <w:pPr>
        <w:pStyle w:val="9"/>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9"/>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eastAsia" w:ascii="仿宋_GB2312" w:hAnsi="仿宋_GB2312" w:eastAsia="仿宋_GB2312" w:cs="仿宋_GB2312"/>
          <w:kern w:val="2"/>
          <w:sz w:val="32"/>
          <w:szCs w:val="32"/>
          <w:lang w:val="en-US" w:eastAsia="zh-CN" w:bidi="ar-SA"/>
        </w:rPr>
        <w:t>我镇无此项支出。</w:t>
      </w:r>
    </w:p>
    <w:p>
      <w:pPr>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部门整体支出绩效情况</w:t>
      </w:r>
    </w:p>
    <w:p>
      <w:pPr>
        <w:pStyle w:val="9"/>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default"/>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我镇</w:t>
      </w:r>
      <w:r>
        <w:rPr>
          <w:rFonts w:hint="eastAsia" w:ascii="Times New Roman" w:hAnsi="Times New Roman" w:eastAsia="仿宋_GB2312" w:cs="Times New Roman"/>
          <w:color w:val="000000"/>
          <w:sz w:val="32"/>
          <w:szCs w:val="32"/>
          <w:highlight w:val="none"/>
          <w:lang w:eastAsia="zh-CN"/>
        </w:rPr>
        <w:t>严格执行预算，</w:t>
      </w:r>
      <w:r>
        <w:rPr>
          <w:rFonts w:hint="default" w:ascii="Times New Roman" w:hAnsi="Times New Roman" w:eastAsia="仿宋_GB2312" w:cs="Times New Roman"/>
          <w:color w:val="000000"/>
          <w:sz w:val="32"/>
          <w:szCs w:val="32"/>
          <w:highlight w:val="none"/>
        </w:rPr>
        <w:t>财务管理规范，</w:t>
      </w:r>
      <w:r>
        <w:rPr>
          <w:rFonts w:hint="eastAsia" w:ascii="Times New Roman" w:hAnsi="Times New Roman" w:eastAsia="仿宋_GB2312" w:cs="Times New Roman"/>
          <w:color w:val="000000"/>
          <w:sz w:val="32"/>
          <w:szCs w:val="32"/>
          <w:highlight w:val="none"/>
          <w:lang w:eastAsia="zh-CN"/>
        </w:rPr>
        <w:t>坚持量力而行，量财办事，</w:t>
      </w:r>
      <w:r>
        <w:rPr>
          <w:rFonts w:hint="default" w:ascii="Times New Roman" w:hAnsi="Times New Roman" w:eastAsia="仿宋_GB2312" w:cs="Times New Roman"/>
          <w:color w:val="000000"/>
          <w:sz w:val="32"/>
          <w:szCs w:val="32"/>
          <w:highlight w:val="none"/>
        </w:rPr>
        <w:t>单位行政运行稳定有序</w:t>
      </w:r>
      <w:r>
        <w:rPr>
          <w:rFonts w:hint="eastAsia"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eastAsia="zh-CN"/>
        </w:rPr>
        <w:t>各项工作任</w:t>
      </w:r>
      <w:r>
        <w:rPr>
          <w:rFonts w:hint="default" w:ascii="Times New Roman" w:hAnsi="Times New Roman" w:eastAsia="仿宋_GB2312" w:cs="Times New Roman"/>
          <w:color w:val="000000"/>
          <w:sz w:val="32"/>
          <w:szCs w:val="32"/>
          <w:highlight w:val="none"/>
        </w:rPr>
        <w:t>务全面完成，</w:t>
      </w:r>
      <w:r>
        <w:rPr>
          <w:rFonts w:hint="eastAsia" w:ascii="仿宋_GB2312" w:hAnsi="仿宋_GB2312" w:eastAsia="仿宋_GB2312" w:cs="仿宋_GB2312"/>
          <w:kern w:val="2"/>
          <w:sz w:val="32"/>
          <w:szCs w:val="32"/>
          <w:lang w:val="en-US" w:eastAsia="zh-CN" w:bidi="ar-SA"/>
        </w:rPr>
        <w:t>部门整体支出绩效自评得分97.5分。</w:t>
      </w:r>
    </w:p>
    <w:p>
      <w:pPr>
        <w:keepNext w:val="0"/>
        <w:keepLines w:val="0"/>
        <w:pageBreakBefore w:val="0"/>
        <w:widowControl/>
        <w:numPr>
          <w:ilvl w:val="0"/>
          <w:numId w:val="4"/>
        </w:numPr>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sz w:val="32"/>
          <w:szCs w:val="32"/>
          <w:highlight w:val="none"/>
        </w:rPr>
      </w:pPr>
      <w:r>
        <w:rPr>
          <w:rFonts w:hint="eastAsia" w:ascii="仿宋_GB2312" w:hAnsi="仿宋_GB2312" w:eastAsia="仿宋_GB2312" w:cs="仿宋_GB2312"/>
          <w:kern w:val="2"/>
          <w:sz w:val="32"/>
          <w:szCs w:val="32"/>
          <w:lang w:val="en-US" w:eastAsia="zh-CN" w:bidi="ar-SA"/>
        </w:rPr>
        <w:t>预算财务管理方面</w:t>
      </w:r>
    </w:p>
    <w:p>
      <w:pPr>
        <w:pStyle w:val="9"/>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我镇</w:t>
      </w:r>
      <w:r>
        <w:rPr>
          <w:rFonts w:hint="default" w:ascii="Times New Roman" w:hAnsi="Times New Roman" w:eastAsia="仿宋_GB2312" w:cs="Times New Roman"/>
          <w:color w:val="000000"/>
          <w:sz w:val="32"/>
          <w:szCs w:val="32"/>
          <w:highlight w:val="none"/>
        </w:rPr>
        <w:t>严格遵守各项规章制度，严格执行经费审批制度、财务会审制度和报销程序，加强了经费支出的监督管理，实现了资金申请、审批、拨付、监督等全流程制度化管理；坚持经费预算科学化、精细化，执行控制规范化、责任化，监督检查常态化、同步化；资金使用没有截留、挪用、虚列支出、随意借用等情况；重大财务事项经由集体研究决策；专项资金做到专款专用；原始凭证的取得真实有效。部门预决算信息按规定内容，在规定的时限内予以公开。基础数据信息和会计信息资料真实、完整、准确。</w:t>
      </w:r>
    </w:p>
    <w:p>
      <w:pPr>
        <w:pStyle w:val="2"/>
        <w:keepNext w:val="0"/>
        <w:keepLines w:val="0"/>
        <w:pageBreakBefore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Times New Roman" w:hAnsi="Times New Roman" w:eastAsia="仿宋_GB2312" w:cs="Times New Roman"/>
          <w:color w:val="000000"/>
          <w:kern w:val="0"/>
          <w:sz w:val="32"/>
          <w:szCs w:val="32"/>
          <w:lang w:val="en-US" w:eastAsia="zh-CN" w:bidi="ar-SA"/>
        </w:rPr>
      </w:pPr>
      <w:r>
        <w:rPr>
          <w:rFonts w:hint="eastAsia" w:ascii="仿宋_GB2312" w:hAnsi="仿宋_GB2312" w:eastAsia="仿宋_GB2312" w:cs="仿宋_GB2312"/>
          <w:kern w:val="44"/>
          <w:sz w:val="32"/>
          <w:szCs w:val="32"/>
          <w:lang w:val="en-US" w:eastAsia="zh-CN" w:bidi="ar"/>
        </w:rPr>
        <w:t>（二）履职产出效益方面</w:t>
      </w:r>
    </w:p>
    <w:p>
      <w:pPr>
        <w:pStyle w:val="9"/>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eastAsia" w:ascii="Times New Roman" w:hAnsi="Times New Roman" w:eastAsia="仿宋_GB2312" w:cs="Times New Roman"/>
          <w:color w:val="000000"/>
          <w:sz w:val="32"/>
          <w:szCs w:val="32"/>
          <w:highlight w:val="none"/>
          <w:lang w:eastAsia="zh-CN"/>
        </w:rPr>
      </w:pPr>
      <w:r>
        <w:rPr>
          <w:rFonts w:hint="eastAsia" w:ascii="Times New Roman" w:hAnsi="Times New Roman" w:eastAsia="仿宋_GB2312" w:cs="Times New Roman"/>
          <w:color w:val="000000"/>
          <w:sz w:val="32"/>
          <w:szCs w:val="32"/>
          <w:highlight w:val="none"/>
          <w:lang w:val="en-US" w:eastAsia="zh-CN"/>
        </w:rPr>
        <w:t>2023年，</w:t>
      </w:r>
      <w:r>
        <w:rPr>
          <w:rFonts w:hint="eastAsia" w:ascii="仿宋_GB2312" w:hAnsi="仿宋_GB2312" w:eastAsia="仿宋_GB2312" w:cs="仿宋_GB2312"/>
          <w:kern w:val="2"/>
          <w:sz w:val="32"/>
          <w:szCs w:val="32"/>
          <w:lang w:val="en-US" w:eastAsia="zh-CN" w:bidi="ar-SA"/>
        </w:rPr>
        <w:t>我</w:t>
      </w:r>
      <w:r>
        <w:rPr>
          <w:rFonts w:hint="eastAsia" w:ascii="Times New Roman" w:hAnsi="Times New Roman" w:eastAsia="仿宋_GB2312" w:cs="Times New Roman"/>
          <w:color w:val="000000"/>
          <w:sz w:val="32"/>
          <w:szCs w:val="32"/>
          <w:highlight w:val="none"/>
          <w:lang w:eastAsia="zh-CN"/>
        </w:rPr>
        <w:t>镇</w:t>
      </w:r>
      <w:r>
        <w:rPr>
          <w:rFonts w:hint="default" w:ascii="Times New Roman" w:hAnsi="Times New Roman" w:eastAsia="仿宋_GB2312" w:cs="Times New Roman"/>
          <w:color w:val="000000"/>
          <w:sz w:val="32"/>
          <w:szCs w:val="32"/>
          <w:highlight w:val="none"/>
        </w:rPr>
        <w:t>认真履行</w:t>
      </w:r>
      <w:r>
        <w:rPr>
          <w:rFonts w:hint="eastAsia" w:ascii="Times New Roman" w:hAnsi="Times New Roman" w:eastAsia="仿宋_GB2312" w:cs="Times New Roman"/>
          <w:color w:val="000000"/>
          <w:sz w:val="32"/>
          <w:szCs w:val="32"/>
          <w:highlight w:val="none"/>
          <w:lang w:eastAsia="zh-CN"/>
        </w:rPr>
        <w:t>法定职责</w:t>
      </w:r>
      <w:r>
        <w:rPr>
          <w:rFonts w:hint="default" w:ascii="Times New Roman" w:hAnsi="Times New Roman" w:eastAsia="仿宋_GB2312" w:cs="Times New Roman"/>
          <w:color w:val="000000"/>
          <w:sz w:val="32"/>
          <w:szCs w:val="32"/>
          <w:highlight w:val="none"/>
        </w:rPr>
        <w:t>，</w:t>
      </w:r>
      <w:r>
        <w:rPr>
          <w:rFonts w:hint="eastAsia" w:ascii="Times New Roman" w:hAnsi="Times New Roman" w:eastAsia="仿宋_GB2312" w:cs="Times New Roman"/>
          <w:color w:val="000000"/>
          <w:sz w:val="32"/>
          <w:szCs w:val="32"/>
          <w:highlight w:val="none"/>
          <w:lang w:eastAsia="zh-CN"/>
        </w:rPr>
        <w:t>履职情况如下：</w:t>
      </w:r>
    </w:p>
    <w:p>
      <w:pPr>
        <w:pStyle w:val="9"/>
        <w:keepNext w:val="0"/>
        <w:keepLines w:val="0"/>
        <w:pageBreakBefore w:val="0"/>
        <w:widowControl/>
        <w:kinsoku/>
        <w:wordWrap/>
        <w:overflowPunct/>
        <w:topLinePunct w:val="0"/>
        <w:autoSpaceDE/>
        <w:autoSpaceDN/>
        <w:bidi w:val="0"/>
        <w:adjustRightInd/>
        <w:snapToGrid/>
        <w:spacing w:line="640" w:lineRule="exact"/>
        <w:ind w:left="0" w:leftChars="0" w:firstLine="0" w:firstLine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　　1、以提质赋能打开经济发展新局面</w:t>
      </w:r>
      <w:r>
        <w:rPr>
          <w:rFonts w:hint="eastAsia" w:ascii="楷体_GB2312" w:hAnsi="楷体_GB2312" w:eastAsia="楷体_GB2312" w:cs="楷体_GB2312"/>
          <w:b/>
          <w:bCs/>
          <w:sz w:val="32"/>
          <w:szCs w:val="32"/>
        </w:rPr>
        <w:t>。</w:t>
      </w:r>
      <w:r>
        <w:rPr>
          <w:rFonts w:hint="eastAsia" w:ascii="仿宋_GB2312" w:hAnsi="仿宋_GB2312" w:eastAsia="仿宋_GB2312" w:cs="仿宋_GB2312"/>
          <w:kern w:val="2"/>
          <w:sz w:val="32"/>
          <w:szCs w:val="32"/>
          <w:lang w:val="en-US" w:eastAsia="zh-CN" w:bidi="ar-SA"/>
        </w:rPr>
        <w:t>全年投入资金2400万元，整村推进福星村高标准农田建设，全年完成粮食种植面积6.85万亩，油菜、芥菜、玉米、黄豆、棉花等产业均有较好增长；坚决遏制耕地“非粮化”“非农化”，违规图斑整改到位率100%，其中“两非”存量图斑整改在全区率先完，粮食饭碗端得更稳更牢。农业产业稳步发展。大力发展订单农业，“悦梦种苗”“康庭源吊瓜子”“旺君龙龙虾”“福星蘑菇”等品牌做优做强，推动我镇特色农业高质高效发展。特色产业提质增效。3月9日，成功举办了湖南省第四届油菜花节君山分会场暨君山区第十届油菜花节，开幕式当天吸引游客3万多人次，节会期间，接待游客35万人次，创收2000余万元，“油菜+旅游”产业年综合创收约1.4亿元。节会经济再创新高。</w:t>
      </w:r>
    </w:p>
    <w:p>
      <w:pPr>
        <w:pStyle w:val="9"/>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eastAsia" w:ascii="仿宋_GB2312" w:hAnsi="仿宋_GB2312" w:eastAsia="仿宋_GB2312" w:cs="仿宋_GB2312"/>
          <w:b w:val="0"/>
          <w:bCs w:val="0"/>
          <w:i w:val="0"/>
          <w:caps w:val="0"/>
          <w:color w:val="auto"/>
          <w:spacing w:val="7"/>
          <w:kern w:val="2"/>
          <w:sz w:val="32"/>
          <w:szCs w:val="32"/>
          <w:shd w:val="clear" w:fill="FFFFFF"/>
          <w:lang w:val="en-US" w:eastAsia="zh-CN" w:bidi="ar-SA"/>
        </w:rPr>
      </w:pPr>
      <w:r>
        <w:rPr>
          <w:rFonts w:hint="eastAsia" w:ascii="仿宋_GB2312" w:hAnsi="仿宋_GB2312" w:eastAsia="仿宋_GB2312" w:cs="仿宋_GB2312"/>
          <w:kern w:val="2"/>
          <w:sz w:val="32"/>
          <w:szCs w:val="32"/>
          <w:lang w:val="en-US" w:eastAsia="zh-CN" w:bidi="ar-SA"/>
        </w:rPr>
        <w:t>2、以绿水青山展现镇村风土新形象。</w:t>
      </w:r>
      <w:r>
        <w:rPr>
          <w:rFonts w:hint="eastAsia" w:ascii="仿宋_GB2312" w:hAnsi="仿宋_GB2312" w:eastAsia="仿宋_GB2312" w:cs="仿宋_GB2312"/>
          <w:b w:val="0"/>
          <w:bCs w:val="0"/>
          <w:i w:val="0"/>
          <w:caps w:val="0"/>
          <w:color w:val="auto"/>
          <w:spacing w:val="7"/>
          <w:kern w:val="2"/>
          <w:sz w:val="32"/>
          <w:szCs w:val="32"/>
          <w:shd w:val="clear" w:fill="FFFFFF"/>
          <w:lang w:val="en-US" w:eastAsia="zh-CN" w:bidi="ar-SA"/>
        </w:rPr>
        <w:t>大力开展垃圾清运，全年</w:t>
      </w:r>
      <w:r>
        <w:rPr>
          <w:rFonts w:hint="eastAsia" w:ascii="仿宋_GB2312" w:eastAsia="仿宋_GB2312" w:cs="仿宋_GB2312"/>
          <w:color w:val="auto"/>
          <w:spacing w:val="-4"/>
          <w:sz w:val="32"/>
          <w:szCs w:val="32"/>
          <w:lang w:val="en-US" w:eastAsia="zh-CN"/>
        </w:rPr>
        <w:t>共清</w:t>
      </w:r>
      <w:r>
        <w:rPr>
          <w:rFonts w:hint="eastAsia" w:ascii="仿宋_GB2312" w:hAnsi="仿宋_GB2312" w:eastAsia="仿宋_GB2312" w:cs="仿宋_GB2312"/>
          <w:color w:val="auto"/>
          <w:kern w:val="2"/>
          <w:sz w:val="32"/>
          <w:szCs w:val="32"/>
          <w:lang w:val="en-US" w:eastAsia="zh-CN" w:bidi="ar"/>
        </w:rPr>
        <w:t>理各类垃圾 7000多吨，村容村貌明显改善。创建了</w:t>
      </w:r>
      <w:r>
        <w:rPr>
          <w:rFonts w:hint="eastAsia" w:ascii="仿宋_GB2312" w:hAnsi="仿宋_GB2312" w:eastAsia="仿宋_GB2312" w:cs="仿宋_GB2312"/>
          <w:b w:val="0"/>
          <w:bCs w:val="0"/>
          <w:i w:val="0"/>
          <w:caps w:val="0"/>
          <w:color w:val="auto"/>
          <w:spacing w:val="7"/>
          <w:kern w:val="2"/>
          <w:sz w:val="32"/>
          <w:szCs w:val="32"/>
          <w:shd w:val="clear" w:fill="FFFFFF"/>
          <w:lang w:val="en-US" w:eastAsia="zh-CN" w:bidi="ar-SA"/>
        </w:rPr>
        <w:t>福华、纺织、纺织棚改、团结</w:t>
      </w:r>
      <w:r>
        <w:rPr>
          <w:rFonts w:hint="eastAsia" w:ascii="仿宋_GB2312" w:hAnsi="仿宋_GB2312" w:eastAsia="仿宋_GB2312" w:cs="仿宋_GB2312"/>
          <w:color w:val="auto"/>
          <w:kern w:val="2"/>
          <w:sz w:val="32"/>
          <w:szCs w:val="32"/>
          <w:lang w:val="en-US" w:eastAsia="zh-CN" w:bidi="ar"/>
        </w:rPr>
        <w:t>四个示范小区，示范引领取得好成效。扎实推进厕所革命，</w:t>
      </w:r>
      <w:r>
        <w:rPr>
          <w:rFonts w:hint="eastAsia" w:ascii="仿宋_GB2312" w:hAnsi="仿宋_GB2312" w:eastAsia="仿宋_GB2312" w:cs="仿宋_GB2312"/>
          <w:b w:val="0"/>
          <w:bCs w:val="0"/>
          <w:i w:val="0"/>
          <w:caps w:val="0"/>
          <w:color w:val="auto"/>
          <w:spacing w:val="7"/>
          <w:kern w:val="2"/>
          <w:sz w:val="32"/>
          <w:szCs w:val="32"/>
          <w:shd w:val="clear" w:fill="FFFFFF"/>
          <w:lang w:val="en-US" w:eastAsia="zh-CN" w:bidi="ar-SA"/>
        </w:rPr>
        <w:t>改（新）建农村户厕140户，整改问题厕所</w:t>
      </w:r>
      <w:r>
        <w:rPr>
          <w:rFonts w:hint="eastAsia" w:ascii="仿宋_GB2312" w:hAnsi="仿宋_GB2312" w:eastAsia="仿宋_GB2312" w:cs="仿宋_GB2312"/>
          <w:color w:val="auto"/>
          <w:kern w:val="2"/>
          <w:sz w:val="32"/>
          <w:szCs w:val="32"/>
          <w:lang w:val="en-US" w:eastAsia="zh-CN" w:bidi="ar"/>
        </w:rPr>
        <w:t>446个。</w:t>
      </w:r>
      <w:r>
        <w:rPr>
          <w:rFonts w:hint="eastAsia" w:ascii="仿宋_GB2312" w:hAnsi="仿宋_GB2312" w:eastAsia="仿宋_GB2312" w:cs="仿宋_GB2312"/>
          <w:b w:val="0"/>
          <w:bCs w:val="0"/>
          <w:i w:val="0"/>
          <w:caps w:val="0"/>
          <w:color w:val="auto"/>
          <w:spacing w:val="7"/>
          <w:kern w:val="2"/>
          <w:sz w:val="32"/>
          <w:szCs w:val="32"/>
          <w:shd w:val="clear" w:fill="FFFFFF"/>
          <w:lang w:val="en-US" w:eastAsia="zh-CN" w:bidi="ar-SA"/>
        </w:rPr>
        <w:t>着力改善了人居环境。常态化开展河湖巡查，镇、村两级河长完成巡河680余人次，交办问题88起，清理河道、沟渠水葫芦33公里，清运河道垃圾22.3吨，有效防范水环境污染。积极开展打击非法采砂和取土专项行动，及时制止藕池河2起私挖滥采砂行为。严厉打击河道电鱼、毒鱼、网鱼等违法行为，批评警示教育350余人次。守护好一江碧水。强化扬尘、油烟等综合治理，持续抓好秸秆焚烧，打好蓝天保卫战</w:t>
      </w:r>
      <w:r>
        <w:rPr>
          <w:rFonts w:hint="eastAsia" w:ascii="仿宋_GB2312" w:hAnsi="仿宋_GB2312" w:eastAsia="仿宋_GB2312" w:cs="仿宋_GB2312"/>
          <w:b/>
          <w:bCs/>
          <w:i w:val="0"/>
          <w:caps w:val="0"/>
          <w:color w:val="auto"/>
          <w:spacing w:val="7"/>
          <w:kern w:val="2"/>
          <w:sz w:val="32"/>
          <w:szCs w:val="32"/>
          <w:shd w:val="clear" w:fill="FFFFFF"/>
          <w:lang w:val="en-US" w:eastAsia="zh-CN" w:bidi="ar-SA"/>
        </w:rPr>
        <w:t>。</w:t>
      </w:r>
      <w:r>
        <w:rPr>
          <w:rFonts w:hint="eastAsia" w:ascii="仿宋_GB2312" w:hAnsi="仿宋_GB2312" w:eastAsia="仿宋_GB2312" w:cs="仿宋_GB2312"/>
          <w:b w:val="0"/>
          <w:bCs w:val="0"/>
          <w:i w:val="0"/>
          <w:caps w:val="0"/>
          <w:color w:val="auto"/>
          <w:spacing w:val="7"/>
          <w:kern w:val="2"/>
          <w:sz w:val="32"/>
          <w:szCs w:val="32"/>
          <w:shd w:val="clear" w:fill="FFFFFF"/>
          <w:lang w:val="en-US" w:eastAsia="zh-CN" w:bidi="ar-SA"/>
        </w:rPr>
        <w:t>建立了农药包装废弃物镇级归集点1个，村级回收点19个。大力推广有机肥替代化肥、机械深施肥等技术，其中有机肥1000吨，测土配方施肥9.3万亩，水肥一体化3000余亩。推进净土保卫战。</w:t>
      </w:r>
    </w:p>
    <w:p>
      <w:pPr>
        <w:pStyle w:val="9"/>
        <w:keepNext w:val="0"/>
        <w:keepLines w:val="0"/>
        <w:pageBreakBefore w:val="0"/>
        <w:widowControl/>
        <w:kinsoku/>
        <w:wordWrap/>
        <w:overflowPunct/>
        <w:topLinePunct w:val="0"/>
        <w:autoSpaceDE/>
        <w:autoSpaceDN/>
        <w:bidi w:val="0"/>
        <w:adjustRightInd/>
        <w:snapToGrid/>
        <w:spacing w:line="640" w:lineRule="exact"/>
        <w:ind w:left="0" w:leftChars="0" w:firstLine="640" w:firstLineChars="0"/>
        <w:jc w:val="both"/>
        <w:textAlignment w:val="auto"/>
        <w:rPr>
          <w:rFonts w:hint="eastAsia" w:ascii="仿宋_GB2312" w:hAnsi="仿宋_GB2312" w:eastAsia="仿宋_GB2312" w:cs="仿宋_GB2312"/>
          <w:b/>
          <w:bCs/>
          <w:i w:val="0"/>
          <w:caps w:val="0"/>
          <w:color w:val="auto"/>
          <w:spacing w:val="7"/>
          <w:kern w:val="2"/>
          <w:sz w:val="32"/>
          <w:szCs w:val="32"/>
          <w:shd w:val="clear" w:fill="FFFFFF"/>
          <w:lang w:val="en-US" w:eastAsia="zh-CN" w:bidi="ar-SA"/>
        </w:rPr>
      </w:pPr>
      <w:r>
        <w:rPr>
          <w:rFonts w:hint="eastAsia" w:ascii="仿宋_GB2312" w:hAnsi="仿宋_GB2312" w:eastAsia="仿宋_GB2312" w:cs="仿宋_GB2312"/>
          <w:b w:val="0"/>
          <w:bCs w:val="0"/>
          <w:i w:val="0"/>
          <w:caps w:val="0"/>
          <w:color w:val="auto"/>
          <w:spacing w:val="7"/>
          <w:kern w:val="2"/>
          <w:sz w:val="32"/>
          <w:szCs w:val="32"/>
          <w:shd w:val="clear" w:fill="FFFFFF"/>
          <w:lang w:val="en-US" w:eastAsia="zh-CN" w:bidi="ar-SA"/>
        </w:rPr>
        <w:t>3、以倾情投入推动民生事业新进步。全年累计发放“四跟四走”产业扶贫资金9.1万元，庭院经济项目奖补资金5.2万元、教育补助6.75万元、小额信贷38万元、公益性岗位补贴44万元，实现脱贫劳动力外出务工510人，完成“衔接资金项目”12个295万元。巩固了脱贫成效。全镇11个村（社区）集体经济10万元以上实现全覆盖，集体经济收入30万元村3个、50万元村1个,实现村集体经济量的合理增长和质的有效提升。壮大了集体经济。严格落实各项特殊人群帮扶政策，全镇城镇低保对象374户707人，特困供养人员48户，孤儿和事实无人抚养儿童21名，做到应保尽保、应救尽救。关心关爱残障人士，为215位重度残疾人、220位困难残疾人发放了“两残补助”41.76万元，落实残疾人无障碍改造项目7个，并发放轮椅10辆。推进农村互助式养老示范点创建工作，5个村（社区）完成了示范点创建并投入实体运营，提升老年群体获得感、幸福感。保障了民生福祉。</w:t>
      </w:r>
    </w:p>
    <w:p>
      <w:pPr>
        <w:keepNext w:val="0"/>
        <w:keepLines w:val="0"/>
        <w:pageBreakBefore w:val="0"/>
        <w:widowControl w:val="0"/>
        <w:numPr>
          <w:ilvl w:val="0"/>
          <w:numId w:val="0"/>
        </w:numPr>
        <w:kinsoku/>
        <w:wordWrap/>
        <w:overflowPunct/>
        <w:topLinePunct w:val="0"/>
        <w:autoSpaceDN/>
        <w:bidi w:val="0"/>
        <w:adjustRightInd/>
        <w:snapToGrid/>
        <w:spacing w:line="600" w:lineRule="exact"/>
        <w:ind w:firstLine="640" w:firstLineChars="200"/>
        <w:textAlignment w:val="auto"/>
        <w:rPr>
          <w:rFonts w:hint="eastAsia" w:ascii="楷体_GB2312" w:hAnsi="楷体_GB2312" w:eastAsia="楷体_GB2312" w:cs="楷体_GB2312"/>
          <w:b/>
          <w:bCs/>
          <w:color w:val="auto"/>
          <w:sz w:val="32"/>
          <w:szCs w:val="32"/>
          <w:lang w:val="en-US" w:eastAsia="zh-CN"/>
        </w:rPr>
      </w:pP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w:t>
      </w:r>
      <w:r>
        <w:rPr>
          <w:rFonts w:hint="eastAsia" w:ascii="Times New Roman" w:hAnsi="Times New Roman" w:eastAsia="仿宋_GB2312" w:cs="Times New Roman"/>
          <w:color w:val="000000"/>
          <w:sz w:val="32"/>
          <w:szCs w:val="32"/>
          <w:highlight w:val="none"/>
          <w:lang w:eastAsia="zh-CN"/>
        </w:rPr>
        <w:t>，</w:t>
      </w:r>
      <w:r>
        <w:rPr>
          <w:rFonts w:hint="eastAsia" w:ascii="仿宋_GB2312" w:hAnsi="仿宋_GB2312" w:eastAsia="仿宋_GB2312" w:cs="仿宋_GB2312"/>
          <w:kern w:val="2"/>
          <w:sz w:val="32"/>
          <w:szCs w:val="32"/>
          <w:lang w:val="en-US" w:eastAsia="zh-CN" w:bidi="ar-SA"/>
        </w:rPr>
        <w:t>我镇</w:t>
      </w:r>
      <w:r>
        <w:rPr>
          <w:rFonts w:hint="eastAsia" w:ascii="仿宋_GB2312" w:hAnsi="仿宋_GB2312" w:eastAsia="仿宋_GB2312" w:cs="仿宋_GB2312"/>
          <w:color w:val="auto"/>
          <w:sz w:val="32"/>
          <w:szCs w:val="22"/>
          <w:lang w:val="en-US" w:eastAsia="zh-CN"/>
        </w:rPr>
        <w:t>荣获</w:t>
      </w:r>
      <w:r>
        <w:rPr>
          <w:rFonts w:hint="eastAsia" w:ascii="仿宋_GB2312" w:hAnsi="仿宋_GB2312" w:eastAsia="仿宋_GB2312" w:cs="仿宋_GB2312"/>
          <w:color w:val="000000"/>
          <w:spacing w:val="0"/>
          <w:kern w:val="2"/>
          <w:sz w:val="32"/>
          <w:szCs w:val="32"/>
          <w:lang w:val="en-US" w:eastAsia="zh-CN" w:bidi="ar-SA"/>
        </w:rPr>
        <w:t>计划生育协会先进单位省级荣誉；</w:t>
      </w:r>
      <w:r>
        <w:rPr>
          <w:rFonts w:hint="eastAsia" w:ascii="仿宋_GB2312" w:hAnsi="仿宋_GB2312" w:eastAsia="仿宋_GB2312" w:cs="仿宋_GB2312"/>
          <w:color w:val="auto"/>
          <w:sz w:val="32"/>
          <w:szCs w:val="22"/>
          <w:lang w:val="en-US" w:eastAsia="zh-CN"/>
        </w:rPr>
        <w:t>市农村人居环境整治提升先进乡镇、食品安全工作A级单位等4项市级荣誉</w:t>
      </w:r>
      <w:r>
        <w:rPr>
          <w:rFonts w:hint="eastAsia" w:ascii="仿宋_GB2312" w:hAnsi="仿宋_GB2312" w:eastAsia="仿宋_GB2312" w:cs="仿宋_GB2312"/>
          <w:b w:val="0"/>
          <w:bCs w:val="0"/>
          <w:color w:val="auto"/>
          <w:sz w:val="32"/>
          <w:szCs w:val="22"/>
          <w:lang w:val="en-US" w:eastAsia="zh-CN"/>
        </w:rPr>
        <w:t>；区“4.25”系列活动先进单位、巩固拓展脱贫攻坚成果同乡村振兴有效衔接工作先进单位、田长制工作先进单位等9项区级荣誉。重点工作、特色产业发展等得到央视新闻、人民日报、新华社、湖南卫视、湖南日报、岳阳日报等主流媒体宣传推介。</w:t>
      </w:r>
    </w:p>
    <w:p>
      <w:pPr>
        <w:pStyle w:val="9"/>
        <w:keepNext w:val="0"/>
        <w:keepLines w:val="0"/>
        <w:pageBreakBefore w:val="0"/>
        <w:widowControl/>
        <w:kinsoku/>
        <w:wordWrap/>
        <w:overflowPunct/>
        <w:topLinePunct w:val="0"/>
        <w:autoSpaceDE/>
        <w:autoSpaceDN/>
        <w:bidi w:val="0"/>
        <w:adjustRightInd/>
        <w:snapToGrid/>
        <w:spacing w:line="640" w:lineRule="exact"/>
        <w:ind w:left="0" w:leftChars="0" w:firstLine="0" w:firstLineChars="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　　</w:t>
      </w:r>
      <w:r>
        <w:rPr>
          <w:rFonts w:hint="default" w:ascii="Times New Roman" w:hAnsi="Times New Roman" w:eastAsia="黑体" w:cs="Times New Roman"/>
          <w:sz w:val="32"/>
          <w:szCs w:val="32"/>
          <w:highlight w:val="none"/>
        </w:rPr>
        <w:t>七、存在的问题及原因分析</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Chars="0" w:right="0" w:rightChars="0" w:firstLine="640" w:firstLineChars="200"/>
        <w:jc w:val="left"/>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存在的问题：</w:t>
      </w:r>
    </w:p>
    <w:p>
      <w:pPr>
        <w:keepNext w:val="0"/>
        <w:keepLines w:val="0"/>
        <w:pageBreakBefore w:val="0"/>
        <w:widowControl/>
        <w:numPr>
          <w:ilvl w:val="0"/>
          <w:numId w:val="5"/>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Chars="0" w:right="0" w:rightChars="0" w:firstLine="640" w:firstLineChars="200"/>
        <w:jc w:val="left"/>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预算编制以及预算执行不</w:t>
      </w:r>
      <w:r>
        <w:rPr>
          <w:rFonts w:hint="eastAsia" w:ascii="Times New Roman" w:hAnsi="Times New Roman" w:eastAsia="仿宋_GB2312" w:cs="Times New Roman"/>
          <w:sz w:val="32"/>
          <w:szCs w:val="32"/>
          <w:highlight w:val="none"/>
          <w:lang w:eastAsia="zh-CN"/>
        </w:rPr>
        <w:t>够</w:t>
      </w:r>
      <w:r>
        <w:rPr>
          <w:rFonts w:hint="default" w:ascii="Times New Roman" w:hAnsi="Times New Roman" w:eastAsia="仿宋_GB2312" w:cs="Times New Roman"/>
          <w:sz w:val="32"/>
          <w:szCs w:val="32"/>
          <w:highlight w:val="none"/>
        </w:rPr>
        <w:t>合理。预算编制与实际支出存在不小的差异，预算不足，难以满足需要。</w:t>
      </w:r>
    </w:p>
    <w:p>
      <w:pPr>
        <w:keepNext w:val="0"/>
        <w:keepLines w:val="0"/>
        <w:pageBreakBefore w:val="0"/>
        <w:widowControl/>
        <w:numPr>
          <w:ilvl w:val="0"/>
          <w:numId w:val="5"/>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rightChars="0" w:firstLine="640" w:firstLineChars="200"/>
        <w:jc w:val="left"/>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lang w:val="en-US" w:eastAsia="zh-CN"/>
        </w:rPr>
        <w:t>预算绩效管理工作贯穿全年，与各个部门、各站所业务息息相关，由于对预算绩效管理的全面性和重要性缺乏深入的了解，统揽全局的意识有所欠缺，导致预算绩效管理工作在推动过程中能够很好地完成各项工作任务，但工作质量难以实现质的飞跃。</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主要原因是根据预算编制规则，预算资金缩减，公用经费</w:t>
      </w:r>
      <w:r>
        <w:rPr>
          <w:rFonts w:hint="eastAsia" w:ascii="Times New Roman" w:hAnsi="Times New Roman" w:eastAsia="仿宋_GB2312" w:cs="Times New Roman"/>
          <w:sz w:val="32"/>
          <w:szCs w:val="32"/>
          <w:highlight w:val="none"/>
          <w:lang w:eastAsia="zh-CN"/>
        </w:rPr>
        <w:t>和专项资金</w:t>
      </w:r>
      <w:r>
        <w:rPr>
          <w:rFonts w:hint="default" w:ascii="Times New Roman" w:hAnsi="Times New Roman" w:eastAsia="仿宋_GB2312" w:cs="Times New Roman"/>
          <w:sz w:val="32"/>
          <w:szCs w:val="32"/>
          <w:highlight w:val="none"/>
        </w:rPr>
        <w:t>不足，难以满足需要。</w:t>
      </w:r>
    </w:p>
    <w:p>
      <w:pPr>
        <w:keepNext w:val="0"/>
        <w:keepLines w:val="0"/>
        <w:pageBreakBefore w:val="0"/>
        <w:widowControl/>
        <w:numPr>
          <w:ilvl w:val="0"/>
          <w:numId w:val="6"/>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pStyle w:val="2"/>
        <w:numPr>
          <w:ilvl w:val="0"/>
          <w:numId w:val="0"/>
        </w:numPr>
        <w:rPr>
          <w:rFonts w:hint="eastAsia" w:ascii="Times New Roman" w:hAnsi="Times New Roman" w:eastAsia="仿宋_GB2312" w:cs="Times New Roman"/>
          <w:kern w:val="0"/>
          <w:sz w:val="32"/>
          <w:szCs w:val="32"/>
          <w:highlight w:val="none"/>
          <w:lang w:val="en-US" w:eastAsia="zh-CN" w:bidi="ar-SA"/>
        </w:rPr>
      </w:pPr>
      <w:r>
        <w:rPr>
          <w:rFonts w:hint="eastAsia"/>
          <w:lang w:eastAsia="zh-CN"/>
        </w:rPr>
        <w:t>　　</w:t>
      </w:r>
      <w:r>
        <w:rPr>
          <w:rFonts w:hint="eastAsia" w:ascii="Times New Roman" w:hAnsi="Times New Roman" w:eastAsia="仿宋_GB2312" w:cs="Times New Roman"/>
          <w:kern w:val="0"/>
          <w:sz w:val="32"/>
          <w:szCs w:val="32"/>
          <w:highlight w:val="none"/>
          <w:lang w:val="en-US" w:eastAsia="zh-CN" w:bidi="ar-SA"/>
        </w:rPr>
        <w:t>　一是按照预算规定的项目和用途严格财务审核，经费支出严格按预算规定项目的财务支出内容进行财务核算，在预算金额内严格控制费用的支出。</w:t>
      </w:r>
    </w:p>
    <w:p>
      <w:pPr>
        <w:pStyle w:val="2"/>
        <w:numPr>
          <w:ilvl w:val="0"/>
          <w:numId w:val="0"/>
        </w:numPr>
        <w:rPr>
          <w:rFonts w:hint="eastAsia" w:ascii="Times New Roman" w:hAnsi="Times New Roman" w:eastAsia="仿宋_GB2312" w:cs="Times New Roman"/>
          <w:kern w:val="0"/>
          <w:sz w:val="32"/>
          <w:szCs w:val="32"/>
          <w:highlight w:val="none"/>
          <w:lang w:val="en-US" w:eastAsia="zh-CN" w:bidi="ar-SA"/>
        </w:rPr>
      </w:pPr>
      <w:r>
        <w:rPr>
          <w:rFonts w:hint="eastAsia" w:ascii="Times New Roman" w:hAnsi="Times New Roman" w:eastAsia="仿宋_GB2312" w:cs="Times New Roman"/>
          <w:kern w:val="0"/>
          <w:sz w:val="32"/>
          <w:szCs w:val="32"/>
          <w:highlight w:val="none"/>
          <w:lang w:val="en-US" w:eastAsia="zh-CN" w:bidi="ar-SA"/>
        </w:rPr>
        <w:t>　　二是预算财务分析常态化，定期做好预算支出财务分析，做好单位整体支出预算评价工作。</w:t>
      </w:r>
    </w:p>
    <w:p>
      <w:pPr>
        <w:keepNext w:val="0"/>
        <w:keepLines w:val="0"/>
        <w:pageBreakBefore w:val="0"/>
        <w:widowControl/>
        <w:numPr>
          <w:ilvl w:val="0"/>
          <w:numId w:val="6"/>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right="0" w:firstLine="640" w:firstLineChars="200"/>
        <w:jc w:val="both"/>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对照绩效自评结果，总结经验，发现问题，提出改进的方向和具体措施，促进工作的开展。逐步建立绩效评价与部门预算相结合的结果应用机制，实行绩效评价结果在部门预算编制和执行中的应用，促进财政资金的合理分配与有效使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Autospacing="0" w:line="560" w:lineRule="exact"/>
        <w:ind w:left="0" w:leftChars="0" w:right="0" w:firstLine="640" w:firstLineChars="200"/>
        <w:jc w:val="both"/>
        <w:textAlignment w:val="auto"/>
        <w:rPr>
          <w:rFonts w:hint="default"/>
        </w:rPr>
      </w:pPr>
      <w:r>
        <w:rPr>
          <w:rFonts w:hint="eastAsia" w:ascii="Times New Roman" w:hAnsi="Times New Roman" w:eastAsia="仿宋_GB2312" w:cs="Times New Roman"/>
          <w:sz w:val="32"/>
          <w:szCs w:val="32"/>
          <w:lang w:val="en-US" w:eastAsia="zh-CN"/>
        </w:rPr>
        <w:t>对部门整体支出绩效自评在规定时间内公开至本单位门户网站，确保公开数据真实、完整、准确。</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r>
        <w:rPr>
          <w:rFonts w:hint="eastAsia" w:ascii="Times New Roman" w:hAnsi="Times New Roman" w:eastAsia="仿宋_GB2312" w:cs="Times New Roman"/>
          <w:kern w:val="0"/>
          <w:sz w:val="32"/>
          <w:szCs w:val="32"/>
          <w:lang w:val="en-US" w:eastAsia="zh-CN" w:bidi="ar-SA"/>
        </w:rPr>
        <w:t>无。</w:t>
      </w:r>
      <w:r>
        <w:rPr>
          <w:rFonts w:hint="eastAsia" w:ascii="Times New Roman" w:hAnsi="Times New Roman" w:eastAsia="仿宋_GB2312" w:cs="Times New Roman"/>
          <w:kern w:val="0"/>
          <w:sz w:val="32"/>
          <w:szCs w:val="32"/>
          <w:lang w:val="en-US" w:eastAsia="zh-CN" w:bidi="ar-SA"/>
        </w:rPr>
        <w:br w:type="page"/>
      </w: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6"/>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56</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52　</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92.86%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3.1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3.1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759.97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1086</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18</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1086</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18</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179.86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89</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25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89</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25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sz w:val="20"/>
                <w:szCs w:val="20"/>
                <w:highlight w:val="none"/>
                <w:lang w:val="en-US" w:eastAsia="zh-CN"/>
              </w:rPr>
              <w:t>25.7</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25.7</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sz w:val="20"/>
                <w:szCs w:val="20"/>
                <w:highlight w:val="none"/>
                <w:lang w:val="en-US" w:eastAsia="zh-CN"/>
              </w:rPr>
              <w:t>12.5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12.5　</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sz w:val="20"/>
                <w:szCs w:val="20"/>
                <w:highlight w:val="none"/>
                <w:lang w:val="en-US" w:eastAsia="zh-CN"/>
              </w:rPr>
              <w:t>4.11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4.11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959</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6</w:t>
            </w:r>
            <w:r>
              <w:rPr>
                <w:rFonts w:hint="eastAsia" w:ascii="仿宋_GB2312" w:hAnsi="仿宋_GB2312" w:eastAsia="仿宋_GB2312" w:cs="仿宋_GB2312"/>
                <w:color w:val="000000"/>
                <w:sz w:val="20"/>
                <w:szCs w:val="20"/>
                <w:highlight w:val="none"/>
                <w:lang w:val="en-US" w:eastAsia="zh-CN"/>
              </w:rPr>
              <w:t>5</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color w:val="000000"/>
                <w:sz w:val="20"/>
                <w:szCs w:val="20"/>
                <w:highlight w:val="none"/>
              </w:rPr>
              <w:t>959</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6</w:t>
            </w:r>
            <w:r>
              <w:rPr>
                <w:rFonts w:hint="eastAsia" w:ascii="仿宋_GB2312" w:hAnsi="仿宋_GB2312" w:eastAsia="仿宋_GB2312" w:cs="仿宋_GB2312"/>
                <w:color w:val="000000"/>
                <w:sz w:val="20"/>
                <w:szCs w:val="20"/>
                <w:highlight w:val="none"/>
                <w:lang w:val="en-US" w:eastAsia="zh-CN"/>
              </w:rPr>
              <w:t>5</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严格控制“三公”经费，“三公”经费较去年下降100%。</w:t>
            </w: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Lines="0" w:line="400" w:lineRule="exact"/>
        <w:jc w:val="left"/>
        <w:rPr>
          <w:rFonts w:hint="default" w:ascii="Times New Roman" w:hAnsi="Times New Roman" w:eastAsia="仿宋_GB2312" w:cs="Times New Roman"/>
          <w:sz w:val="22"/>
          <w:highlight w:val="none"/>
        </w:rPr>
      </w:pPr>
    </w:p>
    <w:p>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w:t>
      </w:r>
      <w:bookmarkStart w:id="0" w:name="_GoBack"/>
      <w:bookmarkEnd w:id="0"/>
      <w:r>
        <w:rPr>
          <w:rFonts w:hint="default" w:ascii="Times New Roman" w:hAnsi="Times New Roman" w:eastAsia="仿宋_GB2312" w:cs="Times New Roman"/>
          <w:sz w:val="22"/>
          <w:highlight w:val="none"/>
        </w:rPr>
        <w:t xml:space="preserve">        填报日期：          联系电话：            单位负责人签字：</w:t>
      </w:r>
      <w:r>
        <w:rPr>
          <w:rFonts w:hint="default" w:ascii="Times New Roman" w:hAnsi="Times New Roman" w:eastAsia="仿宋_GB2312" w:cs="Times New Roman"/>
          <w:sz w:val="22"/>
          <w:highlight w:val="none"/>
        </w:rPr>
        <w:br w:type="page"/>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6"/>
        <w:tblW w:w="10079" w:type="dxa"/>
        <w:jc w:val="center"/>
        <w:tblLayout w:type="fixed"/>
        <w:tblCellMar>
          <w:top w:w="0" w:type="dxa"/>
          <w:left w:w="108" w:type="dxa"/>
          <w:bottom w:w="0" w:type="dxa"/>
          <w:right w:w="108" w:type="dxa"/>
        </w:tblCellMar>
      </w:tblPr>
      <w:tblGrid>
        <w:gridCol w:w="1080"/>
        <w:gridCol w:w="1080"/>
        <w:gridCol w:w="1019"/>
        <w:gridCol w:w="1623"/>
        <w:gridCol w:w="1349"/>
        <w:gridCol w:w="1297"/>
        <w:gridCol w:w="735"/>
        <w:gridCol w:w="675"/>
        <w:gridCol w:w="1221"/>
      </w:tblGrid>
      <w:tr>
        <w:tblPrEx>
          <w:tblCellMar>
            <w:top w:w="0" w:type="dxa"/>
            <w:left w:w="108" w:type="dxa"/>
            <w:bottom w:w="0" w:type="dxa"/>
            <w:right w:w="108" w:type="dxa"/>
          </w:tblCellMar>
        </w:tblPrEx>
        <w:trPr>
          <w:trHeight w:val="515" w:hRule="atLeast"/>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岳阳市君山区良心堡镇人民政府</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算申请</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099"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62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4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97"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3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67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22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099"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62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1421.13</w:t>
            </w:r>
          </w:p>
        </w:tc>
        <w:tc>
          <w:tcPr>
            <w:tcW w:w="134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2045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8</w:t>
            </w:r>
            <w:r>
              <w:rPr>
                <w:rFonts w:hint="eastAsia" w:ascii="仿宋_GB2312" w:hAnsi="仿宋_GB2312" w:eastAsia="仿宋_GB2312" w:cs="仿宋_GB2312"/>
                <w:sz w:val="20"/>
                <w:szCs w:val="20"/>
                <w:highlight w:val="none"/>
                <w:lang w:val="en-US" w:eastAsia="zh-CN"/>
              </w:rPr>
              <w:t>3</w:t>
            </w:r>
          </w:p>
        </w:tc>
        <w:tc>
          <w:tcPr>
            <w:tcW w:w="1297"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2045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8</w:t>
            </w:r>
            <w:r>
              <w:rPr>
                <w:rFonts w:hint="eastAsia" w:ascii="仿宋_GB2312" w:hAnsi="仿宋_GB2312" w:eastAsia="仿宋_GB2312" w:cs="仿宋_GB2312"/>
                <w:sz w:val="20"/>
                <w:szCs w:val="20"/>
                <w:highlight w:val="none"/>
                <w:lang w:val="en-US" w:eastAsia="zh-CN"/>
              </w:rPr>
              <w:t>3</w:t>
            </w:r>
          </w:p>
        </w:tc>
        <w:tc>
          <w:tcPr>
            <w:tcW w:w="73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675"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22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7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392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7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xml:space="preserve">  其中：一般公共预算：</w:t>
            </w:r>
            <w:r>
              <w:rPr>
                <w:rFonts w:hint="eastAsia" w:ascii="仿宋_GB2312" w:hAnsi="仿宋_GB2312" w:eastAsia="仿宋_GB2312" w:cs="仿宋_GB2312"/>
                <w:sz w:val="20"/>
                <w:szCs w:val="20"/>
                <w:highlight w:val="none"/>
              </w:rPr>
              <w:t>2003.1</w:t>
            </w:r>
          </w:p>
        </w:tc>
        <w:tc>
          <w:tcPr>
            <w:tcW w:w="392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其中：基本支出：959</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6</w:t>
            </w:r>
            <w:r>
              <w:rPr>
                <w:rFonts w:hint="eastAsia" w:ascii="仿宋_GB2312" w:hAnsi="仿宋_GB2312" w:eastAsia="仿宋_GB2312" w:cs="仿宋_GB2312"/>
                <w:color w:val="000000"/>
                <w:sz w:val="20"/>
                <w:szCs w:val="20"/>
                <w:highlight w:val="none"/>
                <w:lang w:val="en-US" w:eastAsia="zh-CN"/>
              </w:rPr>
              <w:t>5</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71"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政府性基金拨款：42</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73</w:t>
            </w:r>
          </w:p>
        </w:tc>
        <w:tc>
          <w:tcPr>
            <w:tcW w:w="3928"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项目支出：1086</w:t>
            </w:r>
            <w:r>
              <w:rPr>
                <w:rFonts w:hint="eastAsia" w:ascii="仿宋_GB2312" w:hAnsi="仿宋_GB2312" w:eastAsia="仿宋_GB2312" w:cs="仿宋_GB2312"/>
                <w:color w:val="000000"/>
                <w:sz w:val="20"/>
                <w:szCs w:val="20"/>
                <w:highlight w:val="none"/>
                <w:lang w:val="en-US" w:eastAsia="zh-CN"/>
              </w:rPr>
              <w:t>.</w:t>
            </w:r>
            <w:r>
              <w:rPr>
                <w:rFonts w:hint="eastAsia" w:ascii="仿宋_GB2312" w:hAnsi="仿宋_GB2312" w:eastAsia="仿宋_GB2312" w:cs="仿宋_GB2312"/>
                <w:color w:val="000000"/>
                <w:sz w:val="20"/>
                <w:szCs w:val="20"/>
                <w:highlight w:val="none"/>
              </w:rPr>
              <w:t>18</w:t>
            </w:r>
          </w:p>
        </w:tc>
      </w:tr>
      <w:tr>
        <w:tblPrEx>
          <w:tblCellMar>
            <w:top w:w="0" w:type="dxa"/>
            <w:left w:w="108" w:type="dxa"/>
            <w:bottom w:w="0" w:type="dxa"/>
            <w:right w:w="108" w:type="dxa"/>
          </w:tblCellMar>
        </w:tblPrEx>
        <w:trPr>
          <w:trHeight w:val="235"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71"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392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71"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3928"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5071"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3928"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5071"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kern w:val="0"/>
                <w:sz w:val="20"/>
                <w:szCs w:val="20"/>
                <w:highlight w:val="none"/>
                <w:lang w:val="en-US" w:eastAsia="zh-CN" w:bidi="ar-SA"/>
              </w:rPr>
              <w:t>强化财政资金使用情况的预算约束和监管，最大限度地降低行政成本，提高财政资金的使用效益。重点抓好农业产业发展、人居环境改善、守护好一江碧水、打好蓝天保卫战等工作，实现壮大集体经济、巩固脱贫成效、保障民生福祉，确保社会稳定的目标。</w:t>
            </w:r>
            <w:r>
              <w:rPr>
                <w:rFonts w:hint="eastAsia" w:ascii="仿宋_GB2312" w:hAnsi="仿宋_GB2312" w:eastAsia="仿宋_GB2312" w:cs="仿宋_GB2312"/>
                <w:color w:val="000000"/>
                <w:sz w:val="20"/>
                <w:szCs w:val="20"/>
                <w:highlight w:val="none"/>
              </w:rPr>
              <w:t>　　</w:t>
            </w:r>
          </w:p>
        </w:tc>
        <w:tc>
          <w:tcPr>
            <w:tcW w:w="3928"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一是预算执行情况较好，支出把关较严，量力而行，量财办事；二是专项资金“三专”管理，无截留、套取、挪用专项资金行为；三是农村产业结构调整较好，低效常规农作物种植率较低。四是民生福祉改善明显，群众的幸福指数明显上升，圆满完成全年目标任务。</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1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62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97"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19"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6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推广粮食种植</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6万亩</w:t>
            </w:r>
          </w:p>
        </w:tc>
        <w:tc>
          <w:tcPr>
            <w:tcW w:w="129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6.8万亩</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办油菜+旅游油菜花节</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1次</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1次</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灾害防治、森林防火知识培训覆盖村居数</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11个村（居）</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11个村（居）</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3</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23"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改善民生，低收入人群应保尽保</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776户</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776户</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23"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集镇垃圾清运</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0.7万吨</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0.75万吨</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2</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623"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粮食增产</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default" w:ascii="Arial" w:hAnsi="Arial" w:eastAsia="仿宋_GB2312" w:cs="Arial"/>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15%</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16%</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5"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623"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节会增收</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Arial" w:hAnsi="Arial" w:eastAsia="仿宋_GB2312" w:cs="Arial"/>
                <w:color w:val="000000"/>
                <w:sz w:val="20"/>
                <w:szCs w:val="20"/>
                <w:highlight w:val="none"/>
                <w:lang w:val="en-US" w:eastAsia="zh-CN"/>
              </w:rPr>
              <w:t>200万元</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320万元</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23"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培训合格率</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default" w:ascii="Arial" w:hAnsi="Arial" w:eastAsia="仿宋_GB2312" w:cs="Arial"/>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90%</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95%</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2</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23"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入保率</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Arial" w:hAnsi="Arial" w:eastAsia="仿宋_GB2312" w:cs="Arial"/>
                <w:color w:val="000000"/>
                <w:sz w:val="20"/>
                <w:szCs w:val="20"/>
                <w:highlight w:val="none"/>
                <w:lang w:val="en-US" w:eastAsia="zh-CN"/>
              </w:rPr>
            </w:pPr>
            <w:r>
              <w:rPr>
                <w:rFonts w:hint="eastAsia" w:ascii="Arial" w:hAnsi="Arial" w:eastAsia="仿宋_GB2312" w:cs="Arial"/>
                <w:color w:val="000000"/>
                <w:sz w:val="20"/>
                <w:szCs w:val="20"/>
                <w:highlight w:val="none"/>
                <w:lang w:val="en-US" w:eastAsia="zh-CN"/>
              </w:rPr>
              <w:t>100%</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Arial" w:hAnsi="Arial" w:eastAsia="仿宋_GB2312" w:cs="Arial"/>
                <w:color w:val="000000"/>
                <w:sz w:val="20"/>
                <w:szCs w:val="20"/>
                <w:highlight w:val="none"/>
                <w:lang w:val="en-US" w:eastAsia="zh-CN"/>
              </w:rPr>
              <w:t>100%</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623"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垃圾漕运率</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default" w:ascii="Arial" w:hAnsi="Arial" w:eastAsia="仿宋_GB2312" w:cs="Arial"/>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90%</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95%</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3</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3</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6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完成任务时间</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2023、12、31</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2023、12、31</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kern w:val="0"/>
                <w:sz w:val="20"/>
                <w:szCs w:val="20"/>
                <w:highlight w:val="none"/>
                <w:lang w:val="en-US" w:eastAsia="zh-CN" w:bidi="ar-SA"/>
              </w:rPr>
              <w:t>5</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6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批复预算</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sz w:val="20"/>
                <w:szCs w:val="20"/>
                <w:highlight w:val="none"/>
              </w:rPr>
              <w:t>2045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8</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color w:val="000000"/>
                <w:sz w:val="20"/>
                <w:szCs w:val="20"/>
                <w:highlight w:val="none"/>
                <w:lang w:val="en-US" w:eastAsia="zh-CN"/>
              </w:rPr>
              <w:t>万元</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sz w:val="20"/>
                <w:szCs w:val="20"/>
                <w:highlight w:val="none"/>
              </w:rPr>
              <w:t>2045</w:t>
            </w:r>
            <w:r>
              <w:rPr>
                <w:rFonts w:hint="eastAsia" w:ascii="仿宋_GB2312" w:hAnsi="仿宋_GB2312" w:eastAsia="仿宋_GB2312" w:cs="仿宋_GB2312"/>
                <w:sz w:val="20"/>
                <w:szCs w:val="20"/>
                <w:highlight w:val="none"/>
                <w:lang w:val="en-US" w:eastAsia="zh-CN"/>
              </w:rPr>
              <w:t>.</w:t>
            </w:r>
            <w:r>
              <w:rPr>
                <w:rFonts w:hint="eastAsia" w:ascii="仿宋_GB2312" w:hAnsi="仿宋_GB2312" w:eastAsia="仿宋_GB2312" w:cs="仿宋_GB2312"/>
                <w:sz w:val="20"/>
                <w:szCs w:val="20"/>
                <w:highlight w:val="none"/>
              </w:rPr>
              <w:t>8</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color w:val="000000"/>
                <w:sz w:val="20"/>
                <w:szCs w:val="20"/>
                <w:highlight w:val="none"/>
                <w:lang w:val="en-US" w:eastAsia="zh-CN"/>
              </w:rPr>
              <w:t>万元</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1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623"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群众收入增加</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675"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62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社会和谐，群众幸福感增强</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w:t>
            </w:r>
          </w:p>
        </w:tc>
        <w:tc>
          <w:tcPr>
            <w:tcW w:w="6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7</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62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环境明显改善</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43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1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62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民生改善、社会稳定</w:t>
            </w:r>
          </w:p>
        </w:tc>
        <w:tc>
          <w:tcPr>
            <w:tcW w:w="134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9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73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675"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w:t>
            </w:r>
          </w:p>
        </w:tc>
        <w:tc>
          <w:tcPr>
            <w:tcW w:w="122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19" w:type="dxa"/>
            <w:tcBorders>
              <w:top w:val="single" w:color="auto" w:sz="4" w:space="0"/>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62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社会公众或服务对象满意度</w:t>
            </w:r>
          </w:p>
        </w:tc>
        <w:tc>
          <w:tcPr>
            <w:tcW w:w="1349"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95%</w:t>
            </w:r>
          </w:p>
        </w:tc>
        <w:tc>
          <w:tcPr>
            <w:tcW w:w="1297"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95%</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7448"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675"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98</w:t>
            </w:r>
          </w:p>
        </w:tc>
        <w:tc>
          <w:tcPr>
            <w:tcW w:w="122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default" w:ascii="Times New Roman" w:hAnsi="Times New Roman" w:eastAsia="仿宋_GB2312" w:cs="Times New Roman"/>
          <w:sz w:val="22"/>
          <w:szCs w:val="22"/>
          <w:highlight w:val="none"/>
        </w:rPr>
      </w:pPr>
      <w:r>
        <w:rPr>
          <w:rFonts w:hint="default" w:ascii="Times New Roman" w:hAnsi="Times New Roman" w:eastAsia="仿宋_GB2312" w:cs="Times New Roman"/>
          <w:sz w:val="22"/>
          <w:szCs w:val="22"/>
          <w:highlight w:val="none"/>
        </w:rPr>
        <w:t xml:space="preserve">填表人：      填报日期：         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单位负责人签字：</w:t>
      </w:r>
    </w:p>
    <w:p>
      <w:pPr>
        <w:widowControl/>
        <w:spacing w:line="600" w:lineRule="exact"/>
        <w:jc w:val="left"/>
        <w:rPr>
          <w:rFonts w:hint="default" w:ascii="Times New Roman" w:hAnsi="Times New Roman" w:eastAsia="黑体" w:cs="Times New Roman"/>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3-1</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6"/>
        <w:tblW w:w="10026" w:type="dxa"/>
        <w:jc w:val="center"/>
        <w:tblLayout w:type="autofit"/>
        <w:tblCellMar>
          <w:top w:w="0" w:type="dxa"/>
          <w:left w:w="108" w:type="dxa"/>
          <w:bottom w:w="0" w:type="dxa"/>
          <w:right w:w="108" w:type="dxa"/>
        </w:tblCellMar>
      </w:tblPr>
      <w:tblGrid>
        <w:gridCol w:w="1080"/>
        <w:gridCol w:w="1080"/>
        <w:gridCol w:w="1080"/>
        <w:gridCol w:w="1224"/>
        <w:gridCol w:w="1220"/>
        <w:gridCol w:w="1241"/>
        <w:gridCol w:w="635"/>
        <w:gridCol w:w="873"/>
        <w:gridCol w:w="1593"/>
      </w:tblGrid>
      <w:tr>
        <w:tblPrEx>
          <w:tblCellMar>
            <w:top w:w="0" w:type="dxa"/>
            <w:left w:w="108" w:type="dxa"/>
            <w:bottom w:w="0" w:type="dxa"/>
            <w:right w:w="108" w:type="dxa"/>
          </w:tblCellMar>
        </w:tblPrEx>
        <w:trPr>
          <w:trHeight w:val="450" w:hRule="atLeast"/>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946" w:type="dxa"/>
            <w:gridSpan w:val="8"/>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2"/>
                <w:szCs w:val="22"/>
                <w:u w:val="none"/>
                <w:lang w:val="en-US" w:eastAsia="zh-CN" w:bidi="ar-SA"/>
              </w:rPr>
            </w:pPr>
            <w:r>
              <w:rPr>
                <w:rFonts w:hint="eastAsia" w:ascii="仿宋_GB2312" w:hAnsi="仿宋_GB2312" w:eastAsia="仿宋_GB2312" w:cs="仿宋_GB2312"/>
                <w:color w:val="000000"/>
                <w:sz w:val="20"/>
                <w:szCs w:val="20"/>
                <w:highlight w:val="none"/>
                <w:lang w:val="en-US" w:eastAsia="zh-CN"/>
              </w:rPr>
              <w:t>社区运转保障经费</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604"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lang w:val="en-US" w:eastAsia="zh-CN"/>
              </w:rPr>
              <w:t>岳阳市君山区良心堡镇人民政府</w:t>
            </w:r>
          </w:p>
        </w:tc>
        <w:tc>
          <w:tcPr>
            <w:tcW w:w="1241"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01"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2个社区</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项目资金</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241"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635"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59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86</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86</w:t>
            </w:r>
          </w:p>
        </w:tc>
        <w:tc>
          <w:tcPr>
            <w:tcW w:w="124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86</w:t>
            </w:r>
          </w:p>
        </w:tc>
        <w:tc>
          <w:tcPr>
            <w:tcW w:w="63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59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 xml:space="preserve">  86</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86</w:t>
            </w:r>
          </w:p>
        </w:tc>
        <w:tc>
          <w:tcPr>
            <w:tcW w:w="124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86</w:t>
            </w:r>
          </w:p>
        </w:tc>
        <w:tc>
          <w:tcPr>
            <w:tcW w:w="63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59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4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63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59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4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63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59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04"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42"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604"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确保社区正常运转，居民服务到位</w:t>
            </w:r>
            <w:r>
              <w:rPr>
                <w:rFonts w:hint="eastAsia" w:ascii="仿宋_GB2312" w:hAnsi="仿宋_GB2312" w:eastAsia="仿宋_GB2312" w:cs="仿宋_GB2312"/>
                <w:color w:val="000000"/>
                <w:sz w:val="20"/>
                <w:szCs w:val="20"/>
                <w:highlight w:val="none"/>
              </w:rPr>
              <w:t>　　</w:t>
            </w:r>
          </w:p>
        </w:tc>
        <w:tc>
          <w:tcPr>
            <w:tcW w:w="4342"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资金已拨付到位，社区运转正常，居民享受到了完善服务。</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24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635"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59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社区个数</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宋体" w:cs="仿宋_GB2312"/>
                <w:color w:val="000000"/>
                <w:sz w:val="20"/>
                <w:szCs w:val="20"/>
                <w:highlight w:val="none"/>
                <w:lang w:val="en-US" w:eastAsia="zh-CN"/>
              </w:rPr>
            </w:pPr>
            <w:r>
              <w:rPr>
                <w:rFonts w:hint="eastAsia" w:ascii="宋体" w:hAnsi="宋体" w:eastAsia="宋体" w:cs="宋体"/>
                <w:color w:val="000000"/>
                <w:sz w:val="20"/>
                <w:szCs w:val="20"/>
                <w:highlight w:val="none"/>
              </w:rPr>
              <w:t>2</w:t>
            </w:r>
            <w:r>
              <w:rPr>
                <w:rFonts w:hint="eastAsia" w:ascii="宋体" w:hAnsi="宋体" w:cs="宋体"/>
                <w:color w:val="000000"/>
                <w:sz w:val="20"/>
                <w:szCs w:val="20"/>
                <w:highlight w:val="none"/>
                <w:lang w:eastAsia="zh-CN"/>
              </w:rPr>
              <w:t>个</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200" w:firstLineChars="100"/>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宋体" w:hAnsi="宋体" w:eastAsia="宋体" w:cs="宋体"/>
                <w:color w:val="000000"/>
                <w:sz w:val="20"/>
                <w:szCs w:val="20"/>
                <w:highlight w:val="none"/>
              </w:rPr>
              <w:t>2</w:t>
            </w:r>
            <w:r>
              <w:rPr>
                <w:rFonts w:hint="eastAsia" w:ascii="宋体" w:hAnsi="宋体" w:cs="宋体"/>
                <w:color w:val="000000"/>
                <w:sz w:val="20"/>
                <w:szCs w:val="20"/>
                <w:highlight w:val="none"/>
                <w:lang w:eastAsia="zh-CN"/>
              </w:rPr>
              <w:t>个</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社区运转正常</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100%</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100%</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经费拨付合规率</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100%</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经费拨付及时</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全年</w:t>
            </w:r>
            <w:r>
              <w:rPr>
                <w:rFonts w:hint="eastAsia" w:ascii="仿宋_GB2312" w:hAnsi="仿宋_GB2312" w:eastAsia="仿宋_GB2312" w:cs="仿宋_GB2312"/>
                <w:color w:val="000000"/>
                <w:sz w:val="20"/>
                <w:szCs w:val="20"/>
                <w:highlight w:val="none"/>
                <w:lang w:val="en-US" w:eastAsia="zh-CN"/>
              </w:rPr>
              <w:t>12个月，均</w:t>
            </w:r>
            <w:r>
              <w:rPr>
                <w:rFonts w:hint="eastAsia" w:ascii="仿宋_GB2312" w:hAnsi="仿宋_GB2312" w:eastAsia="仿宋_GB2312" w:cs="仿宋_GB2312"/>
                <w:color w:val="000000"/>
                <w:sz w:val="20"/>
                <w:szCs w:val="20"/>
                <w:highlight w:val="none"/>
                <w:lang w:eastAsia="zh-CN"/>
              </w:rPr>
              <w:t>按月拨付</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按月拨付</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拨付额度不超过预算批复的金额</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86万元</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86万元</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提升社区服务水平，创收能力</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社区更文明和谐</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居民的环保意识明显增强</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效果明显</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经济发展，社会和谐，环境改善</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居民满意度</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仿宋_GB2312" w:hAnsi="仿宋_GB2312" w:eastAsia="仿宋_GB2312" w:cs="仿宋_GB2312"/>
                <w:color w:val="000000"/>
                <w:sz w:val="20"/>
                <w:szCs w:val="20"/>
                <w:highlight w:val="none"/>
                <w:lang w:val="en-US" w:eastAsia="zh-CN"/>
              </w:rPr>
              <w:t>90%</w:t>
            </w:r>
          </w:p>
        </w:tc>
        <w:tc>
          <w:tcPr>
            <w:tcW w:w="124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6925"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63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99</w:t>
            </w:r>
          </w:p>
        </w:tc>
        <w:tc>
          <w:tcPr>
            <w:tcW w:w="159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widowControl/>
        <w:spacing w:line="600" w:lineRule="exact"/>
        <w:jc w:val="left"/>
        <w:rPr>
          <w:rFonts w:hint="default" w:ascii="Times New Roman" w:hAnsi="Times New Roman" w:eastAsia="黑体" w:cs="Times New Roman"/>
          <w:sz w:val="32"/>
          <w:szCs w:val="32"/>
          <w:highlight w:val="none"/>
          <w:lang w:val="en-US" w:eastAsia="zh-CN"/>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3-2</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6"/>
        <w:tblW w:w="9851" w:type="dxa"/>
        <w:jc w:val="center"/>
        <w:tblLayout w:type="autofit"/>
        <w:tblCellMar>
          <w:top w:w="0" w:type="dxa"/>
          <w:left w:w="108" w:type="dxa"/>
          <w:bottom w:w="0" w:type="dxa"/>
          <w:right w:w="108" w:type="dxa"/>
        </w:tblCellMar>
      </w:tblPr>
      <w:tblGrid>
        <w:gridCol w:w="1080"/>
        <w:gridCol w:w="1080"/>
        <w:gridCol w:w="1080"/>
        <w:gridCol w:w="1224"/>
        <w:gridCol w:w="1220"/>
        <w:gridCol w:w="1261"/>
        <w:gridCol w:w="761"/>
        <w:gridCol w:w="857"/>
        <w:gridCol w:w="1288"/>
      </w:tblGrid>
      <w:tr>
        <w:tblPrEx>
          <w:tblCellMar>
            <w:top w:w="0" w:type="dxa"/>
            <w:left w:w="108" w:type="dxa"/>
            <w:bottom w:w="0" w:type="dxa"/>
            <w:right w:w="108" w:type="dxa"/>
          </w:tblCellMar>
        </w:tblPrEx>
        <w:trPr>
          <w:trHeight w:val="450" w:hRule="atLeast"/>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kern w:val="0"/>
                <w:sz w:val="22"/>
                <w:szCs w:val="22"/>
                <w:u w:val="none"/>
                <w:lang w:val="en-US" w:eastAsia="zh-CN" w:bidi="ar-SA"/>
              </w:rPr>
            </w:pPr>
            <w:r>
              <w:rPr>
                <w:rFonts w:hint="eastAsia" w:ascii="仿宋_GB2312" w:hAnsi="仿宋_GB2312" w:eastAsia="仿宋_GB2312" w:cs="仿宋_GB2312"/>
                <w:color w:val="000000"/>
                <w:sz w:val="20"/>
                <w:szCs w:val="20"/>
                <w:highlight w:val="none"/>
                <w:lang w:val="en-US" w:eastAsia="zh-CN"/>
              </w:rPr>
              <w:t>村级支出</w:t>
            </w:r>
          </w:p>
        </w:tc>
      </w:tr>
      <w:tr>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604"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lang w:val="en-US" w:eastAsia="zh-CN"/>
              </w:rPr>
              <w:t>岳阳市君山区良心堡镇人民政府</w:t>
            </w:r>
          </w:p>
        </w:tc>
        <w:tc>
          <w:tcPr>
            <w:tcW w:w="1261"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2906"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全镇</w:t>
            </w:r>
            <w:r>
              <w:rPr>
                <w:rFonts w:hint="eastAsia" w:ascii="仿宋_GB2312" w:hAnsi="仿宋_GB2312" w:eastAsia="仿宋_GB2312" w:cs="仿宋_GB2312"/>
                <w:color w:val="000000"/>
                <w:sz w:val="20"/>
                <w:szCs w:val="20"/>
                <w:highlight w:val="none"/>
                <w:lang w:val="en-US" w:eastAsia="zh-CN"/>
              </w:rPr>
              <w:t>9个村</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项目资金</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261"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761"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57"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306</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306</w:t>
            </w:r>
          </w:p>
        </w:tc>
        <w:tc>
          <w:tcPr>
            <w:tcW w:w="126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306</w:t>
            </w:r>
          </w:p>
        </w:tc>
        <w:tc>
          <w:tcPr>
            <w:tcW w:w="76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5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r>
              <w:rPr>
                <w:rFonts w:hint="eastAsia" w:ascii="仿宋_GB2312" w:hAnsi="仿宋_GB2312" w:eastAsia="仿宋_GB2312" w:cs="仿宋_GB2312"/>
                <w:color w:val="000000"/>
                <w:sz w:val="20"/>
                <w:szCs w:val="20"/>
                <w:highlight w:val="none"/>
              </w:rPr>
              <w:t>　</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306</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306</w:t>
            </w:r>
          </w:p>
        </w:tc>
        <w:tc>
          <w:tcPr>
            <w:tcW w:w="126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306</w:t>
            </w:r>
          </w:p>
        </w:tc>
        <w:tc>
          <w:tcPr>
            <w:tcW w:w="76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5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6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5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0"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6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76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5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04"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167"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604"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确保村级组织工作正常开展</w:t>
            </w:r>
            <w:r>
              <w:rPr>
                <w:rFonts w:hint="eastAsia" w:ascii="仿宋_GB2312" w:hAnsi="仿宋_GB2312" w:eastAsia="仿宋_GB2312" w:cs="仿宋_GB2312"/>
                <w:color w:val="000000"/>
                <w:sz w:val="20"/>
                <w:szCs w:val="20"/>
                <w:highlight w:val="none"/>
              </w:rPr>
              <w:t>　　</w:t>
            </w:r>
          </w:p>
        </w:tc>
        <w:tc>
          <w:tcPr>
            <w:tcW w:w="4167"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资金已拨付到位，村级干部待遇得以落实，村级组织工作正常开展，村民享受了完善服务。</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运转经费保障村</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＝9个</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9个</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村干部工资发放人数</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在编人员</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在编人员</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村干部基本报酬</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执行文件规定标准</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已发放</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工资到位率</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90" w:hRule="atLeast"/>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经费拨付合规率</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经费拨付及时性</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全年</w:t>
            </w:r>
            <w:r>
              <w:rPr>
                <w:rFonts w:hint="eastAsia" w:ascii="仿宋_GB2312" w:hAnsi="仿宋_GB2312" w:eastAsia="仿宋_GB2312" w:cs="仿宋_GB2312"/>
                <w:color w:val="000000"/>
                <w:sz w:val="20"/>
                <w:szCs w:val="20"/>
                <w:highlight w:val="none"/>
                <w:lang w:val="en-US" w:eastAsia="zh-CN"/>
              </w:rPr>
              <w:t>12个月，按月拨付</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按月拨付</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拨付经费不超过预算批复数</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default" w:ascii="仿宋_GB2312" w:hAnsi="仿宋_GB2312" w:eastAsia="仿宋_GB2312" w:cs="仿宋_GB2312"/>
                <w:color w:val="000000"/>
                <w:sz w:val="20"/>
                <w:szCs w:val="20"/>
                <w:highlight w:val="none"/>
                <w:lang w:val="en-US"/>
              </w:rPr>
            </w:pPr>
            <w:r>
              <w:rPr>
                <w:rFonts w:hint="eastAsia" w:ascii="宋体" w:hAnsi="宋体" w:eastAsia="宋体" w:cs="宋体"/>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306</w:t>
            </w:r>
            <w:r>
              <w:rPr>
                <w:rFonts w:hint="eastAsia" w:ascii="宋体" w:hAnsi="宋体" w:cs="宋体"/>
                <w:color w:val="000000"/>
                <w:sz w:val="20"/>
                <w:szCs w:val="20"/>
                <w:highlight w:val="none"/>
                <w:lang w:val="en-US" w:eastAsia="zh-CN"/>
              </w:rPr>
              <w:t>万元</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306</w:t>
            </w:r>
            <w:r>
              <w:rPr>
                <w:rFonts w:hint="eastAsia" w:ascii="宋体" w:hAnsi="宋体" w:cs="宋体"/>
                <w:color w:val="000000"/>
                <w:sz w:val="20"/>
                <w:szCs w:val="20"/>
                <w:highlight w:val="none"/>
                <w:lang w:val="en-US" w:eastAsia="zh-CN"/>
              </w:rPr>
              <w:t>万元</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经济增长率</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村民幸福感</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效果明显</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环境改善</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程度</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效果明显</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社会和谐稳定，居民安居乐业</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效果明显</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eastAsia="zh-CN"/>
              </w:rPr>
              <w:t>效果明显</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w:t>
            </w:r>
          </w:p>
        </w:tc>
        <w:tc>
          <w:tcPr>
            <w:tcW w:w="128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村民满意度</w:t>
            </w:r>
          </w:p>
        </w:tc>
        <w:tc>
          <w:tcPr>
            <w:tcW w:w="122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宋体"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rPr>
              <w:t>≧</w:t>
            </w:r>
            <w:r>
              <w:rPr>
                <w:rFonts w:hint="eastAsia" w:ascii="宋体" w:hAnsi="宋体" w:cs="宋体"/>
                <w:color w:val="000000"/>
                <w:sz w:val="20"/>
                <w:szCs w:val="20"/>
                <w:highlight w:val="none"/>
                <w:lang w:val="en-US" w:eastAsia="zh-CN"/>
              </w:rPr>
              <w:t>90%</w:t>
            </w:r>
          </w:p>
        </w:tc>
        <w:tc>
          <w:tcPr>
            <w:tcW w:w="12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95%</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66" w:hRule="atLeast"/>
          <w:jc w:val="center"/>
        </w:trPr>
        <w:tc>
          <w:tcPr>
            <w:tcW w:w="6945" w:type="dxa"/>
            <w:gridSpan w:val="6"/>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6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5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99</w:t>
            </w:r>
          </w:p>
        </w:tc>
        <w:tc>
          <w:tcPr>
            <w:tcW w:w="128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rPr>
          <w:rFonts w:hint="eastAsia" w:ascii="Times New Roman" w:hAnsi="Times New Roman" w:eastAsia="仿宋_GB2312" w:cs="Times New Roman"/>
          <w:sz w:val="22"/>
          <w:szCs w:val="22"/>
          <w:highlight w:val="none"/>
          <w:lang w:eastAsia="zh-CN"/>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_GBK">
    <w:altName w:val="Arial Unicode MS"/>
    <w:panose1 w:val="03000509000000000000"/>
    <w:charset w:val="86"/>
    <w:family w:val="script"/>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E55167"/>
    <w:multiLevelType w:val="singleLevel"/>
    <w:tmpl w:val="A5E55167"/>
    <w:lvl w:ilvl="0" w:tentative="0">
      <w:start w:val="8"/>
      <w:numFmt w:val="chineseCounting"/>
      <w:suff w:val="nothing"/>
      <w:lvlText w:val="%1、"/>
      <w:lvlJc w:val="left"/>
      <w:rPr>
        <w:rFonts w:hint="eastAsia"/>
      </w:rPr>
    </w:lvl>
  </w:abstractNum>
  <w:abstractNum w:abstractNumId="1">
    <w:nsid w:val="1113A4A2"/>
    <w:multiLevelType w:val="singleLevel"/>
    <w:tmpl w:val="1113A4A2"/>
    <w:lvl w:ilvl="0" w:tentative="0">
      <w:start w:val="1"/>
      <w:numFmt w:val="chineseCounting"/>
      <w:suff w:val="nothing"/>
      <w:lvlText w:val="（%1）"/>
      <w:lvlJc w:val="left"/>
      <w:rPr>
        <w:rFonts w:hint="eastAsia"/>
      </w:rPr>
    </w:lvl>
  </w:abstractNum>
  <w:abstractNum w:abstractNumId="2">
    <w:nsid w:val="425036FE"/>
    <w:multiLevelType w:val="singleLevel"/>
    <w:tmpl w:val="425036FE"/>
    <w:lvl w:ilvl="0" w:tentative="0">
      <w:start w:val="2"/>
      <w:numFmt w:val="chineseCounting"/>
      <w:suff w:val="nothing"/>
      <w:lvlText w:val="（%1）"/>
      <w:lvlJc w:val="left"/>
      <w:rPr>
        <w:rFonts w:hint="eastAsia"/>
      </w:rPr>
    </w:lvl>
  </w:abstractNum>
  <w:abstractNum w:abstractNumId="3">
    <w:nsid w:val="74379EE1"/>
    <w:multiLevelType w:val="singleLevel"/>
    <w:tmpl w:val="74379EE1"/>
    <w:lvl w:ilvl="0" w:tentative="0">
      <w:start w:val="1"/>
      <w:numFmt w:val="decimal"/>
      <w:suff w:val="nothing"/>
      <w:lvlText w:val="%1、"/>
      <w:lvlJc w:val="left"/>
    </w:lvl>
  </w:abstractNum>
  <w:abstractNum w:abstractNumId="4">
    <w:nsid w:val="7F0490DB"/>
    <w:multiLevelType w:val="singleLevel"/>
    <w:tmpl w:val="7F0490DB"/>
    <w:lvl w:ilvl="0" w:tentative="0">
      <w:start w:val="1"/>
      <w:numFmt w:val="chineseCounting"/>
      <w:suff w:val="nothing"/>
      <w:lvlText w:val="%1、"/>
      <w:lvlJc w:val="left"/>
      <w:rPr>
        <w:rFonts w:hint="eastAsia"/>
      </w:rPr>
    </w:lvl>
  </w:abstractNum>
  <w:abstractNum w:abstractNumId="5">
    <w:nsid w:val="7F66692C"/>
    <w:multiLevelType w:val="singleLevel"/>
    <w:tmpl w:val="7F66692C"/>
    <w:lvl w:ilvl="0" w:tentative="0">
      <w:start w:val="3"/>
      <w:numFmt w:val="chineseCounting"/>
      <w:suff w:val="nothing"/>
      <w:lvlText w:val="（%1）"/>
      <w:lvlJc w:val="left"/>
      <w:rPr>
        <w:rFonts w:hint="eastAsia"/>
      </w:rPr>
    </w:lvl>
  </w:abstractNum>
  <w:num w:numId="1">
    <w:abstractNumId w:val="4"/>
  </w:num>
  <w:num w:numId="2">
    <w:abstractNumId w:val="5"/>
  </w:num>
  <w:num w:numId="3">
    <w:abstractNumId w:val="2"/>
  </w:num>
  <w:num w:numId="4">
    <w:abstractNumId w:val="1"/>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mOThkMmVkM2YwMWY5MzUyN2JhYTM4ZmY0NTc3MjQifQ=="/>
  </w:docVars>
  <w:rsids>
    <w:rsidRoot w:val="59886344"/>
    <w:rsid w:val="02987474"/>
    <w:rsid w:val="0368705F"/>
    <w:rsid w:val="03E40645"/>
    <w:rsid w:val="0494080E"/>
    <w:rsid w:val="06274B58"/>
    <w:rsid w:val="08AB4609"/>
    <w:rsid w:val="0B521208"/>
    <w:rsid w:val="0BD07CC1"/>
    <w:rsid w:val="0D1924E2"/>
    <w:rsid w:val="0D3D1EF3"/>
    <w:rsid w:val="0FC41FA8"/>
    <w:rsid w:val="10B419C8"/>
    <w:rsid w:val="11082F7E"/>
    <w:rsid w:val="11E12A75"/>
    <w:rsid w:val="11F96B83"/>
    <w:rsid w:val="12707B11"/>
    <w:rsid w:val="128D0F7A"/>
    <w:rsid w:val="1332534F"/>
    <w:rsid w:val="13D450F8"/>
    <w:rsid w:val="13DA2702"/>
    <w:rsid w:val="1405311A"/>
    <w:rsid w:val="14F61583"/>
    <w:rsid w:val="159168E6"/>
    <w:rsid w:val="15E77F19"/>
    <w:rsid w:val="15F13149"/>
    <w:rsid w:val="172B2124"/>
    <w:rsid w:val="1732338C"/>
    <w:rsid w:val="1CA92FCC"/>
    <w:rsid w:val="1D731A37"/>
    <w:rsid w:val="1E284F2F"/>
    <w:rsid w:val="23CA59B1"/>
    <w:rsid w:val="27AB07F0"/>
    <w:rsid w:val="28151034"/>
    <w:rsid w:val="2866790C"/>
    <w:rsid w:val="292C7FA1"/>
    <w:rsid w:val="2B0F3E96"/>
    <w:rsid w:val="2D410C84"/>
    <w:rsid w:val="2F2045CC"/>
    <w:rsid w:val="2F3C1703"/>
    <w:rsid w:val="32AC3B4A"/>
    <w:rsid w:val="32C548F8"/>
    <w:rsid w:val="340A5F2C"/>
    <w:rsid w:val="39700927"/>
    <w:rsid w:val="3C156456"/>
    <w:rsid w:val="3C4B2834"/>
    <w:rsid w:val="3C9C7C85"/>
    <w:rsid w:val="3CFC24D2"/>
    <w:rsid w:val="3D070645"/>
    <w:rsid w:val="3D141F11"/>
    <w:rsid w:val="41084201"/>
    <w:rsid w:val="430F1E49"/>
    <w:rsid w:val="43B151C2"/>
    <w:rsid w:val="441A7C24"/>
    <w:rsid w:val="4441183E"/>
    <w:rsid w:val="445265DF"/>
    <w:rsid w:val="458D5615"/>
    <w:rsid w:val="47226FD9"/>
    <w:rsid w:val="47D52737"/>
    <w:rsid w:val="48D03389"/>
    <w:rsid w:val="49A50F0B"/>
    <w:rsid w:val="49C51AD6"/>
    <w:rsid w:val="49C65963"/>
    <w:rsid w:val="49FF2520"/>
    <w:rsid w:val="4A5971B6"/>
    <w:rsid w:val="4A747320"/>
    <w:rsid w:val="4B9C166F"/>
    <w:rsid w:val="4BD66C09"/>
    <w:rsid w:val="4C404189"/>
    <w:rsid w:val="4E3C64AA"/>
    <w:rsid w:val="4FCE41A2"/>
    <w:rsid w:val="51943E17"/>
    <w:rsid w:val="519C5811"/>
    <w:rsid w:val="52BA3CE7"/>
    <w:rsid w:val="53230361"/>
    <w:rsid w:val="53C75190"/>
    <w:rsid w:val="540612DD"/>
    <w:rsid w:val="56EE3E47"/>
    <w:rsid w:val="590F015F"/>
    <w:rsid w:val="59886344"/>
    <w:rsid w:val="59BB0154"/>
    <w:rsid w:val="5B950730"/>
    <w:rsid w:val="5BD103EE"/>
    <w:rsid w:val="5C1263A3"/>
    <w:rsid w:val="5FB76975"/>
    <w:rsid w:val="60E253D9"/>
    <w:rsid w:val="616136BC"/>
    <w:rsid w:val="61FB2D38"/>
    <w:rsid w:val="63511B58"/>
    <w:rsid w:val="64CF6C8F"/>
    <w:rsid w:val="68DD5D2B"/>
    <w:rsid w:val="6A8D126F"/>
    <w:rsid w:val="6BDE1CB3"/>
    <w:rsid w:val="6C303DC2"/>
    <w:rsid w:val="6CA97D11"/>
    <w:rsid w:val="6E196E72"/>
    <w:rsid w:val="6EBC4974"/>
    <w:rsid w:val="6F0D3F47"/>
    <w:rsid w:val="715275D8"/>
    <w:rsid w:val="73102258"/>
    <w:rsid w:val="732D5129"/>
    <w:rsid w:val="745273DE"/>
    <w:rsid w:val="749D5D6D"/>
    <w:rsid w:val="75911025"/>
    <w:rsid w:val="767D7DFF"/>
    <w:rsid w:val="7728263E"/>
    <w:rsid w:val="79AD70BA"/>
    <w:rsid w:val="7A140880"/>
    <w:rsid w:val="7AAE1F33"/>
    <w:rsid w:val="7C9150AE"/>
    <w:rsid w:val="7FF500C7"/>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3">
    <w:name w:val="Body Text"/>
    <w:basedOn w:val="1"/>
    <w:next w:val="4"/>
    <w:semiHidden/>
    <w:qFormat/>
    <w:uiPriority w:val="0"/>
    <w:rPr>
      <w:rFonts w:ascii="仿宋" w:hAnsi="仿宋" w:eastAsia="仿宋" w:cs="仿宋"/>
      <w:sz w:val="31"/>
      <w:szCs w:val="31"/>
      <w:lang w:val="en-US" w:eastAsia="en-US" w:bidi="ar-SA"/>
    </w:rPr>
  </w:style>
  <w:style w:type="paragraph" w:styleId="4">
    <w:name w:val="toc 5"/>
    <w:basedOn w:val="1"/>
    <w:next w:val="1"/>
    <w:qFormat/>
    <w:uiPriority w:val="39"/>
    <w:pPr>
      <w:ind w:left="1680" w:leftChars="800"/>
    </w:p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paragraph" w:customStyle="1" w:styleId="8">
    <w:name w:val="列出段落1"/>
    <w:basedOn w:val="1"/>
    <w:qFormat/>
    <w:uiPriority w:val="34"/>
    <w:pPr>
      <w:ind w:firstLine="420" w:firstLineChars="200"/>
    </w:pPr>
  </w:style>
  <w:style w:type="paragraph" w:styleId="9">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5857</Words>
  <Characters>6371</Characters>
  <Lines>0</Lines>
  <Paragraphs>0</Paragraphs>
  <TotalTime>178</TotalTime>
  <ScaleCrop>false</ScaleCrop>
  <LinksUpToDate>false</LinksUpToDate>
  <CharactersWithSpaces>6771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小龙</cp:lastModifiedBy>
  <dcterms:modified xsi:type="dcterms:W3CDTF">2024-07-02T06:47:25Z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6E986DCC1D6647A9861CE7FCAF58D583_13</vt:lpwstr>
  </property>
</Properties>
</file>