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center"/>
        <w:rPr>
          <w:rFonts w:hint="eastAsia" w:ascii="方正小标宋简体" w:hAnsi="方正小标宋简体" w:eastAsia="方正小标宋简体" w:cs="方正小标宋简体"/>
          <w:sz w:val="24"/>
          <w:highlight w:val="none"/>
        </w:rPr>
      </w:pPr>
      <w:bookmarkStart w:id="0" w:name="_GoBack"/>
      <w:bookmarkEnd w:id="0"/>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307.84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307.84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307.84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307.84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90.2</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rPr>
              <w:t>28</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28</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:肖钦钦</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2024.6.24</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19310938606</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188" w:type="dxa"/>
        <w:jc w:val="center"/>
        <w:tblLayout w:type="fixed"/>
        <w:tblCellMar>
          <w:top w:w="0" w:type="dxa"/>
          <w:left w:w="108" w:type="dxa"/>
          <w:bottom w:w="0" w:type="dxa"/>
          <w:right w:w="108" w:type="dxa"/>
        </w:tblCellMar>
      </w:tblPr>
      <w:tblGrid>
        <w:gridCol w:w="970"/>
        <w:gridCol w:w="968"/>
        <w:gridCol w:w="95"/>
        <w:gridCol w:w="1161"/>
        <w:gridCol w:w="1538"/>
        <w:gridCol w:w="383"/>
        <w:gridCol w:w="177"/>
        <w:gridCol w:w="300"/>
        <w:gridCol w:w="204"/>
        <w:gridCol w:w="300"/>
        <w:gridCol w:w="1277"/>
        <w:gridCol w:w="675"/>
        <w:gridCol w:w="585"/>
        <w:gridCol w:w="1555"/>
      </w:tblGrid>
      <w:tr>
        <w:tblPrEx>
          <w:tblCellMar>
            <w:top w:w="0" w:type="dxa"/>
            <w:left w:w="108" w:type="dxa"/>
            <w:bottom w:w="0" w:type="dxa"/>
            <w:right w:w="108" w:type="dxa"/>
          </w:tblCellMar>
        </w:tblPrEx>
        <w:trPr>
          <w:trHeight w:val="369" w:hRule="atLeast"/>
          <w:jc w:val="center"/>
        </w:trPr>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25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岳阳市君山区守护好一江碧水管理服务中心</w:t>
            </w:r>
          </w:p>
        </w:tc>
      </w:tr>
      <w:tr>
        <w:tblPrEx>
          <w:tblCellMar>
            <w:top w:w="0" w:type="dxa"/>
            <w:left w:w="108" w:type="dxa"/>
            <w:bottom w:w="0" w:type="dxa"/>
            <w:right w:w="108" w:type="dxa"/>
          </w:tblCellMar>
        </w:tblPrEx>
        <w:trPr>
          <w:jc w:val="center"/>
        </w:trPr>
        <w:tc>
          <w:tcPr>
            <w:tcW w:w="97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24"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64"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57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58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97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224"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3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64"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p>
        </w:tc>
        <w:tc>
          <w:tcPr>
            <w:tcW w:w="157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58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5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其中：基本支出：28</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7</w:t>
            </w:r>
          </w:p>
        </w:tc>
      </w:tr>
      <w:tr>
        <w:tblPrEx>
          <w:tblCellMar>
            <w:top w:w="0" w:type="dxa"/>
            <w:left w:w="108" w:type="dxa"/>
            <w:bottom w:w="0" w:type="dxa"/>
            <w:right w:w="108" w:type="dxa"/>
          </w:tblCellMar>
        </w:tblPrEx>
        <w:trPr>
          <w:trHeight w:val="235" w:hRule="atLeast"/>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项目支出：307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84</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22"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89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22" w:type="dxa"/>
            <w:gridSpan w:val="7"/>
            <w:tcBorders>
              <w:top w:val="single" w:color="auto" w:sz="4" w:space="0"/>
              <w:left w:val="nil"/>
              <w:bottom w:val="single" w:color="auto" w:sz="4" w:space="0"/>
              <w:right w:val="single" w:color="000000" w:sz="4" w:space="0"/>
            </w:tcBorders>
            <w:noWrap w:val="0"/>
            <w:vAlign w:val="top"/>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推行预算绩效管理，强化对资金使用情况的预算约束和监督，围绕中心职责，积极推动各项工作任务完成，提高财政资金的作用效能，促进管理效能的大力提升。</w:t>
            </w:r>
            <w:r>
              <w:rPr>
                <w:rFonts w:hint="eastAsia" w:ascii="仿宋_GB2312" w:hAnsi="仿宋_GB2312" w:eastAsia="仿宋_GB2312" w:cs="仿宋_GB2312"/>
                <w:color w:val="000000"/>
                <w:sz w:val="20"/>
                <w:szCs w:val="20"/>
                <w:highlight w:val="none"/>
              </w:rPr>
              <w:tab/>
            </w:r>
            <w:r>
              <w:rPr>
                <w:rFonts w:hint="eastAsia" w:ascii="仿宋_GB2312" w:hAnsi="仿宋_GB2312" w:eastAsia="仿宋_GB2312" w:cs="仿宋_GB2312"/>
                <w:color w:val="000000"/>
                <w:sz w:val="20"/>
                <w:szCs w:val="20"/>
                <w:highlight w:val="none"/>
              </w:rPr>
              <w:tab/>
            </w:r>
            <w:r>
              <w:rPr>
                <w:rFonts w:hint="eastAsia" w:ascii="仿宋_GB2312" w:hAnsi="仿宋_GB2312" w:eastAsia="仿宋_GB2312" w:cs="仿宋_GB2312"/>
                <w:color w:val="000000"/>
                <w:sz w:val="20"/>
                <w:szCs w:val="20"/>
                <w:highlight w:val="none"/>
              </w:rPr>
              <w:tab/>
            </w:r>
          </w:p>
        </w:tc>
        <w:tc>
          <w:tcPr>
            <w:tcW w:w="4596" w:type="dxa"/>
            <w:gridSpan w:val="6"/>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积极推行预算绩效管理，强化对资金使用情况的预算约束和监管。完成高标准接待，配合各项赛事举办，荣获省、市各项基地创建任务，提高财政资金的作用效能。</w:t>
            </w:r>
          </w:p>
        </w:tc>
      </w:tr>
      <w:tr>
        <w:tblPrEx>
          <w:tblCellMar>
            <w:top w:w="0" w:type="dxa"/>
            <w:left w:w="108" w:type="dxa"/>
            <w:bottom w:w="0" w:type="dxa"/>
            <w:right w:w="108" w:type="dxa"/>
          </w:tblCellMar>
        </w:tblPrEx>
        <w:trPr>
          <w:jc w:val="center"/>
        </w:trPr>
        <w:tc>
          <w:tcPr>
            <w:tcW w:w="97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77"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61"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服务各级领导调研</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800次</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860次</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接待游客</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50万人次</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52万人次</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配合各项节会、赛事举办</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20场</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30场</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35"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完成基地创建</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6个</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7个</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打造新品牌</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1个</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1个</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领导满意率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项目申报成功率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基地利用率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r>
              <w:rPr>
                <w:rFonts w:hint="eastAsia" w:ascii="仿宋_GB2312" w:hAnsi="仿宋_GB2312" w:eastAsia="仿宋_GB2312" w:cs="仿宋_GB2312"/>
                <w:color w:val="000000"/>
                <w:sz w:val="20"/>
                <w:szCs w:val="20"/>
                <w:highlight w:val="none"/>
                <w:lang w:val="en-US" w:eastAsia="zh-CN"/>
              </w:rPr>
              <w:t>万元</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r>
              <w:rPr>
                <w:rFonts w:hint="eastAsia" w:ascii="仿宋_GB2312" w:hAnsi="仿宋_GB2312" w:eastAsia="仿宋_GB2312" w:cs="仿宋_GB2312"/>
                <w:color w:val="000000"/>
                <w:sz w:val="20"/>
                <w:szCs w:val="20"/>
                <w:highlight w:val="none"/>
                <w:lang w:val="en-US" w:eastAsia="zh-CN"/>
              </w:rPr>
              <w:t>万元</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景区开</w:t>
            </w:r>
            <w:r>
              <w:rPr>
                <w:rFonts w:hint="eastAsia" w:ascii="仿宋_GB2312" w:hAnsi="仿宋_GB2312" w:eastAsia="仿宋_GB2312" w:cs="仿宋_GB2312"/>
                <w:color w:val="000000"/>
                <w:sz w:val="20"/>
                <w:szCs w:val="20"/>
                <w:highlight w:val="none"/>
                <w:lang w:val="en-US" w:eastAsia="zh-CN"/>
              </w:rPr>
              <w:t>馆</w:t>
            </w:r>
            <w:r>
              <w:rPr>
                <w:rFonts w:hint="eastAsia" w:ascii="仿宋_GB2312" w:hAnsi="仿宋_GB2312" w:eastAsia="仿宋_GB2312" w:cs="仿宋_GB2312"/>
                <w:color w:val="000000"/>
                <w:sz w:val="20"/>
                <w:szCs w:val="20"/>
                <w:highlight w:val="none"/>
                <w:lang w:eastAsia="zh-CN"/>
              </w:rPr>
              <w:t>，基地开放，项目落地，</w:t>
            </w:r>
            <w:r>
              <w:rPr>
                <w:rFonts w:hint="eastAsia" w:ascii="仿宋_GB2312" w:hAnsi="仿宋_GB2312" w:eastAsia="仿宋_GB2312" w:cs="仿宋_GB2312"/>
                <w:color w:val="000000"/>
                <w:sz w:val="20"/>
                <w:szCs w:val="20"/>
                <w:highlight w:val="none"/>
              </w:rPr>
              <w:t>助推君山经济发展</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39"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景区开</w:t>
            </w:r>
            <w:r>
              <w:rPr>
                <w:rFonts w:hint="eastAsia" w:ascii="仿宋_GB2312" w:hAnsi="仿宋_GB2312" w:eastAsia="仿宋_GB2312" w:cs="仿宋_GB2312"/>
                <w:color w:val="000000"/>
                <w:sz w:val="20"/>
                <w:szCs w:val="20"/>
                <w:highlight w:val="none"/>
                <w:lang w:val="en-US" w:eastAsia="zh-CN"/>
              </w:rPr>
              <w:t>馆</w:t>
            </w:r>
            <w:r>
              <w:rPr>
                <w:rFonts w:hint="eastAsia" w:ascii="仿宋_GB2312" w:hAnsi="仿宋_GB2312" w:eastAsia="仿宋_GB2312" w:cs="仿宋_GB2312"/>
                <w:color w:val="000000"/>
                <w:sz w:val="20"/>
                <w:szCs w:val="20"/>
                <w:highlight w:val="none"/>
                <w:lang w:eastAsia="zh-CN"/>
              </w:rPr>
              <w:t>，基地开放，项目落地，</w:t>
            </w:r>
            <w:r>
              <w:rPr>
                <w:rFonts w:hint="eastAsia" w:ascii="仿宋_GB2312" w:hAnsi="仿宋_GB2312" w:eastAsia="仿宋_GB2312" w:cs="仿宋_GB2312"/>
                <w:color w:val="000000"/>
                <w:sz w:val="20"/>
                <w:szCs w:val="20"/>
                <w:highlight w:val="none"/>
              </w:rPr>
              <w:t>助推君山</w:t>
            </w:r>
            <w:r>
              <w:rPr>
                <w:rFonts w:hint="eastAsia" w:ascii="仿宋_GB2312" w:hAnsi="仿宋_GB2312" w:eastAsia="仿宋_GB2312" w:cs="仿宋_GB2312"/>
                <w:color w:val="000000"/>
                <w:sz w:val="20"/>
                <w:szCs w:val="20"/>
                <w:highlight w:val="none"/>
                <w:lang w:eastAsia="zh-CN"/>
              </w:rPr>
              <w:t>社会和谐稳定</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256"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景区开</w:t>
            </w:r>
            <w:r>
              <w:rPr>
                <w:rFonts w:hint="eastAsia" w:ascii="仿宋_GB2312" w:hAnsi="仿宋_GB2312" w:eastAsia="仿宋_GB2312" w:cs="仿宋_GB2312"/>
                <w:color w:val="000000"/>
                <w:sz w:val="20"/>
                <w:szCs w:val="20"/>
                <w:highlight w:val="none"/>
                <w:lang w:val="en-US" w:eastAsia="zh-CN"/>
              </w:rPr>
              <w:t>馆</w:t>
            </w:r>
            <w:r>
              <w:rPr>
                <w:rFonts w:hint="eastAsia" w:ascii="仿宋_GB2312" w:hAnsi="仿宋_GB2312" w:eastAsia="仿宋_GB2312" w:cs="仿宋_GB2312"/>
                <w:color w:val="000000"/>
                <w:sz w:val="20"/>
                <w:szCs w:val="20"/>
                <w:highlight w:val="none"/>
                <w:lang w:eastAsia="zh-CN"/>
              </w:rPr>
              <w:t>，基地开放，项目落地，维护了园区原生态，引导游客保护生态意识</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持续助推君山经济发展</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0分）</w:t>
            </w: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373" w:type="dxa"/>
            <w:gridSpan w:val="11"/>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:肖钦钦</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2024.6.24</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19310938606</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年度岳阳市君山区守护好一江碧水管理服务中心整体支出绩效自评报告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君山区守护好一江碧水管理服务中心</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年度岳阳市君山区守护好一江碧水管理服务中心整体支出绩效自评报告</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　一、部门（单位）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　　岳阳市君山区守护好一江碧水管理服务中心（以下简称管理服务中心）</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pStyle w:val="4"/>
        <w:widowControl w:val="0"/>
        <w:adjustRightInd/>
        <w:snapToGrid/>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rPr>
        <w:t>开展研究拟订辖区重大发展规划的基础性工作，制订工作计划，协助有关政策和方案的起草工作。</w:t>
      </w:r>
    </w:p>
    <w:p>
      <w:pPr>
        <w:pStyle w:val="4"/>
        <w:widowControl w:val="0"/>
        <w:adjustRightInd/>
        <w:snapToGrid/>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负责辖区旅游资源开发、保护、业态拓展工作。协助负责重大文化旅游体育活动的策划和组织。</w:t>
      </w:r>
    </w:p>
    <w:p>
      <w:pPr>
        <w:widowControl w:val="0"/>
        <w:adjustRightInd/>
        <w:snapToGrid/>
        <w:spacing w:after="0" w:line="55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负责辖区基础设施和服务项目的规划建设、运营及维护工作。</w:t>
      </w:r>
    </w:p>
    <w:p>
      <w:pPr>
        <w:widowControl w:val="0"/>
        <w:adjustRightInd/>
        <w:snapToGrid/>
        <w:spacing w:after="0" w:line="55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负责组织开展“守护好一江碧水”相关宣传和教育活动，做好系列教育培训的接待服务工作。</w:t>
      </w:r>
    </w:p>
    <w:p>
      <w:pPr>
        <w:widowControl w:val="0"/>
        <w:adjustRightInd/>
        <w:snapToGrid/>
        <w:spacing w:after="0" w:line="55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根据有关要求和职责分工，承担辖区综合管理、宣传、统计、审计、信息、安全生产、财政收支管理及国有资产管理等工作。</w:t>
      </w:r>
    </w:p>
    <w:p>
      <w:pPr>
        <w:widowControl w:val="0"/>
        <w:adjustRightInd/>
        <w:snapToGrid/>
        <w:spacing w:after="0" w:line="550" w:lineRule="exact"/>
        <w:ind w:firstLine="640"/>
        <w:jc w:val="both"/>
        <w:rPr>
          <w:rFonts w:hint="eastAsia"/>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承办区委、区政府交办的其他事项。</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　（二）机构设置与人员情况</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eastAsia="楷体_GB2312"/>
          <w:b/>
          <w:sz w:val="32"/>
          <w:szCs w:val="32"/>
          <w:highlight w:val="none"/>
        </w:rPr>
      </w:pPr>
      <w:r>
        <w:rPr>
          <w:rFonts w:hint="eastAsia" w:ascii="仿宋_GB2312" w:hAnsi="仿宋_GB2312" w:eastAsia="仿宋_GB2312" w:cs="仿宋_GB2312"/>
          <w:kern w:val="2"/>
          <w:sz w:val="32"/>
          <w:szCs w:val="32"/>
          <w:lang w:val="en-US" w:eastAsia="zh-CN" w:bidi="ar-SA"/>
        </w:rPr>
        <w:t>管理服务中心</w:t>
      </w:r>
      <w:r>
        <w:rPr>
          <w:rFonts w:hint="eastAsia" w:eastAsia="仿宋_GB2312"/>
          <w:sz w:val="32"/>
          <w:szCs w:val="32"/>
          <w:highlight w:val="none"/>
          <w:lang w:val="en-US" w:eastAsia="zh-CN"/>
        </w:rPr>
        <w:t>内设</w:t>
      </w:r>
      <w:r>
        <w:rPr>
          <w:rFonts w:hint="eastAsia" w:ascii="仿宋_GB2312" w:hAnsi="仿宋_GB2312" w:eastAsia="仿宋_GB2312" w:cs="仿宋_GB2312"/>
          <w:sz w:val="32"/>
          <w:szCs w:val="32"/>
          <w:highlight w:val="none"/>
          <w:lang w:val="en-US" w:eastAsia="zh-CN"/>
        </w:rPr>
        <w:t>3</w:t>
      </w:r>
      <w:r>
        <w:rPr>
          <w:rFonts w:hint="eastAsia" w:eastAsia="仿宋_GB2312"/>
          <w:sz w:val="32"/>
          <w:szCs w:val="32"/>
          <w:highlight w:val="none"/>
          <w:lang w:val="en-US" w:eastAsia="zh-CN"/>
        </w:rPr>
        <w:t>个</w:t>
      </w:r>
      <w:r>
        <w:rPr>
          <w:rFonts w:hint="eastAsia" w:eastAsia="仿宋_GB2312"/>
          <w:sz w:val="32"/>
          <w:szCs w:val="32"/>
          <w:highlight w:val="none"/>
        </w:rPr>
        <w:t>职能股室：</w:t>
      </w:r>
      <w:r>
        <w:rPr>
          <w:rFonts w:hint="eastAsia" w:ascii="仿宋_GB2312" w:hAnsi="仿宋_GB2312" w:eastAsia="仿宋_GB2312" w:cs="仿宋_GB2312"/>
          <w:sz w:val="32"/>
          <w:szCs w:val="32"/>
          <w:highlight w:val="none"/>
        </w:rPr>
        <w:t>综合事务部、</w:t>
      </w:r>
      <w:r>
        <w:rPr>
          <w:rFonts w:hint="eastAsia" w:ascii="仿宋_GB2312" w:hAnsi="仿宋_GB2312" w:eastAsia="仿宋_GB2312" w:cs="仿宋_GB2312"/>
          <w:sz w:val="32"/>
          <w:szCs w:val="32"/>
          <w:highlight w:val="none"/>
          <w:lang w:val="en-US" w:eastAsia="zh-CN"/>
        </w:rPr>
        <w:t>工程建设部</w:t>
      </w:r>
      <w:r>
        <w:rPr>
          <w:rFonts w:hint="eastAsia" w:ascii="仿宋_GB2312" w:hAnsi="仿宋_GB2312" w:eastAsia="仿宋_GB2312" w:cs="仿宋_GB2312"/>
          <w:sz w:val="32"/>
          <w:szCs w:val="32"/>
          <w:highlight w:val="none"/>
        </w:rPr>
        <w:t>、开发运营部。</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共有在职人员3人，其中，行政人员0人，非参公事业人员3人。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2"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体支出绩效目标：积极推行预算绩效管理，强化对资金使用情况的预算约束和监管。完成高标准接待和服务，配合省、市、区各项节会赛事举办，荣获省、市、区各项基地建设任务，创建品牌，服务君山区经济社会发展，提高财政资金的作用效能</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kern w:val="2"/>
          <w:sz w:val="32"/>
          <w:szCs w:val="32"/>
          <w:lang w:val="en-US" w:eastAsia="zh-CN" w:bidi="ar-SA"/>
        </w:rPr>
        <w:t>促进管理效能的大力提升。　</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项目支出绩效目标：重大项目谋划、5A创建前期工作推进，江豚湾5A景区创建手册完成率100%，明显增加客流量，满意度明显提升。</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管理服务中心2023年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预算资金336.41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项目支出307.84</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。全年实际支出336.41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项目支出307.84</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2"/>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管理服务中心2023年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lang w:val="en-US" w:eastAsia="zh-CN" w:bidi="ar-SA"/>
        </w:rPr>
        <w:t>0</w:t>
      </w:r>
      <w:r>
        <w:rPr>
          <w:rFonts w:hint="default" w:ascii="仿宋_GB2312" w:hAnsi="仿宋_GB2312" w:eastAsia="仿宋_GB2312" w:cs="仿宋_GB2312"/>
          <w:kern w:val="2"/>
          <w:sz w:val="32"/>
          <w:szCs w:val="32"/>
          <w:lang w:val="en-US" w:eastAsia="zh-CN" w:bidi="ar-SA"/>
        </w:rPr>
        <w:t>万元。</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仿宋_GB2312" w:hAnsi="仿宋_GB2312" w:eastAsia="仿宋_GB2312" w:cs="仿宋_GB2312"/>
          <w:kern w:val="2"/>
          <w:sz w:val="32"/>
          <w:szCs w:val="32"/>
          <w:lang w:val="en-US" w:eastAsia="zh-CN" w:bidi="ar-SA"/>
        </w:rPr>
        <w:t>　　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服务中心</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项目支出336.41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w:t>
      </w:r>
      <w:r>
        <w:rPr>
          <w:rFonts w:hint="eastAsia" w:ascii="仿宋_GB2312" w:hAnsi="仿宋_GB2312" w:eastAsia="仿宋_GB2312" w:cs="仿宋_GB2312"/>
          <w:color w:val="000000"/>
          <w:kern w:val="2"/>
          <w:sz w:val="32"/>
          <w:szCs w:val="32"/>
          <w:shd w:val="clear" w:color="auto" w:fill="FFFFFF"/>
          <w:lang w:val="en-US" w:eastAsia="zh-CN" w:bidi="ar-SA"/>
        </w:rPr>
        <w:t>的支出，包括有关事业发展专项、专项业务费、基本建设支出等，含守护好一江碧水专项、业务工作经费等项目支出。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管理服务中心无此项支出。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管理服务中心无此项支出。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管理服务中心无此项支出。</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lang w:val="en-US"/>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管理服务中心</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 xml:space="preserve">部门整体支出绩效自评得分98.5分。 </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管理服务中心</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管理服务中心</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接待服务有水平。全年共接待国家级领导调研1次，省部级领导调研76余次，厅局级领导调研100余次，党建团体活动1100余批次，共接待游客52万余人次，实现“旅游零投诉、安全零事故”，优质的服务、精辟的讲解，向游客完美地诠释了“江湖君山”这张靓丽名片。</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节会赛事有档次。积极配合2023岳阳马拉松赛、“4·25”系列活动、江湖美食音乐帐篷节等20余场次活动圆满成功；举办“江湖君山，纸鸢展翅”江豚湾首届草地露营节、低碳科普公园开园仪式、新时代“守护好一江碧水”生态文明实践基地研学启动仪式等活动，收获了媒体宣传影响力，进一步将江豚湾景区向外界推广。</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地创建有亮点。荣获湖南省党史教育基地、湖南省首批少先队校外实践教育营地（基地）、湖南省“第二届国土空间生态修复十大范例”、湖南文旅消费“新生代·新场景”名单、岳阳市党史学习教育基地、2023-2025岳阳市科普旅游教育基地、岳阳市中小学生研学实践教育基地。</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品牌创建有成效。在区委区政府的高位推动、高起点谋划、高规格布局下，已成立江豚湾景区创建国家5A级旅游景区工作指挥部，搭建班子启动江豚湾景区国家5A级旅游景区品牌创建工作。目前，我景区已与专家团队对接，并初步制定创建工作规划方案（初稿）。</w:t>
      </w:r>
    </w:p>
    <w:p>
      <w:pPr>
        <w:pStyle w:val="12"/>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黑体" w:cs="Times New Roman"/>
          <w:sz w:val="32"/>
          <w:szCs w:val="32"/>
          <w:highlight w:val="none"/>
        </w:rPr>
        <w:t>七、存在的问题及原因分析</w:t>
      </w:r>
    </w:p>
    <w:p>
      <w:pPr>
        <w:pStyle w:val="12"/>
        <w:numPr>
          <w:ilvl w:val="0"/>
          <w:numId w:val="0"/>
        </w:numPr>
        <w:spacing w:line="560" w:lineRule="exact"/>
        <w:ind w:firstLine="640"/>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人员专业性不够。预算绩效管理涉及</w:t>
      </w:r>
      <w:r>
        <w:rPr>
          <w:rFonts w:hint="eastAsia" w:ascii="仿宋_GB2312" w:hAnsi="仿宋_GB2312" w:eastAsia="仿宋_GB2312" w:cs="仿宋_GB2312"/>
          <w:color w:val="000000" w:themeColor="text1"/>
          <w:sz w:val="32"/>
          <w:szCs w:val="32"/>
          <w:lang w:eastAsia="zh-CN"/>
          <w14:textFill>
            <w14:solidFill>
              <w14:schemeClr w14:val="tx1"/>
            </w14:solidFill>
          </w14:textFill>
        </w:rPr>
        <w:t>各方</w:t>
      </w:r>
      <w:r>
        <w:rPr>
          <w:rFonts w:hint="default" w:ascii="仿宋_GB2312" w:hAnsi="仿宋_GB2312" w:eastAsia="仿宋_GB2312" w:cs="仿宋_GB2312"/>
          <w:color w:val="000000" w:themeColor="text1"/>
          <w:sz w:val="32"/>
          <w:szCs w:val="32"/>
          <w14:textFill>
            <w14:solidFill>
              <w14:schemeClr w14:val="tx1"/>
            </w14:solidFill>
          </w14:textFill>
        </w:rPr>
        <w:t>，由于专业性强，绩效目标细化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量化不足以反映项目实绩，须加强人员的培训。</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9"/>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pPr>
        <w:pStyle w:val="9"/>
        <w:ind w:firstLine="640"/>
        <w:rPr>
          <w:rFonts w:hint="eastAsia" w:ascii="Times New Roman" w:hAnsi="Times New Roman" w:eastAsia="仿宋_GB2312" w:cs="Times New Roman"/>
          <w:kern w:val="0"/>
          <w:sz w:val="32"/>
          <w:szCs w:val="32"/>
          <w:highlight w:val="none"/>
          <w:lang w:val="en-US" w:eastAsia="zh-CN" w:bidi="ar-SA"/>
        </w:rPr>
      </w:pPr>
      <w:r>
        <w:rPr>
          <w:rFonts w:hint="eastAsia"/>
          <w:lang w:val="en-US" w:eastAsia="zh-CN"/>
        </w:rPr>
        <w:t>2、</w:t>
      </w:r>
      <w:r>
        <w:rPr>
          <w:rFonts w:hint="default"/>
        </w:rPr>
        <w:t>完善内部控制体系建设。针对评价过程中发现的问题和相关财经法律法规的变化，对相关制度、措施和程序进行调整、改进内部控制管理办法。对相关人员加强培训，规范部门预算收支核算，切实提高部门预算收支管理水平。</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firstLine="320" w:firstLineChars="10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kern w:val="0"/>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文鼎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zhlMWM1ZGQ4ZDA4YTUyZjdiMjZlY2JmM2Y2YmYifQ=="/>
    <w:docVar w:name="KSO_WPS_MARK_KEY" w:val="10036916-4fc7-4994-a343-967df1d55687"/>
  </w:docVars>
  <w:rsids>
    <w:rsidRoot w:val="59886344"/>
    <w:rsid w:val="0061443A"/>
    <w:rsid w:val="00F57038"/>
    <w:rsid w:val="01503613"/>
    <w:rsid w:val="03585F5D"/>
    <w:rsid w:val="0368705F"/>
    <w:rsid w:val="03802AE2"/>
    <w:rsid w:val="03E40645"/>
    <w:rsid w:val="04CE0236"/>
    <w:rsid w:val="04D400B0"/>
    <w:rsid w:val="05F16DA0"/>
    <w:rsid w:val="067D155B"/>
    <w:rsid w:val="090F1B9E"/>
    <w:rsid w:val="0A2207B4"/>
    <w:rsid w:val="0B00275A"/>
    <w:rsid w:val="0B521208"/>
    <w:rsid w:val="0BD0037E"/>
    <w:rsid w:val="0BD07CC1"/>
    <w:rsid w:val="0D5C4B51"/>
    <w:rsid w:val="0EDA5FD7"/>
    <w:rsid w:val="0F8C6CB2"/>
    <w:rsid w:val="0FC41FA8"/>
    <w:rsid w:val="104073FF"/>
    <w:rsid w:val="10833C11"/>
    <w:rsid w:val="109B2A18"/>
    <w:rsid w:val="1374513B"/>
    <w:rsid w:val="13A7116F"/>
    <w:rsid w:val="13DA2702"/>
    <w:rsid w:val="1405311A"/>
    <w:rsid w:val="15023C9F"/>
    <w:rsid w:val="15347BD0"/>
    <w:rsid w:val="16405DDD"/>
    <w:rsid w:val="172B2124"/>
    <w:rsid w:val="18096877"/>
    <w:rsid w:val="185244D9"/>
    <w:rsid w:val="19514982"/>
    <w:rsid w:val="198A7D37"/>
    <w:rsid w:val="1A0A7151"/>
    <w:rsid w:val="1BFE6842"/>
    <w:rsid w:val="1C5D1C7C"/>
    <w:rsid w:val="1CA92FCC"/>
    <w:rsid w:val="1D322C47"/>
    <w:rsid w:val="1D7602A9"/>
    <w:rsid w:val="1DD737EE"/>
    <w:rsid w:val="1E284F2F"/>
    <w:rsid w:val="1ECA401E"/>
    <w:rsid w:val="1FE411A4"/>
    <w:rsid w:val="20717F2A"/>
    <w:rsid w:val="216B6728"/>
    <w:rsid w:val="21B05964"/>
    <w:rsid w:val="239C52BE"/>
    <w:rsid w:val="24BE2C1C"/>
    <w:rsid w:val="266E2C43"/>
    <w:rsid w:val="27CB7F20"/>
    <w:rsid w:val="280B045C"/>
    <w:rsid w:val="292C7FA1"/>
    <w:rsid w:val="2A450AA9"/>
    <w:rsid w:val="2AD22CCB"/>
    <w:rsid w:val="2B0F3E96"/>
    <w:rsid w:val="2BAA0E41"/>
    <w:rsid w:val="2D410C84"/>
    <w:rsid w:val="2D955755"/>
    <w:rsid w:val="2DA07759"/>
    <w:rsid w:val="2F2045CC"/>
    <w:rsid w:val="2FE26615"/>
    <w:rsid w:val="311A21F3"/>
    <w:rsid w:val="320B53DF"/>
    <w:rsid w:val="321D3FE2"/>
    <w:rsid w:val="325012EC"/>
    <w:rsid w:val="32627098"/>
    <w:rsid w:val="32673C7A"/>
    <w:rsid w:val="32C548F8"/>
    <w:rsid w:val="34922583"/>
    <w:rsid w:val="38C118F0"/>
    <w:rsid w:val="38EB90F4"/>
    <w:rsid w:val="398C14F0"/>
    <w:rsid w:val="3B23785C"/>
    <w:rsid w:val="3C156456"/>
    <w:rsid w:val="3CF73497"/>
    <w:rsid w:val="3D070645"/>
    <w:rsid w:val="3D8366DF"/>
    <w:rsid w:val="417E2710"/>
    <w:rsid w:val="41C91A74"/>
    <w:rsid w:val="42182D4E"/>
    <w:rsid w:val="43B151C2"/>
    <w:rsid w:val="4441183E"/>
    <w:rsid w:val="44454FB5"/>
    <w:rsid w:val="445265DF"/>
    <w:rsid w:val="458D5615"/>
    <w:rsid w:val="47F62B74"/>
    <w:rsid w:val="4829354E"/>
    <w:rsid w:val="497F0684"/>
    <w:rsid w:val="49A50F0B"/>
    <w:rsid w:val="49B20472"/>
    <w:rsid w:val="49C65963"/>
    <w:rsid w:val="49FF2520"/>
    <w:rsid w:val="4A747320"/>
    <w:rsid w:val="4B9C166F"/>
    <w:rsid w:val="4BC4555C"/>
    <w:rsid w:val="4C115F9A"/>
    <w:rsid w:val="4C404189"/>
    <w:rsid w:val="4D50664E"/>
    <w:rsid w:val="4DFC5504"/>
    <w:rsid w:val="4E982E89"/>
    <w:rsid w:val="50977DE0"/>
    <w:rsid w:val="524D766C"/>
    <w:rsid w:val="532F4F57"/>
    <w:rsid w:val="540612DD"/>
    <w:rsid w:val="562B7AC3"/>
    <w:rsid w:val="56EE3E47"/>
    <w:rsid w:val="59886344"/>
    <w:rsid w:val="59BB0154"/>
    <w:rsid w:val="5A252C10"/>
    <w:rsid w:val="5B6360E6"/>
    <w:rsid w:val="5B950730"/>
    <w:rsid w:val="5C1263A3"/>
    <w:rsid w:val="5EE144F9"/>
    <w:rsid w:val="5F176057"/>
    <w:rsid w:val="62D378CB"/>
    <w:rsid w:val="63202106"/>
    <w:rsid w:val="6489511A"/>
    <w:rsid w:val="64CF6C8F"/>
    <w:rsid w:val="65E9368C"/>
    <w:rsid w:val="674F6FAE"/>
    <w:rsid w:val="68C831B7"/>
    <w:rsid w:val="68DD5D2B"/>
    <w:rsid w:val="6B4F2A52"/>
    <w:rsid w:val="6B99345E"/>
    <w:rsid w:val="6C303DC2"/>
    <w:rsid w:val="6CA97D11"/>
    <w:rsid w:val="6D9E4788"/>
    <w:rsid w:val="6E705326"/>
    <w:rsid w:val="6EB77ED8"/>
    <w:rsid w:val="6EBC4974"/>
    <w:rsid w:val="70F133F4"/>
    <w:rsid w:val="73102258"/>
    <w:rsid w:val="739C3AEB"/>
    <w:rsid w:val="754D60ED"/>
    <w:rsid w:val="758D6016"/>
    <w:rsid w:val="767D7DFF"/>
    <w:rsid w:val="76CB43C5"/>
    <w:rsid w:val="7728263E"/>
    <w:rsid w:val="79607369"/>
    <w:rsid w:val="7A3D1979"/>
    <w:rsid w:val="7A5614FA"/>
    <w:rsid w:val="7BB06FFF"/>
    <w:rsid w:val="7BDF310F"/>
    <w:rsid w:val="7C693ABC"/>
    <w:rsid w:val="7C9150AE"/>
    <w:rsid w:val="7E4E7DE0"/>
    <w:rsid w:val="7F1475F2"/>
    <w:rsid w:val="7F2A13E6"/>
    <w:rsid w:val="7F343489"/>
    <w:rsid w:val="A5FD64FC"/>
    <w:rsid w:val="CBED2AFD"/>
    <w:rsid w:val="DFEF884A"/>
    <w:rsid w:val="F7DDB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cs="Times New Roman"/>
    </w:rPr>
  </w:style>
  <w:style w:type="paragraph" w:styleId="3">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
    <w:basedOn w:val="1"/>
    <w:next w:val="10"/>
    <w:qFormat/>
    <w:uiPriority w:val="0"/>
    <w:pPr>
      <w:textAlignment w:val="baseline"/>
    </w:pPr>
    <w:rPr>
      <w:rFonts w:ascii="仿宋_GB2312" w:hAnsi="仿宋_GB2312" w:eastAsia="仿宋_GB2312"/>
      <w:sz w:val="32"/>
      <w:szCs w:val="32"/>
      <w:lang w:val="zh-CN" w:bidi="zh-CN"/>
    </w:rPr>
  </w:style>
  <w:style w:type="paragraph" w:customStyle="1" w:styleId="10">
    <w:name w:val="BodyText1I"/>
    <w:basedOn w:val="9"/>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样式 标题 3"/>
    <w:qFormat/>
    <w:uiPriority w:val="99"/>
    <w:pPr>
      <w:keepNext/>
      <w:keepLines/>
      <w:widowControl w:val="0"/>
      <w:jc w:val="center"/>
      <w:outlineLvl w:val="2"/>
    </w:pPr>
    <w:rPr>
      <w:rFonts w:ascii="文鼎小标宋简" w:hAnsi="Times New Roman" w:eastAsia="文鼎小标宋简" w:cs="Times New Roman"/>
      <w:kern w:val="2"/>
      <w:sz w:val="4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3567</Words>
  <Characters>3858</Characters>
  <Lines>0</Lines>
  <Paragraphs>0</Paragraphs>
  <TotalTime>28</TotalTime>
  <ScaleCrop>false</ScaleCrop>
  <LinksUpToDate>false</LinksUpToDate>
  <CharactersWithSpaces>4039</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2024-03-19T16:36:00Z</dcterms:created>
  <dc:creator>Administrator</dc:creator>
  <cp:lastModifiedBy>admin</cp:lastModifiedBy>
  <dcterms:modified xsi:type="dcterms:W3CDTF">2024-09-25T17:03:27Z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1CA29CDDFB142C3EDFD1F366358910D3</vt:lpwstr>
  </property>
</Properties>
</file>