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20" w:afterLines="50" w:line="600" w:lineRule="exact"/>
        <w:jc w:val="both"/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  <w:lang w:eastAsia="zh-CN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1</w:t>
      </w:r>
    </w:p>
    <w:p>
      <w:pPr>
        <w:spacing w:after="120" w:afterLines="50" w:line="600" w:lineRule="exact"/>
        <w:jc w:val="center"/>
        <w:rPr>
          <w:rFonts w:hint="eastAsia" w:ascii="方正小标宋简体" w:hAnsi="方正小标宋简体" w:eastAsia="方正小标宋简体" w:cs="方正小标宋简体"/>
          <w:sz w:val="2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年度部门整体支出绩效评价基础数据表</w:t>
      </w:r>
    </w:p>
    <w:tbl>
      <w:tblPr>
        <w:tblStyle w:val="5"/>
        <w:tblW w:w="9673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54"/>
        <w:gridCol w:w="2038"/>
        <w:gridCol w:w="2240"/>
        <w:gridCol w:w="2041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财政供养人员情况（人）</w:t>
            </w:r>
          </w:p>
        </w:tc>
        <w:tc>
          <w:tcPr>
            <w:tcW w:w="20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编制数</w:t>
            </w:r>
          </w:p>
        </w:tc>
        <w:tc>
          <w:tcPr>
            <w:tcW w:w="2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年实际在职人数</w:t>
            </w:r>
          </w:p>
        </w:tc>
        <w:tc>
          <w:tcPr>
            <w:tcW w:w="204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控制率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19人</w:t>
            </w:r>
          </w:p>
        </w:tc>
        <w:tc>
          <w:tcPr>
            <w:tcW w:w="2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17人</w:t>
            </w:r>
          </w:p>
        </w:tc>
        <w:tc>
          <w:tcPr>
            <w:tcW w:w="204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89.5%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经费控制情况（万元）</w:t>
            </w:r>
          </w:p>
        </w:tc>
        <w:tc>
          <w:tcPr>
            <w:tcW w:w="2038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年决算数</w:t>
            </w:r>
          </w:p>
        </w:tc>
        <w:tc>
          <w:tcPr>
            <w:tcW w:w="2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年预算数</w:t>
            </w:r>
          </w:p>
        </w:tc>
        <w:tc>
          <w:tcPr>
            <w:tcW w:w="2041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年决算数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三公经费</w:t>
            </w:r>
          </w:p>
        </w:tc>
        <w:tc>
          <w:tcPr>
            <w:tcW w:w="2038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0.68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1.9</w:t>
            </w:r>
          </w:p>
        </w:tc>
        <w:tc>
          <w:tcPr>
            <w:tcW w:w="2041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0.083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1、公务用车购置和维护经费</w:t>
            </w:r>
          </w:p>
        </w:tc>
        <w:tc>
          <w:tcPr>
            <w:tcW w:w="2038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其中：公车购置</w:t>
            </w:r>
          </w:p>
        </w:tc>
        <w:tc>
          <w:tcPr>
            <w:tcW w:w="2038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      公车运行维护</w:t>
            </w:r>
          </w:p>
        </w:tc>
        <w:tc>
          <w:tcPr>
            <w:tcW w:w="2038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41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both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2、出国经费</w:t>
            </w:r>
          </w:p>
        </w:tc>
        <w:tc>
          <w:tcPr>
            <w:tcW w:w="2038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3、公务接待</w:t>
            </w:r>
          </w:p>
        </w:tc>
        <w:tc>
          <w:tcPr>
            <w:tcW w:w="2038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0.68</w:t>
            </w:r>
          </w:p>
        </w:tc>
        <w:tc>
          <w:tcPr>
            <w:tcW w:w="2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1.9</w:t>
            </w:r>
          </w:p>
        </w:tc>
        <w:tc>
          <w:tcPr>
            <w:tcW w:w="2041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0.083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项目支出：</w:t>
            </w:r>
          </w:p>
        </w:tc>
        <w:tc>
          <w:tcPr>
            <w:tcW w:w="2038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12933.53</w:t>
            </w:r>
          </w:p>
        </w:tc>
        <w:tc>
          <w:tcPr>
            <w:tcW w:w="2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2274.45</w:t>
            </w:r>
          </w:p>
        </w:tc>
        <w:tc>
          <w:tcPr>
            <w:tcW w:w="2041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4498.99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1、业务工作经费</w:t>
            </w:r>
          </w:p>
        </w:tc>
        <w:tc>
          <w:tcPr>
            <w:tcW w:w="2038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80.7</w:t>
            </w:r>
          </w:p>
        </w:tc>
        <w:tc>
          <w:tcPr>
            <w:tcW w:w="2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120</w:t>
            </w:r>
          </w:p>
        </w:tc>
        <w:tc>
          <w:tcPr>
            <w:tcW w:w="2041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120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2、运行维护经费</w:t>
            </w:r>
          </w:p>
        </w:tc>
        <w:tc>
          <w:tcPr>
            <w:tcW w:w="2038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12852.83</w:t>
            </w:r>
          </w:p>
        </w:tc>
        <w:tc>
          <w:tcPr>
            <w:tcW w:w="2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2154.45</w:t>
            </w:r>
          </w:p>
        </w:tc>
        <w:tc>
          <w:tcPr>
            <w:tcW w:w="2041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4378.99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3、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  <w:t>市级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专项资金（一个专项一行）</w:t>
            </w:r>
          </w:p>
        </w:tc>
        <w:tc>
          <w:tcPr>
            <w:tcW w:w="2038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2041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ind w:firstLine="400" w:firstLineChars="200"/>
              <w:jc w:val="left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城区标准化考核奖励</w:t>
            </w:r>
          </w:p>
        </w:tc>
        <w:tc>
          <w:tcPr>
            <w:tcW w:w="2038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40</w:t>
            </w:r>
          </w:p>
        </w:tc>
        <w:tc>
          <w:tcPr>
            <w:tcW w:w="2041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40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洞庭大桥西接线维护经费</w:t>
            </w:r>
          </w:p>
        </w:tc>
        <w:tc>
          <w:tcPr>
            <w:tcW w:w="2038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99.78</w:t>
            </w:r>
          </w:p>
        </w:tc>
        <w:tc>
          <w:tcPr>
            <w:tcW w:w="2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38.59</w:t>
            </w:r>
          </w:p>
        </w:tc>
        <w:tc>
          <w:tcPr>
            <w:tcW w:w="2041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38.59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公用经费</w:t>
            </w:r>
          </w:p>
        </w:tc>
        <w:tc>
          <w:tcPr>
            <w:tcW w:w="2038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92.61</w:t>
            </w:r>
          </w:p>
        </w:tc>
        <w:tc>
          <w:tcPr>
            <w:tcW w:w="2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103.39</w:t>
            </w:r>
          </w:p>
        </w:tc>
        <w:tc>
          <w:tcPr>
            <w:tcW w:w="2041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103.39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其中：办公经费</w:t>
            </w:r>
          </w:p>
        </w:tc>
        <w:tc>
          <w:tcPr>
            <w:tcW w:w="2038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6.27</w:t>
            </w:r>
          </w:p>
        </w:tc>
        <w:tc>
          <w:tcPr>
            <w:tcW w:w="2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6.13</w:t>
            </w:r>
          </w:p>
        </w:tc>
        <w:tc>
          <w:tcPr>
            <w:tcW w:w="2041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6.13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   水费、电费、差旅费</w:t>
            </w:r>
          </w:p>
        </w:tc>
        <w:tc>
          <w:tcPr>
            <w:tcW w:w="2038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0.14</w:t>
            </w:r>
          </w:p>
        </w:tc>
        <w:tc>
          <w:tcPr>
            <w:tcW w:w="2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3.6</w:t>
            </w:r>
          </w:p>
        </w:tc>
        <w:tc>
          <w:tcPr>
            <w:tcW w:w="2041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3.6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   会议费、培训费</w:t>
            </w:r>
          </w:p>
        </w:tc>
        <w:tc>
          <w:tcPr>
            <w:tcW w:w="2038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0.9</w:t>
            </w:r>
          </w:p>
        </w:tc>
        <w:tc>
          <w:tcPr>
            <w:tcW w:w="2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1.21</w:t>
            </w:r>
          </w:p>
        </w:tc>
        <w:tc>
          <w:tcPr>
            <w:tcW w:w="2041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1.21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政府采购金额</w:t>
            </w:r>
          </w:p>
        </w:tc>
        <w:tc>
          <w:tcPr>
            <w:tcW w:w="2038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——</w:t>
            </w:r>
          </w:p>
        </w:tc>
        <w:tc>
          <w:tcPr>
            <w:tcW w:w="2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FF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1531.96</w:t>
            </w:r>
          </w:p>
        </w:tc>
        <w:tc>
          <w:tcPr>
            <w:tcW w:w="2041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816.42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部门基本支出预算调整 </w:t>
            </w:r>
          </w:p>
        </w:tc>
        <w:tc>
          <w:tcPr>
            <w:tcW w:w="2038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——</w:t>
            </w:r>
          </w:p>
        </w:tc>
        <w:tc>
          <w:tcPr>
            <w:tcW w:w="2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041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楼堂馆所控制情况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（202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年完工项目）</w:t>
            </w:r>
          </w:p>
        </w:tc>
        <w:tc>
          <w:tcPr>
            <w:tcW w:w="20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批复规模</w:t>
            </w: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（㎡）</w:t>
            </w:r>
          </w:p>
        </w:tc>
        <w:tc>
          <w:tcPr>
            <w:tcW w:w="2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实际规模（㎡）</w:t>
            </w:r>
          </w:p>
        </w:tc>
        <w:tc>
          <w:tcPr>
            <w:tcW w:w="20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规模控制率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" w:hRule="atLeast"/>
          <w:jc w:val="center"/>
        </w:trPr>
        <w:tc>
          <w:tcPr>
            <w:tcW w:w="335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38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5" w:hRule="atLeast"/>
          <w:jc w:val="center"/>
        </w:trPr>
        <w:tc>
          <w:tcPr>
            <w:tcW w:w="33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厉行节约保障措施</w:t>
            </w:r>
          </w:p>
        </w:tc>
        <w:tc>
          <w:tcPr>
            <w:tcW w:w="631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</w:tbl>
    <w:p>
      <w:pPr>
        <w:widowControl/>
        <w:spacing w:afterLines="0" w:line="400" w:lineRule="exact"/>
        <w:jc w:val="left"/>
        <w:rPr>
          <w:rFonts w:hint="default" w:ascii="Times New Roman" w:hAnsi="Times New Roman" w:eastAsia="仿宋_GB2312" w:cs="Times New Roman"/>
          <w:sz w:val="22"/>
          <w:highlight w:val="none"/>
        </w:rPr>
      </w:pPr>
      <w:r>
        <w:rPr>
          <w:rFonts w:hint="default" w:ascii="Times New Roman" w:hAnsi="Times New Roman" w:eastAsia="仿宋_GB2312" w:cs="Times New Roman"/>
          <w:sz w:val="22"/>
          <w:highlight w:val="none"/>
        </w:rPr>
        <w:t>说明：“项目支出”需要填报基本支出以外的所有项目支出情况，“公用经费”填报基本支出中的一般商品和服务支出。</w:t>
      </w:r>
    </w:p>
    <w:p>
      <w:pPr>
        <w:widowControl/>
        <w:spacing w:afterLines="0" w:line="400" w:lineRule="exact"/>
        <w:jc w:val="left"/>
        <w:rPr>
          <w:rFonts w:hint="default" w:ascii="Times New Roman" w:hAnsi="Times New Roman" w:eastAsia="仿宋_GB2312" w:cs="Times New Roman"/>
          <w:sz w:val="22"/>
          <w:highlight w:val="none"/>
        </w:rPr>
      </w:pPr>
    </w:p>
    <w:p>
      <w:pPr>
        <w:widowControl/>
        <w:spacing w:after="0" w:afterLines="0" w:line="400" w:lineRule="exact"/>
        <w:jc w:val="left"/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</w:pP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>填表人：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>符爱群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 填报日期：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>2024.6.24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  联系电话：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>13507304191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 单位负责人签字：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br w:type="page"/>
      </w:r>
    </w:p>
    <w:p>
      <w:pPr>
        <w:widowControl/>
        <w:spacing w:after="0" w:afterLines="0" w:line="400" w:lineRule="exact"/>
        <w:jc w:val="left"/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</w:pPr>
    </w:p>
    <w:p>
      <w:pPr>
        <w:widowControl/>
        <w:spacing w:after="0" w:afterLines="0" w:line="4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2</w:t>
      </w:r>
    </w:p>
    <w:p>
      <w:pPr>
        <w:widowControl/>
        <w:spacing w:after="120" w:afterLines="50"/>
        <w:jc w:val="center"/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年度部门整体支出绩效自评表</w:t>
      </w:r>
    </w:p>
    <w:tbl>
      <w:tblPr>
        <w:tblStyle w:val="5"/>
        <w:tblW w:w="10079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74"/>
        <w:gridCol w:w="1075"/>
        <w:gridCol w:w="1027"/>
        <w:gridCol w:w="1266"/>
        <w:gridCol w:w="1307"/>
        <w:gridCol w:w="1366"/>
        <w:gridCol w:w="613"/>
        <w:gridCol w:w="916"/>
        <w:gridCol w:w="143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1" w:hRule="atLeast"/>
          <w:jc w:val="center"/>
        </w:trPr>
        <w:tc>
          <w:tcPr>
            <w:tcW w:w="10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市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级预算部门名称</w:t>
            </w:r>
          </w:p>
        </w:tc>
        <w:tc>
          <w:tcPr>
            <w:tcW w:w="9005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岳阳市君山区城市管理和综合执法局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074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年度预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算申请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（万元）</w:t>
            </w:r>
          </w:p>
        </w:tc>
        <w:tc>
          <w:tcPr>
            <w:tcW w:w="210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12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年初预算数</w:t>
            </w:r>
          </w:p>
        </w:tc>
        <w:tc>
          <w:tcPr>
            <w:tcW w:w="13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全年预算数</w:t>
            </w:r>
          </w:p>
        </w:tc>
        <w:tc>
          <w:tcPr>
            <w:tcW w:w="13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全年执行数</w:t>
            </w:r>
          </w:p>
        </w:tc>
        <w:tc>
          <w:tcPr>
            <w:tcW w:w="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9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执行率</w:t>
            </w:r>
          </w:p>
        </w:tc>
        <w:tc>
          <w:tcPr>
            <w:tcW w:w="14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得分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6" w:hRule="atLeast"/>
          <w:jc w:val="center"/>
        </w:trPr>
        <w:tc>
          <w:tcPr>
            <w:tcW w:w="1074" w:type="dxa"/>
            <w:vMerge w:val="continue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0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年度资金总额</w:t>
            </w:r>
          </w:p>
        </w:tc>
        <w:tc>
          <w:tcPr>
            <w:tcW w:w="12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2465.77</w:t>
            </w:r>
          </w:p>
        </w:tc>
        <w:tc>
          <w:tcPr>
            <w:tcW w:w="13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4959.86</w:t>
            </w:r>
          </w:p>
        </w:tc>
        <w:tc>
          <w:tcPr>
            <w:tcW w:w="13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4959.86</w:t>
            </w:r>
          </w:p>
        </w:tc>
        <w:tc>
          <w:tcPr>
            <w:tcW w:w="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10</w:t>
            </w:r>
          </w:p>
        </w:tc>
        <w:tc>
          <w:tcPr>
            <w:tcW w:w="9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99.55%</w:t>
            </w:r>
          </w:p>
        </w:tc>
        <w:tc>
          <w:tcPr>
            <w:tcW w:w="14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4" w:hRule="atLeast"/>
          <w:jc w:val="center"/>
        </w:trPr>
        <w:tc>
          <w:tcPr>
            <w:tcW w:w="107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7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按收入性质分：</w:t>
            </w:r>
          </w:p>
        </w:tc>
        <w:tc>
          <w:tcPr>
            <w:tcW w:w="433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按支出性质分：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" w:hRule="atLeast"/>
          <w:jc w:val="center"/>
        </w:trPr>
        <w:tc>
          <w:tcPr>
            <w:tcW w:w="107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7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 xml:space="preserve">  其中：  一般公共预算：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2074.71</w:t>
            </w:r>
          </w:p>
        </w:tc>
        <w:tc>
          <w:tcPr>
            <w:tcW w:w="433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其中：基本支出：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460.87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8" w:hRule="atLeast"/>
          <w:jc w:val="center"/>
        </w:trPr>
        <w:tc>
          <w:tcPr>
            <w:tcW w:w="107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7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800" w:firstLineChars="400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政府性基金拨款：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490.00</w:t>
            </w:r>
          </w:p>
        </w:tc>
        <w:tc>
          <w:tcPr>
            <w:tcW w:w="433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600" w:firstLineChars="300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项目支出：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4498.99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  <w:jc w:val="center"/>
        </w:trPr>
        <w:tc>
          <w:tcPr>
            <w:tcW w:w="107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7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纳入专户管理的非税收入拨款：</w:t>
            </w:r>
          </w:p>
        </w:tc>
        <w:tc>
          <w:tcPr>
            <w:tcW w:w="433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1" w:hRule="atLeast"/>
          <w:jc w:val="center"/>
        </w:trPr>
        <w:tc>
          <w:tcPr>
            <w:tcW w:w="1074" w:type="dxa"/>
            <w:vMerge w:val="continue"/>
            <w:tcBorders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7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1400" w:firstLineChars="700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其他资金：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2395.15</w:t>
            </w:r>
          </w:p>
        </w:tc>
        <w:tc>
          <w:tcPr>
            <w:tcW w:w="433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1074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年度总体目标</w:t>
            </w:r>
          </w:p>
        </w:tc>
        <w:tc>
          <w:tcPr>
            <w:tcW w:w="467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预期目标</w:t>
            </w:r>
          </w:p>
        </w:tc>
        <w:tc>
          <w:tcPr>
            <w:tcW w:w="433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实际完成情况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66" w:hRule="atLeast"/>
          <w:jc w:val="center"/>
        </w:trPr>
        <w:tc>
          <w:tcPr>
            <w:tcW w:w="1074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7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  <w:t>、按计划完成主、次干道的修复任务，确保道路畅通，基础设施完好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  <w:t>2、稳步推进垃圾分类</w:t>
            </w:r>
          </w:p>
          <w:p>
            <w:pPr>
              <w:autoSpaceDN w:val="0"/>
              <w:spacing w:line="320" w:lineRule="exact"/>
              <w:ind w:left="840" w:hanging="800" w:hangingChars="400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  <w:t>3、开展绿化提质，呵护“城区绿肺”</w:t>
            </w:r>
          </w:p>
          <w:p>
            <w:pPr>
              <w:autoSpaceDN w:val="0"/>
              <w:spacing w:line="320" w:lineRule="exact"/>
              <w:ind w:left="840" w:hanging="800" w:hangingChars="400"/>
              <w:jc w:val="left"/>
              <w:textAlignment w:val="center"/>
              <w:rPr>
                <w:rFonts w:hint="default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  <w:t>4、完成上级领导交办的工作任务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　</w:t>
            </w:r>
          </w:p>
        </w:tc>
        <w:tc>
          <w:tcPr>
            <w:tcW w:w="433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/>
              <w:textAlignment w:val="auto"/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  <w:t>1、提质市政建设，城区焕然一新。建成3个口袋公园，完成年度目标的100％；安装充电桩54枪，完成年度目标的200％；在沙鸥路、洞庭大道等地新建绿化8处，完成年度目标的100％；全面完成了柳林路、富民路和创业路的弱电入地；全面完成8条人行道的统一改造，建成绿色骑行道6200米；完成洞庭大道路灯节能一期改造共285盏。还植入城市美学，在城区绿化带、弱电箱等多类市政设施中植入君山文化元素，打造麋鹿、候鸟等造型156组，绘制9条街道江豚形象等人文彩绘，让“候鸟的欢歌、麋鹿的倩影、江豚的微笑”共同打造岳阳生态名片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  <w:t>2、完善垃分收运体系，提量餐厨集中收运。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3、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  <w:t>不断创新绿化管护机制，实行分级养护，对安保路、展陈馆等区域，按二级标准养护，其他区域按三级标准养护，并在城区重要路段节点栽种时令鲜花，绿化养护全覆盖，达51.6万平方米，小资金实现大提质。</w:t>
            </w:r>
          </w:p>
          <w:p>
            <w:pPr>
              <w:rPr>
                <w:rFonts w:hint="default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  <w:t>4、文明创建、六区考评工作取得较好成绩。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0" w:hRule="atLeast"/>
          <w:jc w:val="center"/>
        </w:trPr>
        <w:tc>
          <w:tcPr>
            <w:tcW w:w="1074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绩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一级指标</w:t>
            </w:r>
          </w:p>
        </w:tc>
        <w:tc>
          <w:tcPr>
            <w:tcW w:w="10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二级指标</w:t>
            </w:r>
          </w:p>
        </w:tc>
        <w:tc>
          <w:tcPr>
            <w:tcW w:w="12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三级指标</w:t>
            </w:r>
          </w:p>
        </w:tc>
        <w:tc>
          <w:tcPr>
            <w:tcW w:w="13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年度指标值</w:t>
            </w:r>
          </w:p>
        </w:tc>
        <w:tc>
          <w:tcPr>
            <w:tcW w:w="13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实际完成值</w:t>
            </w:r>
          </w:p>
        </w:tc>
        <w:tc>
          <w:tcPr>
            <w:tcW w:w="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9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得分</w:t>
            </w:r>
          </w:p>
        </w:tc>
        <w:tc>
          <w:tcPr>
            <w:tcW w:w="14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偏差原因分析及改进措施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7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75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产出指标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(50分)</w:t>
            </w:r>
          </w:p>
        </w:tc>
        <w:tc>
          <w:tcPr>
            <w:tcW w:w="1027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数量指标</w:t>
            </w:r>
          </w:p>
        </w:tc>
        <w:tc>
          <w:tcPr>
            <w:tcW w:w="12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整治乱停乱放、规范经营秩序</w:t>
            </w:r>
          </w:p>
        </w:tc>
        <w:tc>
          <w:tcPr>
            <w:tcW w:w="13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≥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12次</w:t>
            </w:r>
          </w:p>
        </w:tc>
        <w:tc>
          <w:tcPr>
            <w:tcW w:w="13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12</w:t>
            </w:r>
          </w:p>
        </w:tc>
        <w:tc>
          <w:tcPr>
            <w:tcW w:w="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9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14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乱停乱放存在反弹现象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8" w:hRule="atLeast"/>
          <w:jc w:val="center"/>
        </w:trPr>
        <w:tc>
          <w:tcPr>
            <w:tcW w:w="107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75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27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口袋公园建设</w:t>
            </w:r>
          </w:p>
        </w:tc>
        <w:tc>
          <w:tcPr>
            <w:tcW w:w="13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3个</w:t>
            </w:r>
          </w:p>
        </w:tc>
        <w:tc>
          <w:tcPr>
            <w:tcW w:w="13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3</w:t>
            </w:r>
          </w:p>
        </w:tc>
        <w:tc>
          <w:tcPr>
            <w:tcW w:w="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9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1" w:hRule="atLeast"/>
          <w:jc w:val="center"/>
        </w:trPr>
        <w:tc>
          <w:tcPr>
            <w:tcW w:w="107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75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27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安装充电桩</w:t>
            </w:r>
          </w:p>
        </w:tc>
        <w:tc>
          <w:tcPr>
            <w:tcW w:w="13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54枪</w:t>
            </w:r>
          </w:p>
        </w:tc>
        <w:tc>
          <w:tcPr>
            <w:tcW w:w="13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54</w:t>
            </w:r>
          </w:p>
        </w:tc>
        <w:tc>
          <w:tcPr>
            <w:tcW w:w="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9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1" w:hRule="atLeast"/>
          <w:jc w:val="center"/>
        </w:trPr>
        <w:tc>
          <w:tcPr>
            <w:tcW w:w="107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75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27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质量指标</w:t>
            </w:r>
          </w:p>
        </w:tc>
        <w:tc>
          <w:tcPr>
            <w:tcW w:w="12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市政设施完好率</w:t>
            </w:r>
          </w:p>
        </w:tc>
        <w:tc>
          <w:tcPr>
            <w:tcW w:w="13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98%</w:t>
            </w:r>
          </w:p>
        </w:tc>
        <w:tc>
          <w:tcPr>
            <w:tcW w:w="13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98%</w:t>
            </w:r>
          </w:p>
        </w:tc>
        <w:tc>
          <w:tcPr>
            <w:tcW w:w="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9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8" w:hRule="atLeast"/>
          <w:jc w:val="center"/>
        </w:trPr>
        <w:tc>
          <w:tcPr>
            <w:tcW w:w="107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75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27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作业流程规范率</w:t>
            </w:r>
          </w:p>
        </w:tc>
        <w:tc>
          <w:tcPr>
            <w:tcW w:w="13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≥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13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9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5" w:hRule="atLeast"/>
          <w:jc w:val="center"/>
        </w:trPr>
        <w:tc>
          <w:tcPr>
            <w:tcW w:w="107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75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27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  <w:lang w:val="en-US" w:eastAsia="zh-CN"/>
              </w:rPr>
              <w:t>公众服务热线处理率</w:t>
            </w:r>
          </w:p>
        </w:tc>
        <w:tc>
          <w:tcPr>
            <w:tcW w:w="13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  <w:lang w:val="en-US" w:eastAsia="zh-CN"/>
              </w:rPr>
              <w:t>100%</w:t>
            </w:r>
          </w:p>
        </w:tc>
        <w:tc>
          <w:tcPr>
            <w:tcW w:w="13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  <w:lang w:val="en-US" w:eastAsia="zh-CN"/>
              </w:rPr>
              <w:t>100%</w:t>
            </w:r>
          </w:p>
        </w:tc>
        <w:tc>
          <w:tcPr>
            <w:tcW w:w="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9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7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75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27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时效指标</w:t>
            </w:r>
          </w:p>
        </w:tc>
        <w:tc>
          <w:tcPr>
            <w:tcW w:w="12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计划任务，应急任务完成率</w:t>
            </w:r>
          </w:p>
        </w:tc>
        <w:tc>
          <w:tcPr>
            <w:tcW w:w="13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13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98%</w:t>
            </w:r>
          </w:p>
        </w:tc>
        <w:tc>
          <w:tcPr>
            <w:tcW w:w="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9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8</w:t>
            </w:r>
          </w:p>
        </w:tc>
        <w:tc>
          <w:tcPr>
            <w:tcW w:w="14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计划任务完成时效性存在偏差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5" w:hRule="atLeast"/>
          <w:jc w:val="center"/>
        </w:trPr>
        <w:tc>
          <w:tcPr>
            <w:tcW w:w="107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75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27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成本指标</w:t>
            </w:r>
          </w:p>
        </w:tc>
        <w:tc>
          <w:tcPr>
            <w:tcW w:w="12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项目成本按计划控制</w:t>
            </w:r>
          </w:p>
        </w:tc>
        <w:tc>
          <w:tcPr>
            <w:tcW w:w="13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2465.77万元</w:t>
            </w:r>
          </w:p>
        </w:tc>
        <w:tc>
          <w:tcPr>
            <w:tcW w:w="13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4959.86万元</w:t>
            </w:r>
          </w:p>
        </w:tc>
        <w:tc>
          <w:tcPr>
            <w:tcW w:w="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9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8</w:t>
            </w:r>
          </w:p>
        </w:tc>
        <w:tc>
          <w:tcPr>
            <w:tcW w:w="14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预算执行存在偏差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7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75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效益指标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（30分）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27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经济效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规范城市管理,提升城市形象</w:t>
            </w:r>
          </w:p>
        </w:tc>
        <w:tc>
          <w:tcPr>
            <w:tcW w:w="13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定性</w:t>
            </w:r>
          </w:p>
        </w:tc>
        <w:tc>
          <w:tcPr>
            <w:tcW w:w="13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  <w:lang w:val="en-US" w:eastAsia="zh-CN"/>
              </w:rPr>
              <w:t>有效</w:t>
            </w:r>
            <w:r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</w:rPr>
              <w:t>提升</w:t>
            </w:r>
          </w:p>
        </w:tc>
        <w:tc>
          <w:tcPr>
            <w:tcW w:w="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9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8</w:t>
            </w:r>
          </w:p>
        </w:tc>
        <w:tc>
          <w:tcPr>
            <w:tcW w:w="14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市容秩序环境有待进一步提升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107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75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27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社会效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美化城市环境</w:t>
            </w:r>
          </w:p>
        </w:tc>
        <w:tc>
          <w:tcPr>
            <w:tcW w:w="13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定性</w:t>
            </w:r>
          </w:p>
        </w:tc>
        <w:tc>
          <w:tcPr>
            <w:tcW w:w="13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  <w:lang w:val="en-US" w:eastAsia="zh-CN"/>
              </w:rPr>
              <w:t>不断</w:t>
            </w:r>
            <w:r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</w:rPr>
              <w:t>优化</w:t>
            </w:r>
          </w:p>
        </w:tc>
        <w:tc>
          <w:tcPr>
            <w:tcW w:w="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9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8" w:hRule="atLeast"/>
          <w:jc w:val="center"/>
        </w:trPr>
        <w:tc>
          <w:tcPr>
            <w:tcW w:w="107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75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27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生态效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优化生态环境</w:t>
            </w:r>
          </w:p>
        </w:tc>
        <w:tc>
          <w:tcPr>
            <w:tcW w:w="13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定性</w:t>
            </w:r>
          </w:p>
        </w:tc>
        <w:tc>
          <w:tcPr>
            <w:tcW w:w="13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</w:rPr>
              <w:t>有效提升</w:t>
            </w:r>
          </w:p>
        </w:tc>
        <w:tc>
          <w:tcPr>
            <w:tcW w:w="61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91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107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75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2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可持续影响指标</w:t>
            </w:r>
          </w:p>
        </w:tc>
        <w:tc>
          <w:tcPr>
            <w:tcW w:w="12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提高群众生活质量</w:t>
            </w:r>
          </w:p>
        </w:tc>
        <w:tc>
          <w:tcPr>
            <w:tcW w:w="13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定性</w:t>
            </w:r>
          </w:p>
        </w:tc>
        <w:tc>
          <w:tcPr>
            <w:tcW w:w="13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有效</w:t>
            </w:r>
            <w:bookmarkStart w:id="0" w:name="_GoBack"/>
            <w:bookmarkEnd w:id="0"/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提升</w:t>
            </w:r>
          </w:p>
        </w:tc>
        <w:tc>
          <w:tcPr>
            <w:tcW w:w="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9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1" w:hRule="atLeast"/>
          <w:jc w:val="center"/>
        </w:trPr>
        <w:tc>
          <w:tcPr>
            <w:tcW w:w="107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75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满意度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1027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服务对象满意度指标</w:t>
            </w:r>
          </w:p>
        </w:tc>
        <w:tc>
          <w:tcPr>
            <w:tcW w:w="12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居民满意度</w:t>
            </w:r>
          </w:p>
        </w:tc>
        <w:tc>
          <w:tcPr>
            <w:tcW w:w="13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≥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95%</w:t>
            </w:r>
          </w:p>
        </w:tc>
        <w:tc>
          <w:tcPr>
            <w:tcW w:w="13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95%</w:t>
            </w:r>
          </w:p>
        </w:tc>
        <w:tc>
          <w:tcPr>
            <w:tcW w:w="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9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  <w:jc w:val="center"/>
        </w:trPr>
        <w:tc>
          <w:tcPr>
            <w:tcW w:w="711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总分</w:t>
            </w:r>
          </w:p>
        </w:tc>
        <w:tc>
          <w:tcPr>
            <w:tcW w:w="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100</w:t>
            </w:r>
          </w:p>
        </w:tc>
        <w:tc>
          <w:tcPr>
            <w:tcW w:w="9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91</w:t>
            </w:r>
          </w:p>
        </w:tc>
        <w:tc>
          <w:tcPr>
            <w:tcW w:w="14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</w:tbl>
    <w:p>
      <w:pPr>
        <w:widowControl/>
        <w:spacing w:line="600" w:lineRule="exact"/>
        <w:jc w:val="left"/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</w:pP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>填表人：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>符爱群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 填报日期：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>2024.6.24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  联系电话：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>13507304191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 单位负责人签字：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br w:type="page"/>
      </w: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3</w:t>
      </w:r>
    </w:p>
    <w:p>
      <w:pPr>
        <w:widowControl/>
        <w:spacing w:line="600" w:lineRule="exact"/>
        <w:jc w:val="center"/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年度项目支出绩效自评表</w:t>
      </w:r>
    </w:p>
    <w:tbl>
      <w:tblPr>
        <w:tblStyle w:val="5"/>
        <w:tblW w:w="9851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1080"/>
        <w:gridCol w:w="1080"/>
        <w:gridCol w:w="1224"/>
        <w:gridCol w:w="650"/>
        <w:gridCol w:w="366"/>
        <w:gridCol w:w="871"/>
        <w:gridCol w:w="381"/>
        <w:gridCol w:w="828"/>
        <w:gridCol w:w="873"/>
        <w:gridCol w:w="1418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项目支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出名称</w:t>
            </w:r>
          </w:p>
        </w:tc>
        <w:tc>
          <w:tcPr>
            <w:tcW w:w="8771" w:type="dxa"/>
            <w:gridSpan w:val="10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城市管理专项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主管部门</w:t>
            </w:r>
          </w:p>
        </w:tc>
        <w:tc>
          <w:tcPr>
            <w:tcW w:w="403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岳阳市君山区城市管理和综合执法局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3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实施单位</w:t>
            </w:r>
          </w:p>
        </w:tc>
        <w:tc>
          <w:tcPr>
            <w:tcW w:w="350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岳阳市君山区城市管理和综合执法局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2" w:hRule="atLeast"/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项目资金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（万元）</w:t>
            </w: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年初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预算数</w:t>
            </w:r>
          </w:p>
        </w:tc>
        <w:tc>
          <w:tcPr>
            <w:tcW w:w="101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全年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预算数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全年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执行数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执行率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得分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9" w:hRule="atLeast"/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年度资金总额　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1772.44</w:t>
            </w:r>
          </w:p>
        </w:tc>
        <w:tc>
          <w:tcPr>
            <w:tcW w:w="101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911.21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911.21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其中：当年财政拨款　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  <w:lang w:val="en-US" w:eastAsia="zh-CN"/>
              </w:rPr>
              <w:t>1534.45</w:t>
            </w:r>
          </w:p>
        </w:tc>
        <w:tc>
          <w:tcPr>
            <w:tcW w:w="101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  <w:lang w:val="en-US" w:eastAsia="zh-CN"/>
              </w:rPr>
              <w:t>673.22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  <w:lang w:val="en-US" w:eastAsia="zh-CN"/>
              </w:rPr>
              <w:t>673.22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600" w:firstLineChars="30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上年结转资金　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  <w:lang w:val="en-US" w:eastAsia="zh-CN"/>
              </w:rPr>
              <w:t>237.99</w:t>
            </w:r>
          </w:p>
        </w:tc>
        <w:tc>
          <w:tcPr>
            <w:tcW w:w="101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  <w:lang w:val="en-US" w:eastAsia="zh-CN"/>
              </w:rPr>
              <w:t>237.99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  <w:lang w:val="en-US" w:eastAsia="zh-CN"/>
              </w:rPr>
              <w:t>237.99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600" w:firstLineChars="30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其他资金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101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年度总体目标</w:t>
            </w:r>
          </w:p>
        </w:tc>
        <w:tc>
          <w:tcPr>
            <w:tcW w:w="4400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预期目标</w:t>
            </w:r>
          </w:p>
        </w:tc>
        <w:tc>
          <w:tcPr>
            <w:tcW w:w="4371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实际完成情况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26" w:hRule="atLeast"/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400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  <w:t>、按计划完成主、次干道的修复任务，确保道路畅通，基础设施完好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  <w:t>2、稳步推进垃圾分类</w:t>
            </w:r>
          </w:p>
          <w:p>
            <w:pPr>
              <w:autoSpaceDN w:val="0"/>
              <w:spacing w:line="320" w:lineRule="exact"/>
              <w:ind w:left="840" w:hanging="800" w:hangingChars="400"/>
              <w:jc w:val="left"/>
              <w:textAlignment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  <w:t>3、开展绿化提质，呵护“城区绿肺”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  <w:t>　</w:t>
            </w:r>
          </w:p>
        </w:tc>
        <w:tc>
          <w:tcPr>
            <w:tcW w:w="4371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/>
              <w:textAlignment w:val="auto"/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  <w:t>1、提质市政建设，城区焕然一新。建成3个口袋公园，完成年度目标的100％；安装充电桩54枪，完成年度目标的200％；在沙鸥路、洞庭大道等地新建绿化8处，完成年度目标的100％；全面完成了柳林路、富民路和创业路的弱电入地；全面完成8条人行道的统一改造，建成绿色骑行道6200米；完成洞庭大道路灯节能一期改造共285盏。还植入城市美学，在城区绿化带、弱电箱等多类市政设施中植入君山文化元素，打造麋鹿、候鸟等造型156组，绘制9条街道江豚形象等人文彩绘，让“候鸟的欢歌、麋鹿的倩影、江豚的微笑”共同打造岳阳生态名片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  <w:t>2、完善垃分收运体系，提量餐厨集中收运。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/>
              <w:textAlignment w:val="auto"/>
              <w:rPr>
                <w:rFonts w:hint="default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3、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  <w:t>不断创新绿化管护机制，实行分级养护，对安保路、展陈馆等区域，按二级标准养护，其他区域按三级标准养护，并在城区重要路段节点栽种时令鲜花，绿化养护全覆盖，达51.6万平方米，小资金实现大提质。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绩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标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一级指标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二级指标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三级指标</w:t>
            </w:r>
          </w:p>
        </w:tc>
        <w:tc>
          <w:tcPr>
            <w:tcW w:w="101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指标值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完成值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得分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偏差原因分析及改进措施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产出指标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(50分)</w:t>
            </w: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数量指标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口袋公园建设</w:t>
            </w:r>
          </w:p>
        </w:tc>
        <w:tc>
          <w:tcPr>
            <w:tcW w:w="101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3个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3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垃圾分类宣传活动</w:t>
            </w:r>
          </w:p>
        </w:tc>
        <w:tc>
          <w:tcPr>
            <w:tcW w:w="101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12次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12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绿化维护、养护乔木数量</w:t>
            </w:r>
          </w:p>
        </w:tc>
        <w:tc>
          <w:tcPr>
            <w:tcW w:w="101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  <w:t>51.6万平方米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%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  <w:t>51.6万平方米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8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质量指标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市政设施完好率</w:t>
            </w:r>
          </w:p>
        </w:tc>
        <w:tc>
          <w:tcPr>
            <w:tcW w:w="101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98%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98%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绿化维护、养护率</w:t>
            </w:r>
          </w:p>
        </w:tc>
        <w:tc>
          <w:tcPr>
            <w:tcW w:w="101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98%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98%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每月实行垃圾分类考评</w:t>
            </w:r>
          </w:p>
        </w:tc>
        <w:tc>
          <w:tcPr>
            <w:tcW w:w="101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时效指标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市政设施维护及时率</w:t>
            </w:r>
          </w:p>
        </w:tc>
        <w:tc>
          <w:tcPr>
            <w:tcW w:w="101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98%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市政设施面多点广存在维修不及时现象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成本指标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财政资金支出</w:t>
            </w:r>
          </w:p>
        </w:tc>
        <w:tc>
          <w:tcPr>
            <w:tcW w:w="101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1772.44万元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911.21万元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预算资金执行不到位，今后加强预算执行，加进项目支付进度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效益指标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（30分）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80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经济效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提高公共服务水平</w:t>
            </w:r>
          </w:p>
        </w:tc>
        <w:tc>
          <w:tcPr>
            <w:tcW w:w="101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提升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有效提升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社会效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美化城市环境</w:t>
            </w:r>
          </w:p>
        </w:tc>
        <w:tc>
          <w:tcPr>
            <w:tcW w:w="101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提升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  <w:lang w:val="en-US" w:eastAsia="zh-CN"/>
              </w:rPr>
              <w:t>有效</w:t>
            </w:r>
            <w:r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</w:rPr>
              <w:t>提升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生态效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优化生态环境</w:t>
            </w:r>
          </w:p>
        </w:tc>
        <w:tc>
          <w:tcPr>
            <w:tcW w:w="101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优化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  <w:lang w:val="en-US" w:eastAsia="zh-CN"/>
              </w:rPr>
              <w:t>不断</w:t>
            </w:r>
            <w:r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</w:rPr>
              <w:t>优化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可持续影响指标</w:t>
            </w: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提升群众生活指数</w:t>
            </w:r>
          </w:p>
        </w:tc>
        <w:tc>
          <w:tcPr>
            <w:tcW w:w="101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提升</w:t>
            </w:r>
          </w:p>
        </w:tc>
        <w:tc>
          <w:tcPr>
            <w:tcW w:w="125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</w:rPr>
              <w:t>有效提升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1080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服务对象满意度指标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市民满意度</w:t>
            </w:r>
          </w:p>
        </w:tc>
        <w:tc>
          <w:tcPr>
            <w:tcW w:w="101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≥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95%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9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%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732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总分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100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91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</w:tbl>
    <w:p>
      <w:pP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</w:pPr>
    </w:p>
    <w:p>
      <w:pPr>
        <w:rPr>
          <w:rFonts w:hint="default" w:ascii="Times New Roman" w:hAnsi="Times New Roman" w:eastAsia="仿宋_GB2312" w:cs="Times New Roman"/>
          <w:szCs w:val="21"/>
          <w:highlight w:val="none"/>
        </w:rPr>
      </w:pPr>
      <w: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  <w:t>备注：一个一级项目支出一张表。</w:t>
      </w:r>
      <w:r>
        <w:rPr>
          <w:rFonts w:hint="eastAsia" w:ascii="Times New Roman" w:hAnsi="Times New Roman" w:eastAsia="仿宋_GB2312" w:cs="Times New Roman"/>
          <w:sz w:val="18"/>
          <w:szCs w:val="18"/>
          <w:highlight w:val="none"/>
          <w:lang w:eastAsia="zh-CN"/>
        </w:rPr>
        <w:t>如，</w:t>
      </w:r>
      <w: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  <w:t>业务工作经费</w:t>
      </w:r>
      <w:r>
        <w:rPr>
          <w:rFonts w:hint="eastAsia" w:ascii="Times New Roman" w:hAnsi="Times New Roman" w:eastAsia="仿宋_GB2312" w:cs="Times New Roman"/>
          <w:sz w:val="18"/>
          <w:szCs w:val="18"/>
          <w:highlight w:val="none"/>
          <w:lang w:eastAsia="zh-CN"/>
        </w:rPr>
        <w:t>，</w:t>
      </w:r>
      <w: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  <w:t>运行维护经费</w:t>
      </w:r>
      <w:r>
        <w:rPr>
          <w:rFonts w:hint="eastAsia" w:ascii="Times New Roman" w:hAnsi="Times New Roman" w:eastAsia="仿宋_GB2312" w:cs="Times New Roman"/>
          <w:sz w:val="18"/>
          <w:szCs w:val="18"/>
          <w:highlight w:val="none"/>
          <w:lang w:eastAsia="zh-CN"/>
        </w:rPr>
        <w:t>，其他事业发展类资金…各一张表。</w:t>
      </w:r>
    </w:p>
    <w:p>
      <w:pP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>填表人：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>符爱群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 填报日期：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>2024.6.24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  联系电话：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>13507304191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 单位负责人签字：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br w:type="page"/>
      </w: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4</w:t>
      </w:r>
    </w:p>
    <w:p>
      <w:pPr>
        <w:jc w:val="center"/>
        <w:rPr>
          <w:rFonts w:hint="default" w:ascii="Times New Roman" w:hAnsi="Times New Roman" w:eastAsia="方正小标宋_GBK" w:cs="Times New Roman"/>
          <w:sz w:val="52"/>
          <w:szCs w:val="52"/>
          <w:highlight w:val="none"/>
        </w:rPr>
      </w:pP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年度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  <w:t>君山区城市管理和综合执法局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整体支出绩效自评报告</w:t>
      </w:r>
    </w:p>
    <w:p>
      <w:pPr>
        <w:jc w:val="center"/>
        <w:rPr>
          <w:rFonts w:hint="default" w:ascii="Times New Roman" w:hAnsi="Times New Roman" w:eastAsia="方正小标宋_GBK" w:cs="Times New Roman"/>
          <w:b/>
          <w:sz w:val="52"/>
          <w:szCs w:val="5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both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spacing w:line="600" w:lineRule="exact"/>
        <w:jc w:val="center"/>
        <w:rPr>
          <w:rFonts w:hint="default" w:ascii="Times New Roman" w:hAnsi="Times New Roman" w:eastAsia="仿宋_GB2312" w:cs="Times New Roman"/>
          <w:sz w:val="32"/>
          <w:szCs w:val="32"/>
          <w:highlight w:val="none"/>
          <w:u w:val="singl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部门（单位）名称：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single"/>
        </w:rPr>
        <w:t>（盖章）</w:t>
      </w:r>
    </w:p>
    <w:p>
      <w:pPr>
        <w:spacing w:line="600" w:lineRule="exact"/>
        <w:jc w:val="center"/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楷体_GB2312" w:cs="Times New Roman"/>
          <w:sz w:val="32"/>
          <w:szCs w:val="32"/>
          <w:highlight w:val="none"/>
          <w:lang w:val="en-US" w:eastAsia="zh-CN"/>
        </w:rPr>
        <w:t>2024</w:t>
      </w:r>
      <w:r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  <w:t>年</w:t>
      </w:r>
      <w:r>
        <w:rPr>
          <w:rFonts w:hint="eastAsia" w:ascii="Times New Roman" w:hAnsi="Times New Roman" w:eastAsia="楷体_GB2312" w:cs="Times New Roman"/>
          <w:sz w:val="32"/>
          <w:szCs w:val="32"/>
          <w:highlight w:val="none"/>
          <w:lang w:val="en-US" w:eastAsia="zh-CN"/>
        </w:rPr>
        <w:t>6</w:t>
      </w:r>
      <w:r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  <w:t>月</w:t>
      </w:r>
      <w:r>
        <w:rPr>
          <w:rFonts w:hint="eastAsia" w:ascii="Times New Roman" w:hAnsi="Times New Roman" w:eastAsia="楷体_GB2312" w:cs="Times New Roman"/>
          <w:sz w:val="32"/>
          <w:szCs w:val="32"/>
          <w:highlight w:val="none"/>
          <w:lang w:val="en-US" w:eastAsia="zh-CN"/>
        </w:rPr>
        <w:t>24</w:t>
      </w:r>
      <w:r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  <w:t>日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br w:type="page"/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年度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  <w:t>君山区城市管理和综合执法局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整体支出绩效自评报告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部门（单位）基本情况</w:t>
      </w:r>
    </w:p>
    <w:p>
      <w:pPr>
        <w:spacing w:beforeLines="0" w:afterLines="0" w:line="600" w:lineRule="exact"/>
        <w:ind w:left="22" w:leftChars="8" w:right="129" w:rightChars="46" w:firstLine="813" w:firstLineChars="271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sz w:val="30"/>
          <w:szCs w:val="30"/>
          <w:lang w:val="zh-CN" w:eastAsia="zh-CN"/>
        </w:rPr>
        <w:t>岳阳市君山区城市管理和综合执法局</w:t>
      </w:r>
      <w:r>
        <w:rPr>
          <w:rFonts w:hint="eastAsia" w:ascii="仿宋" w:hAnsi="仿宋" w:eastAsia="仿宋" w:cs="仿宋"/>
          <w:sz w:val="30"/>
          <w:szCs w:val="30"/>
        </w:rPr>
        <w:t>，为区政府工作部门，主要承担环境卫生、园林绿化、城管执法、市政维护、路灯亮化、渣土运输、道路破占、户外广告、城镇燃气、停车管理等多项职能。</w:t>
      </w:r>
      <w:r>
        <w:rPr>
          <w:rFonts w:hint="eastAsia" w:ascii="仿宋" w:hAnsi="仿宋" w:eastAsia="仿宋" w:cs="仿宋"/>
          <w:sz w:val="30"/>
          <w:szCs w:val="30"/>
          <w:lang w:val="zh-CN" w:eastAsia="zh-CN"/>
        </w:rPr>
        <w:t>单位内设机构包括：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办公室（政策法规股）、城市管理股、行政审批股、燃气管理办公室、市政公用设施建设管理股、政工计财股6个股室。</w:t>
      </w:r>
      <w:r>
        <w:rPr>
          <w:rFonts w:hint="eastAsia" w:ascii="仿宋" w:hAnsi="仿宋" w:eastAsia="仿宋" w:cs="仿宋"/>
          <w:sz w:val="30"/>
          <w:szCs w:val="30"/>
        </w:rPr>
        <w:t>直属事业单位5个</w:t>
      </w:r>
      <w:r>
        <w:rPr>
          <w:rFonts w:hint="eastAsia" w:eastAsia="仿宋" w:cs="仿宋"/>
          <w:sz w:val="30"/>
          <w:szCs w:val="30"/>
          <w:lang w:eastAsia="zh-CN"/>
        </w:rPr>
        <w:t>：</w:t>
      </w:r>
      <w:r>
        <w:rPr>
          <w:rFonts w:hint="eastAsia" w:ascii="仿宋" w:hAnsi="仿宋" w:eastAsia="仿宋" w:cs="仿宋"/>
          <w:sz w:val="30"/>
          <w:szCs w:val="30"/>
          <w:lang w:val="zh-CN" w:eastAsia="zh-CN"/>
        </w:rPr>
        <w:t>区城市管理综合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行政</w:t>
      </w:r>
      <w:r>
        <w:rPr>
          <w:rFonts w:hint="eastAsia" w:ascii="仿宋" w:hAnsi="仿宋" w:eastAsia="仿宋" w:cs="仿宋"/>
          <w:sz w:val="30"/>
          <w:szCs w:val="30"/>
          <w:lang w:val="zh-CN" w:eastAsia="zh-CN"/>
        </w:rPr>
        <w:t>执法大队；区市容环境卫生服务中心；区路灯事务所；区城市园林绿化中心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；区垃圾分类考评中心</w:t>
      </w:r>
      <w:r>
        <w:rPr>
          <w:rFonts w:hint="eastAsia" w:eastAsia="仿宋" w:cs="仿宋"/>
          <w:sz w:val="30"/>
          <w:szCs w:val="30"/>
          <w:lang w:val="en-US" w:eastAsia="zh-CN"/>
        </w:rPr>
        <w:t>。</w:t>
      </w:r>
    </w:p>
    <w:p>
      <w:pPr>
        <w:pStyle w:val="8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二、一般公共预算支出情况</w:t>
      </w:r>
    </w:p>
    <w:p>
      <w:pPr>
        <w:pStyle w:val="8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3" w:firstLineChars="200"/>
        <w:jc w:val="both"/>
        <w:textAlignment w:val="auto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（一）基本支出情况</w:t>
      </w:r>
    </w:p>
    <w:p>
      <w:pPr>
        <w:pStyle w:val="8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00" w:firstLineChars="200"/>
        <w:jc w:val="both"/>
        <w:textAlignment w:val="auto"/>
        <w:rPr>
          <w:rFonts w:hint="default" w:ascii="仿宋" w:hAnsi="仿宋" w:eastAsia="仿宋" w:cs="仿宋"/>
          <w:kern w:val="0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kern w:val="0"/>
          <w:sz w:val="30"/>
          <w:szCs w:val="30"/>
          <w:lang w:val="en-US" w:eastAsia="zh-CN" w:bidi="ar-SA"/>
        </w:rPr>
        <w:t>2023年基本支出合计460.87有万元，主要是为保障单位正常运转、完成日常工作任务而发生的各项支出，包括用于基本工资、津贴补贴等人员经费以及办公费、印刷费、水电费、办公设备购置等公用经费。</w:t>
      </w:r>
    </w:p>
    <w:p>
      <w:pPr>
        <w:pStyle w:val="8"/>
        <w:keepNext w:val="0"/>
        <w:keepLines w:val="0"/>
        <w:pageBreakBefore w:val="0"/>
        <w:widowControl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3" w:firstLineChars="200"/>
        <w:jc w:val="both"/>
        <w:textAlignment w:val="auto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项目支出情况</w:t>
      </w:r>
    </w:p>
    <w:p>
      <w:pPr>
        <w:pStyle w:val="8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00" w:firstLineChars="200"/>
        <w:jc w:val="both"/>
        <w:textAlignment w:val="auto"/>
        <w:rPr>
          <w:rFonts w:hint="eastAsia" w:ascii="Times New Roman" w:hAnsi="Times New Roman" w:eastAsia="仿宋_GB2312" w:cs="Times New Roman"/>
          <w:b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kern w:val="0"/>
          <w:sz w:val="30"/>
          <w:szCs w:val="30"/>
          <w:lang w:val="en-US" w:eastAsia="zh-CN" w:bidi="ar-SA"/>
        </w:rPr>
        <w:t>2023年项目支出合计4498.99万元，主要是本单位为完成特定工作任务或事业发展目标而发生的支出，包括业务工作经费支出、城市管理专项支出等。</w:t>
      </w:r>
    </w:p>
    <w:p>
      <w:pPr>
        <w:pStyle w:val="8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val="en-US" w:eastAsia="zh-CN"/>
        </w:rPr>
        <w:t>三、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政府性基金预算支出情况</w:t>
      </w:r>
    </w:p>
    <w:p>
      <w:pPr>
        <w:pStyle w:val="8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00" w:firstLineChars="200"/>
        <w:jc w:val="both"/>
        <w:textAlignment w:val="auto"/>
        <w:rPr>
          <w:rFonts w:hint="default" w:ascii="仿宋" w:hAnsi="仿宋" w:eastAsia="仿宋" w:cs="仿宋"/>
          <w:kern w:val="0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kern w:val="0"/>
          <w:sz w:val="30"/>
          <w:szCs w:val="30"/>
          <w:lang w:val="en-US" w:eastAsia="zh-CN" w:bidi="ar-SA"/>
        </w:rPr>
        <w:t>2023年政府性基金预算支出合计490万元，主要用于旅游路管网建设项目工程。</w:t>
      </w:r>
    </w:p>
    <w:p>
      <w:pPr>
        <w:pStyle w:val="8"/>
        <w:keepNext w:val="0"/>
        <w:keepLines w:val="0"/>
        <w:pageBreakBefore w:val="0"/>
        <w:widowControl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国有资本经营预算支出情况</w:t>
      </w:r>
    </w:p>
    <w:p>
      <w:pPr>
        <w:pStyle w:val="8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00" w:firstLineChars="200"/>
        <w:jc w:val="both"/>
        <w:textAlignment w:val="auto"/>
        <w:rPr>
          <w:rFonts w:hint="eastAsia" w:ascii="Times New Roman" w:hAnsi="Times New Roman" w:eastAsia="黑体" w:cs="Times New Roman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kern w:val="0"/>
          <w:sz w:val="30"/>
          <w:szCs w:val="30"/>
          <w:lang w:val="en-US" w:eastAsia="zh-CN" w:bidi="ar-SA"/>
        </w:rPr>
        <w:t>2023年本单位无</w:t>
      </w:r>
      <w:r>
        <w:rPr>
          <w:rFonts w:hint="default" w:ascii="仿宋" w:hAnsi="仿宋" w:eastAsia="仿宋" w:cs="仿宋"/>
          <w:kern w:val="0"/>
          <w:sz w:val="30"/>
          <w:szCs w:val="30"/>
          <w:lang w:val="en-US" w:eastAsia="zh-CN" w:bidi="ar-SA"/>
        </w:rPr>
        <w:t>国有资本经营预算支出</w:t>
      </w:r>
      <w:r>
        <w:rPr>
          <w:rFonts w:hint="eastAsia" w:ascii="仿宋" w:hAnsi="仿宋" w:eastAsia="仿宋" w:cs="仿宋"/>
          <w:kern w:val="0"/>
          <w:sz w:val="30"/>
          <w:szCs w:val="30"/>
          <w:lang w:val="en-US" w:eastAsia="zh-CN" w:bidi="ar-SA"/>
        </w:rPr>
        <w:t>。</w:t>
      </w:r>
    </w:p>
    <w:p>
      <w:pPr>
        <w:pStyle w:val="8"/>
        <w:keepNext w:val="0"/>
        <w:keepLines w:val="0"/>
        <w:pageBreakBefore w:val="0"/>
        <w:widowControl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社会保险基金预算支出情况</w:t>
      </w:r>
    </w:p>
    <w:p>
      <w:pPr>
        <w:pStyle w:val="8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0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kern w:val="0"/>
          <w:sz w:val="30"/>
          <w:szCs w:val="30"/>
          <w:lang w:val="en-US" w:eastAsia="zh-CN" w:bidi="ar-SA"/>
        </w:rPr>
        <w:t>2023年本单位无</w:t>
      </w:r>
      <w:r>
        <w:rPr>
          <w:rFonts w:hint="default" w:ascii="仿宋" w:hAnsi="仿宋" w:eastAsia="仿宋" w:cs="仿宋"/>
          <w:kern w:val="0"/>
          <w:sz w:val="30"/>
          <w:szCs w:val="30"/>
          <w:lang w:val="en-US" w:eastAsia="zh-CN" w:bidi="ar-SA"/>
        </w:rPr>
        <w:t>社会保险基金预算支出</w:t>
      </w:r>
      <w:r>
        <w:rPr>
          <w:rFonts w:hint="eastAsia" w:ascii="仿宋" w:hAnsi="仿宋" w:eastAsia="仿宋" w:cs="仿宋"/>
          <w:kern w:val="0"/>
          <w:sz w:val="30"/>
          <w:szCs w:val="30"/>
          <w:lang w:val="en-US" w:eastAsia="zh-CN" w:bidi="ar-SA"/>
        </w:rPr>
        <w:t>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六、部门整体支出绩效情况</w:t>
      </w:r>
    </w:p>
    <w:p>
      <w:pPr>
        <w:numPr>
          <w:ilvl w:val="0"/>
          <w:numId w:val="0"/>
        </w:numPr>
        <w:ind w:firstLine="643" w:firstLineChars="200"/>
        <w:jc w:val="left"/>
        <w:rPr>
          <w:rFonts w:hint="default"/>
          <w:lang w:val="en-US" w:eastAsia="zh-CN"/>
        </w:rPr>
      </w:pPr>
      <w:r>
        <w:rPr>
          <w:rFonts w:hint="eastAsia" w:eastAsia="仿宋" w:cs="仿宋"/>
          <w:b/>
          <w:bCs/>
          <w:kern w:val="2"/>
          <w:sz w:val="32"/>
          <w:szCs w:val="32"/>
          <w:highlight w:val="none"/>
          <w:lang w:val="en-US" w:eastAsia="zh-CN" w:bidi="ar-SA"/>
        </w:rPr>
        <w:t>1、</w:t>
      </w:r>
      <w:r>
        <w:rPr>
          <w:rFonts w:hint="eastAsia" w:ascii="仿宋" w:hAnsi="仿宋" w:eastAsia="仿宋" w:cs="仿宋"/>
          <w:b/>
          <w:bCs/>
          <w:kern w:val="2"/>
          <w:sz w:val="32"/>
          <w:szCs w:val="32"/>
          <w:highlight w:val="none"/>
          <w:lang w:val="en-US" w:eastAsia="zh-CN" w:bidi="ar-SA"/>
        </w:rPr>
        <w:t>提质市政建设，城区焕然一新。</w:t>
      </w:r>
      <w:r>
        <w:rPr>
          <w:rFonts w:hint="eastAsia" w:eastAsia="仿宋" w:cs="仿宋"/>
          <w:b/>
          <w:bCs/>
          <w:kern w:val="2"/>
          <w:sz w:val="32"/>
          <w:szCs w:val="32"/>
          <w:highlight w:val="none"/>
          <w:lang w:val="en-US" w:eastAsia="zh-CN" w:bidi="ar-SA"/>
        </w:rPr>
        <w:t>2023年</w:t>
      </w:r>
      <w:r>
        <w:rPr>
          <w:rFonts w:hint="eastAsia" w:ascii="仿宋" w:hAnsi="仿宋" w:eastAsia="仿宋" w:cs="仿宋"/>
          <w:i w:val="0"/>
          <w:iCs w:val="0"/>
          <w:caps w:val="0"/>
          <w:color w:val="auto"/>
          <w:spacing w:val="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牵头建设了全省首家低碳科普公园——景明低碳生活科普馆，巧妙地将垃圾分类融入其中。建成3个口袋公园，完成年度目标的100％；安装充电桩54枪，完成年度目标的200％；在沙鸥路、洞庭大道等地新建绿化8处，完成年度目标的100％；全面完成了柳林路、富民路和创业路的弱电入地；全面完成8条人行道的统一改造，建成绿色骑行道6200米；完成洞庭大道路灯节能一期改造共285盏。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还植入城市美学，在城区绿化带、弱电箱等多类市政设施中植入君山文化元素，打造麋鹿、候鸟等造型156组，绘制9条街道江豚形象等人文彩绘，</w:t>
      </w:r>
      <w:r>
        <w:rPr>
          <w:rFonts w:hint="eastAsia" w:ascii="仿宋" w:hAnsi="仿宋" w:eastAsia="仿宋" w:cs="仿宋"/>
          <w:kern w:val="2"/>
          <w:sz w:val="32"/>
          <w:szCs w:val="32"/>
          <w:highlight w:val="none"/>
          <w:lang w:val="en-US" w:eastAsia="zh-CN" w:bidi="ar-SA"/>
        </w:rPr>
        <w:t>让“候鸟的欢歌、麋鹿的倩影、江豚的微笑”共同打造岳阳生态名片。</w:t>
      </w:r>
    </w:p>
    <w:p>
      <w:pPr>
        <w:pStyle w:val="8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3" w:firstLineChars="200"/>
        <w:jc w:val="left"/>
        <w:textAlignment w:val="auto"/>
        <w:rPr>
          <w:rFonts w:hint="default" w:ascii="仿宋" w:hAnsi="仿宋" w:eastAsia="仿宋" w:cs="仿宋"/>
          <w:i w:val="0"/>
          <w:iCs w:val="0"/>
          <w:caps w:val="0"/>
          <w:color w:val="auto"/>
          <w:spacing w:val="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b/>
          <w:bCs/>
          <w:kern w:val="2"/>
          <w:sz w:val="32"/>
          <w:szCs w:val="32"/>
          <w:highlight w:val="none"/>
          <w:lang w:val="en-US" w:eastAsia="zh-CN" w:bidi="ar-SA"/>
        </w:rPr>
        <w:t>2、治理违停占道，道路清爽舒心。疏为先，</w:t>
      </w:r>
      <w:r>
        <w:rPr>
          <w:rFonts w:hint="eastAsia" w:ascii="仿宋" w:hAnsi="仿宋" w:eastAsia="仿宋" w:cs="仿宋"/>
          <w:i w:val="0"/>
          <w:iCs w:val="0"/>
          <w:caps w:val="0"/>
          <w:color w:val="auto"/>
          <w:spacing w:val="0"/>
          <w:sz w:val="32"/>
          <w:szCs w:val="32"/>
          <w:highlight w:val="none"/>
          <w:shd w:val="clear" w:color="auto" w:fill="FFFFFF"/>
          <w:lang w:val="en-US" w:eastAsia="zh-CN"/>
        </w:rPr>
        <w:t>结合我区道路实际情况，该建则建、应划尽划，新增停车位1576个，其中街道人行道新划车位</w:t>
      </w:r>
      <w:r>
        <w:rPr>
          <w:rFonts w:hint="eastAsia" w:ascii="仿宋" w:hAnsi="仿宋" w:eastAsia="仿宋" w:cs="仿宋"/>
          <w:color w:val="auto"/>
          <w:kern w:val="2"/>
          <w:sz w:val="32"/>
          <w:szCs w:val="32"/>
          <w:highlight w:val="none"/>
          <w:lang w:val="en-US" w:eastAsia="zh-CN" w:bidi="ar-SA"/>
        </w:rPr>
        <w:t>626</w:t>
      </w:r>
      <w:r>
        <w:rPr>
          <w:rFonts w:hint="eastAsia" w:ascii="仿宋" w:hAnsi="仿宋" w:eastAsia="仿宋" w:cs="仿宋"/>
          <w:i w:val="0"/>
          <w:iCs w:val="0"/>
          <w:caps w:val="0"/>
          <w:color w:val="auto"/>
          <w:spacing w:val="0"/>
          <w:sz w:val="32"/>
          <w:szCs w:val="32"/>
          <w:highlight w:val="none"/>
          <w:shd w:val="clear" w:color="auto" w:fill="FFFFFF"/>
          <w:lang w:val="en-US" w:eastAsia="zh-CN"/>
        </w:rPr>
        <w:t>个，利用君山大道等区域闲置空间新（改）建停车场11个，车位950个。</w:t>
      </w:r>
      <w:r>
        <w:rPr>
          <w:rFonts w:hint="eastAsia" w:ascii="仿宋" w:hAnsi="仿宋" w:eastAsia="仿宋" w:cs="仿宋"/>
          <w:b/>
          <w:bCs/>
          <w:kern w:val="2"/>
          <w:sz w:val="32"/>
          <w:szCs w:val="32"/>
          <w:highlight w:val="none"/>
          <w:lang w:val="en-US" w:eastAsia="zh-CN" w:bidi="ar-SA"/>
        </w:rPr>
        <w:t>堵为要，</w:t>
      </w:r>
      <w:r>
        <w:rPr>
          <w:rFonts w:hint="eastAsia" w:ascii="仿宋" w:hAnsi="仿宋" w:eastAsia="仿宋" w:cs="仿宋"/>
          <w:i w:val="0"/>
          <w:iCs w:val="0"/>
          <w:caps w:val="0"/>
          <w:color w:val="auto"/>
          <w:spacing w:val="0"/>
          <w:sz w:val="32"/>
          <w:szCs w:val="32"/>
          <w:highlight w:val="none"/>
          <w:shd w:val="clear" w:color="auto" w:fill="FFFFFF"/>
          <w:lang w:val="en-US" w:eastAsia="zh-CN"/>
        </w:rPr>
        <w:t>主动争取市交警支队和市城管局委托 ，赋予我局对人行道违停车辆的抄牌处罚权，10月12日已开出第一张罚单，</w:t>
      </w:r>
      <w:r>
        <w:rPr>
          <w:rFonts w:hint="eastAsia" w:ascii="仿宋" w:hAnsi="仿宋" w:eastAsia="仿宋" w:cs="仿宋"/>
          <w:color w:val="auto"/>
          <w:kern w:val="2"/>
          <w:sz w:val="32"/>
          <w:szCs w:val="32"/>
          <w:highlight w:val="none"/>
          <w:lang w:val="en-US" w:eastAsia="zh-CN" w:bidi="ar-SA"/>
        </w:rPr>
        <w:t>并且利用微信公众号等新媒体手段，对屡劝不改的违停车辆进行曝光，倒逼其依规停车。</w:t>
      </w:r>
    </w:p>
    <w:p>
      <w:pPr>
        <w:pStyle w:val="8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3" w:firstLineChars="200"/>
        <w:jc w:val="left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auto"/>
          <w:spacing w:val="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b/>
          <w:bCs/>
          <w:kern w:val="2"/>
          <w:sz w:val="32"/>
          <w:szCs w:val="32"/>
          <w:highlight w:val="none"/>
          <w:lang w:val="en-US" w:eastAsia="zh-CN" w:bidi="ar-SA"/>
        </w:rPr>
        <w:t>3、开启夜巡常态，扫除监管盲区。</w:t>
      </w:r>
      <w:r>
        <w:rPr>
          <w:rFonts w:hint="eastAsia" w:ascii="仿宋" w:hAnsi="仿宋" w:eastAsia="仿宋" w:cs="仿宋"/>
          <w:i w:val="0"/>
          <w:iCs w:val="0"/>
          <w:caps w:val="0"/>
          <w:color w:val="auto"/>
          <w:spacing w:val="0"/>
          <w:sz w:val="32"/>
          <w:szCs w:val="32"/>
          <w:highlight w:val="none"/>
          <w:shd w:val="clear" w:color="auto" w:fill="FFFFFF"/>
          <w:lang w:val="en-US" w:eastAsia="zh-CN"/>
        </w:rPr>
        <w:t>随着夜市秩序、油烟排放等夜间管理需求增加，我局采取“夜城管”交叉巡查+夜间扫撒模式，抓紧夜间保洁、渣土运输、油烟巡查、马路市场等各项夜间工作，特别是针对挂口市场占道经营等顽疾问题出重拳，通宵执勤劝导游摊游贩入市经营，24h全天保障市场秩序，下定决心取缔挂口马路市场。</w:t>
      </w:r>
    </w:p>
    <w:p>
      <w:pPr>
        <w:pStyle w:val="8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3" w:firstLineChars="200"/>
        <w:jc w:val="left"/>
        <w:textAlignment w:val="auto"/>
        <w:rPr>
          <w:rFonts w:hint="default" w:ascii="仿宋" w:hAnsi="仿宋" w:eastAsia="仿宋" w:cs="仿宋"/>
          <w:i w:val="0"/>
          <w:iCs w:val="0"/>
          <w:caps w:val="0"/>
          <w:color w:val="auto"/>
          <w:spacing w:val="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b/>
          <w:bCs/>
          <w:kern w:val="2"/>
          <w:sz w:val="32"/>
          <w:szCs w:val="32"/>
          <w:highlight w:val="none"/>
          <w:lang w:val="en-US" w:eastAsia="zh-CN" w:bidi="ar-SA"/>
        </w:rPr>
        <w:t>4、推动</w:t>
      </w:r>
      <w:r>
        <w:rPr>
          <w:rFonts w:hint="default" w:ascii="仿宋" w:hAnsi="仿宋" w:eastAsia="仿宋" w:cs="仿宋"/>
          <w:b/>
          <w:bCs/>
          <w:kern w:val="2"/>
          <w:sz w:val="32"/>
          <w:szCs w:val="32"/>
          <w:highlight w:val="none"/>
          <w:lang w:val="en-US" w:eastAsia="zh-CN" w:bidi="ar-SA"/>
        </w:rPr>
        <w:t>“</w:t>
      </w:r>
      <w:r>
        <w:rPr>
          <w:rFonts w:hint="eastAsia" w:ascii="仿宋" w:hAnsi="仿宋" w:eastAsia="仿宋" w:cs="仿宋"/>
          <w:b/>
          <w:bCs/>
          <w:kern w:val="2"/>
          <w:sz w:val="32"/>
          <w:szCs w:val="32"/>
          <w:highlight w:val="none"/>
          <w:lang w:val="en-US" w:eastAsia="zh-CN" w:bidi="ar-SA"/>
        </w:rPr>
        <w:t>燃</w:t>
      </w:r>
      <w:r>
        <w:rPr>
          <w:rFonts w:hint="default" w:ascii="仿宋" w:hAnsi="仿宋" w:eastAsia="仿宋" w:cs="仿宋"/>
          <w:b/>
          <w:bCs/>
          <w:kern w:val="2"/>
          <w:sz w:val="32"/>
          <w:szCs w:val="32"/>
          <w:highlight w:val="none"/>
          <w:lang w:val="en-US" w:eastAsia="zh-CN" w:bidi="ar-SA"/>
        </w:rPr>
        <w:t>气进村”，注入绿色动能。</w:t>
      </w:r>
      <w:r>
        <w:rPr>
          <w:rFonts w:hint="default" w:ascii="仿宋" w:hAnsi="仿宋" w:eastAsia="仿宋" w:cs="仿宋"/>
          <w:b/>
          <w:bCs/>
          <w:i w:val="0"/>
          <w:iCs w:val="0"/>
          <w:caps w:val="0"/>
          <w:color w:val="auto"/>
          <w:spacing w:val="0"/>
          <w:sz w:val="32"/>
          <w:szCs w:val="32"/>
          <w:highlight w:val="none"/>
          <w:shd w:val="clear" w:color="auto" w:fill="FFFFFF"/>
          <w:lang w:val="en-US" w:eastAsia="zh-CN"/>
        </w:rPr>
        <w:t>一是坚持统筹推进。</w:t>
      </w:r>
      <w:r>
        <w:rPr>
          <w:rFonts w:hint="default" w:ascii="仿宋" w:hAnsi="仿宋" w:eastAsia="仿宋" w:cs="仿宋"/>
          <w:i w:val="0"/>
          <w:iCs w:val="0"/>
          <w:caps w:val="0"/>
          <w:color w:val="auto"/>
          <w:spacing w:val="0"/>
          <w:sz w:val="32"/>
          <w:szCs w:val="32"/>
          <w:highlight w:val="none"/>
          <w:shd w:val="clear" w:color="auto" w:fill="FFFFFF"/>
          <w:lang w:val="en-US" w:eastAsia="zh-CN"/>
        </w:rPr>
        <w:t>强化与区住建局等部门衔接，拟定天然气入乡村工作方案，加大镇、村（社区）参与力度，统筹推进“气化乡村”项目落地。依托多个改造项目，采用由近及远、试点先行模式，推动新洲村、濠河村和洞庭春色小区实施液化气改天然气工程。</w:t>
      </w:r>
      <w:r>
        <w:rPr>
          <w:rFonts w:hint="default" w:ascii="仿宋" w:hAnsi="仿宋" w:eastAsia="仿宋" w:cs="仿宋"/>
          <w:b/>
          <w:bCs/>
          <w:i w:val="0"/>
          <w:iCs w:val="0"/>
          <w:caps w:val="0"/>
          <w:color w:val="auto"/>
          <w:spacing w:val="0"/>
          <w:sz w:val="32"/>
          <w:szCs w:val="32"/>
          <w:highlight w:val="none"/>
          <w:shd w:val="clear" w:color="auto" w:fill="FFFFFF"/>
          <w:lang w:val="en-US" w:eastAsia="zh-CN"/>
        </w:rPr>
        <w:t>二是强化资金保障。</w:t>
      </w:r>
      <w:r>
        <w:rPr>
          <w:rFonts w:hint="default" w:ascii="仿宋" w:hAnsi="仿宋" w:eastAsia="仿宋" w:cs="仿宋"/>
          <w:i w:val="0"/>
          <w:iCs w:val="0"/>
          <w:caps w:val="0"/>
          <w:color w:val="auto"/>
          <w:spacing w:val="0"/>
          <w:sz w:val="32"/>
          <w:szCs w:val="32"/>
          <w:highlight w:val="none"/>
          <w:shd w:val="clear" w:color="auto" w:fill="FFFFFF"/>
          <w:lang w:val="en-US" w:eastAsia="zh-CN"/>
        </w:rPr>
        <w:t>针对资金困难用户，采用先开工后付款、“自费+补贴”等帮扶方式，保障迅速开工。目前，新洲村美食街124户全部完成天然气入户安装工作。依托自来水项目同步推进，降低施工成本；依托老旧小区燃气改造项目，托底超额部分，保障意向用户全入户。目前，洞庭春色小区地管网全部安装到位。</w:t>
      </w:r>
      <w:r>
        <w:rPr>
          <w:rFonts w:hint="default" w:ascii="仿宋" w:hAnsi="仿宋" w:eastAsia="仿宋" w:cs="仿宋"/>
          <w:b/>
          <w:bCs/>
          <w:i w:val="0"/>
          <w:iCs w:val="0"/>
          <w:caps w:val="0"/>
          <w:color w:val="auto"/>
          <w:spacing w:val="0"/>
          <w:sz w:val="32"/>
          <w:szCs w:val="32"/>
          <w:highlight w:val="none"/>
          <w:shd w:val="clear" w:color="auto" w:fill="FFFFFF"/>
          <w:lang w:val="en-US" w:eastAsia="zh-CN"/>
        </w:rPr>
        <w:t>三是加强协调对接。</w:t>
      </w:r>
      <w:r>
        <w:rPr>
          <w:rFonts w:hint="default" w:ascii="仿宋" w:hAnsi="仿宋" w:eastAsia="仿宋" w:cs="仿宋"/>
          <w:i w:val="0"/>
          <w:iCs w:val="0"/>
          <w:caps w:val="0"/>
          <w:color w:val="auto"/>
          <w:spacing w:val="0"/>
          <w:sz w:val="32"/>
          <w:szCs w:val="32"/>
          <w:highlight w:val="none"/>
          <w:shd w:val="clear" w:color="auto" w:fill="FFFFFF"/>
          <w:lang w:val="en-US" w:eastAsia="zh-CN"/>
        </w:rPr>
        <w:t>压实企业主体责任，针对濠河村五一路、五二路用户房屋分散导致施工难度大的问题，积极对接岳阳长燃企业，开展攻坚克难行动，保障顺利入户。截至目前，濠河村五二路埋地中、低压主管网全部施工完成，正在进行入户架空管网安装；五一路主管网埋地工程正在施工中。</w:t>
      </w:r>
    </w:p>
    <w:p>
      <w:pPr>
        <w:pStyle w:val="8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七、存在的问题及原因分析</w:t>
      </w:r>
    </w:p>
    <w:p>
      <w:pPr>
        <w:widowControl w:val="0"/>
        <w:numPr>
          <w:ilvl w:val="0"/>
          <w:numId w:val="0"/>
        </w:numPr>
        <w:ind w:firstLine="640" w:firstLineChars="200"/>
        <w:jc w:val="both"/>
        <w:rPr>
          <w:rFonts w:hint="eastAsia" w:ascii="仿宋" w:hAnsi="仿宋" w:eastAsia="仿宋" w:cs="仿宋"/>
          <w:b w:val="0"/>
          <w:bCs w:val="0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highlight w:val="none"/>
          <w:lang w:val="en-US" w:eastAsia="zh-CN"/>
        </w:rPr>
        <w:t>预算项目与实际项目支出有差异。2023年，我局积极争取上级项目资金，先后开工建设了燃气管网项目、景明低碳生活科普馆项目等。这些项目的建设，导致我单位预算执行偏差较大，主要原因是：财政年初没有安排争资项目预算，但项目争取下来后又是必须实施的。</w:t>
      </w:r>
    </w:p>
    <w:p>
      <w:pPr>
        <w:keepNext w:val="0"/>
        <w:keepLines w:val="0"/>
        <w:pageBreakBefore w:val="0"/>
        <w:widowControl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下一步改进措施</w:t>
      </w:r>
    </w:p>
    <w:p>
      <w:pPr>
        <w:widowControl w:val="0"/>
        <w:numPr>
          <w:ilvl w:val="0"/>
          <w:numId w:val="0"/>
        </w:numPr>
        <w:ind w:firstLine="640" w:firstLineChars="200"/>
        <w:jc w:val="both"/>
        <w:rPr>
          <w:rFonts w:hint="default" w:ascii="仿宋" w:hAnsi="仿宋" w:eastAsia="仿宋" w:cs="仿宋"/>
          <w:b w:val="0"/>
          <w:bCs w:val="0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highlight w:val="none"/>
          <w:lang w:val="en-US" w:eastAsia="zh-CN"/>
        </w:rPr>
        <w:t>进一步健全和完善财务管理制度及内部控制制度，规范和约束机关财务行为和程序，积极探索在新形势下部门预算、国库集中支付等财政支出改革的特点，不断更新管理思路，在规范财务收支和控制经费增长上，创新管理手段，用新思路、新方法，改进完善财务管理方法。按照财政支出绩效管理的要求，建立科学的财政资金效益考评制度体系，牢固树立行政成本意识，不断提高财政资金使用管理的水平和效率。</w:t>
      </w:r>
    </w:p>
    <w:p>
      <w:pPr>
        <w:keepNext w:val="0"/>
        <w:keepLines w:val="0"/>
        <w:pageBreakBefore w:val="0"/>
        <w:widowControl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部门整体支出绩效自评结果拟应用和公开情况</w:t>
      </w:r>
    </w:p>
    <w:p>
      <w:pPr>
        <w:widowControl w:val="0"/>
        <w:numPr>
          <w:ilvl w:val="0"/>
          <w:numId w:val="0"/>
        </w:numPr>
        <w:ind w:firstLine="640" w:firstLineChars="200"/>
        <w:jc w:val="both"/>
        <w:rPr>
          <w:rFonts w:hint="default" w:eastAsia="仿宋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highlight w:val="none"/>
          <w:lang w:val="en-US" w:eastAsia="zh-CN"/>
        </w:rPr>
        <w:t>2023年部门整体支出绩效自评结果为优秀。2024年，我们的指导思路是，以党的二十大精神和习近平新时代中国特色社会主义思想为指导，紧紧围绕“三高四新”战略、“七个岳阳”建设和“一二三六”工作思路，继续致力于“树立一种理念，强化五种思维，实现‘三清两高’目标”，用绣花功夫打造干净、整齐、有序的环境，为建设公园城市、海绵城市和智慧城市烙下城管足迹，贡献城管力量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val="en-US" w:eastAsia="zh-CN"/>
        </w:rPr>
        <w:t>十、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其他需要说明的情况</w:t>
      </w:r>
    </w:p>
    <w:p>
      <w:pPr>
        <w:widowControl w:val="0"/>
        <w:numPr>
          <w:ilvl w:val="0"/>
          <w:numId w:val="0"/>
        </w:numPr>
        <w:ind w:firstLine="640" w:firstLineChars="200"/>
        <w:jc w:val="both"/>
        <w:rPr>
          <w:rFonts w:hint="eastAsia" w:ascii="仿宋" w:hAnsi="仿宋" w:eastAsia="仿宋" w:cs="仿宋"/>
          <w:b w:val="0"/>
          <w:bCs w:val="0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highlight w:val="none"/>
          <w:lang w:val="en-US" w:eastAsia="zh-CN"/>
        </w:rPr>
        <w:t>无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报告需要以下附件：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部门整体支出绩效评价基础数据表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部门整体支出绩效自评表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项目支出绩效自评表（一个一级项目支出一张表）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政府性基金预算支出情况表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5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国有资本经营预算支出情况表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6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社会保险基金预算支出情况表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both"/>
        <w:textAlignment w:val="auto"/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br w:type="page"/>
      </w: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5</w:t>
      </w:r>
    </w:p>
    <w:p>
      <w:pPr>
        <w:spacing w:before="120" w:beforeLines="50" w:after="120" w:afterLines="50"/>
        <w:jc w:val="center"/>
        <w:rPr>
          <w:rFonts w:hint="eastAsia" w:ascii="方正小标宋简体" w:hAnsi="方正小标宋简体" w:eastAsia="方正小标宋简体" w:cs="方正小标宋简体"/>
          <w:spacing w:val="-6"/>
          <w:sz w:val="36"/>
          <w:szCs w:val="36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部门整体支出</w:t>
      </w:r>
      <w:r>
        <w:rPr>
          <w:rFonts w:hint="eastAsia" w:ascii="方正小标宋简体" w:hAnsi="方正小标宋简体" w:eastAsia="方正小标宋简体" w:cs="方正小标宋简体"/>
          <w:spacing w:val="-6"/>
          <w:sz w:val="36"/>
          <w:szCs w:val="36"/>
          <w:highlight w:val="none"/>
        </w:rPr>
        <w:t>绩效自评工作考核评分表</w:t>
      </w:r>
    </w:p>
    <w:tbl>
      <w:tblPr>
        <w:tblStyle w:val="5"/>
        <w:tblW w:w="9941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5"/>
        <w:gridCol w:w="1174"/>
        <w:gridCol w:w="5000"/>
        <w:gridCol w:w="302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blHeader/>
          <w:jc w:val="center"/>
        </w:trPr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一级指标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二级指标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评分标准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所需佐证材料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布置工作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  <w:p>
            <w:pPr>
              <w:spacing w:line="300" w:lineRule="exact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10分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自评通知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（8分）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印发绩效自评通知的得2分，否则不得分。</w:t>
            </w:r>
          </w:p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按照本规程规定，绩效自评通知包括自评范围、自评主要依据、自评主要内容、自评程序和步骤、有关要求等内容，并附有本通知要求的附件的，得6分；否则缺1项扣1分，最多扣6分。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绩效自评通知盖章的电子版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工作小组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（2分）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成立绩效自评工作小组的得2分，否则不得分。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本部门、本单位预算绩效管理领导小组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20"/>
                <w:szCs w:val="20"/>
                <w:highlight w:val="none"/>
                <w:lang w:val="en-US" w:eastAsia="zh-CN"/>
              </w:rPr>
              <w:t>/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绩效评价工作小组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有关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20"/>
                <w:szCs w:val="20"/>
                <w:highlight w:val="none"/>
              </w:rPr>
              <w:t>文件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盖章的电子版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实施评价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20分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单位自查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市级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预算部门本级和所属单位都要开展绩效自查，转移支付项目单位都要开展绩效自查，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县、区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级主管部门都要汇总本区域转移支付情况；以上各项每发现一个单位没有做相应工作的，扣1分，最多扣10分。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5"/>
              </w:num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转移支付项目单位名称和资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金情况清单</w:t>
            </w:r>
          </w:p>
          <w:p>
            <w:pPr>
              <w:numPr>
                <w:ilvl w:val="0"/>
                <w:numId w:val="5"/>
              </w:num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有转移支付资金的各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县区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主管部门汇总情况的盖章PDF版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提交报告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802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按时向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市财政局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报送报告的得10分；每推迟一个工作日报送报告的扣1分，最多扣10分。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  <w:jc w:val="center"/>
        </w:trPr>
        <w:tc>
          <w:tcPr>
            <w:tcW w:w="74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自评报告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70分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完整性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（15分）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绩效自评报告正文部分内容齐全的，得8分；否则每少一个部分扣2分，最多扣8分。</w:t>
            </w:r>
          </w:p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绩效自评报告附件部分内容齐全的，得7分；否则每少一个部分扣2分，最多扣7分。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43" w:hRule="atLeast"/>
          <w:jc w:val="center"/>
        </w:trPr>
        <w:tc>
          <w:tcPr>
            <w:tcW w:w="7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自评表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（20分）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1、部门整体支出和项目支出绩效指标反映产出、效益、服务对象满意度方面的指标和预算执行率的权重符合《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岳阳市市级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预算部门绩效自评操作规程》要求的，得5分，否则按比例扣除相应的分数。</w:t>
            </w:r>
          </w:p>
          <w:p>
            <w:pPr>
              <w:spacing w:line="240" w:lineRule="auto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部门整体支出和项目支出绩效指标全部细化到三级指标的，得5分；部分细化的，酌情扣分；没有细化的，不得分。</w:t>
            </w:r>
          </w:p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3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部门整体支出和项目支出三级绩效指标内涵明确、具体、可衡量的得5分；突出核心指标，精简实用的得3分；指标与部门整体支出和项目支出密切相关，全面反映产出和效益的得2分；否则，每项酌情扣分，最多扣10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7" w:hRule="atLeast"/>
          <w:jc w:val="center"/>
        </w:trPr>
        <w:tc>
          <w:tcPr>
            <w:tcW w:w="7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highlight w:val="none"/>
              </w:rPr>
            </w:pPr>
          </w:p>
          <w:p>
            <w:pPr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反映问</w:t>
            </w:r>
          </w:p>
          <w:p>
            <w:pPr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题情况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（20分）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从预算和预算绩效管理，部门履职效能，资金分配、使用和管理，资产和财务管理，政府采购等方面归纳问题、分析原因全面的，得20分；反映问题、分析原因较全面的，得16—18分；反映问题、分析原因不全面的，得13—15分；问题未归纳且过于简单的，得10—12分；只提出资金不足问题的不得分；其他情况酌情扣分。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7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建议情况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（15分）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建议与问题对应且全面的得15分，建议比较全面的得12—14分，建议不全面的得9—11分，建议过于简单的得6—8分，只提出加大资金投入建议的不得分；其他情况酌情扣分。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合计</w:t>
            </w:r>
          </w:p>
        </w:tc>
        <w:tc>
          <w:tcPr>
            <w:tcW w:w="11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100分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　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Arial Unicode MS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_GBK">
    <w:altName w:val="Arial Unicode MS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FF1F81D"/>
    <w:multiLevelType w:val="singleLevel"/>
    <w:tmpl w:val="8FF1F81D"/>
    <w:lvl w:ilvl="0" w:tentative="0">
      <w:start w:val="8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9CF2C5A0"/>
    <w:multiLevelType w:val="singleLevel"/>
    <w:tmpl w:val="9CF2C5A0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abstractNum w:abstractNumId="2">
    <w:nsid w:val="CA4D40A1"/>
    <w:multiLevelType w:val="singleLevel"/>
    <w:tmpl w:val="CA4D40A1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abstractNum w:abstractNumId="3">
    <w:nsid w:val="5226A057"/>
    <w:multiLevelType w:val="singleLevel"/>
    <w:tmpl w:val="5226A057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4">
    <w:nsid w:val="5DDF8822"/>
    <w:multiLevelType w:val="singleLevel"/>
    <w:tmpl w:val="5DDF8822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RkZGJhYTY3MTAyYTY1MTk1MTg5OWM1MjcwNzU3NTkifQ=="/>
  </w:docVars>
  <w:rsids>
    <w:rsidRoot w:val="59886344"/>
    <w:rsid w:val="00C621A8"/>
    <w:rsid w:val="03753210"/>
    <w:rsid w:val="06242AEF"/>
    <w:rsid w:val="0739039A"/>
    <w:rsid w:val="089332B7"/>
    <w:rsid w:val="0A3B0FB3"/>
    <w:rsid w:val="0A7E1627"/>
    <w:rsid w:val="0AA96DC2"/>
    <w:rsid w:val="0B5C2086"/>
    <w:rsid w:val="0FDA1709"/>
    <w:rsid w:val="101B0188"/>
    <w:rsid w:val="118C60BB"/>
    <w:rsid w:val="11A57D91"/>
    <w:rsid w:val="11D936D4"/>
    <w:rsid w:val="11F201C9"/>
    <w:rsid w:val="126C5FFF"/>
    <w:rsid w:val="16846935"/>
    <w:rsid w:val="17535125"/>
    <w:rsid w:val="17DA660A"/>
    <w:rsid w:val="18716A45"/>
    <w:rsid w:val="19FC50E8"/>
    <w:rsid w:val="1B1A17DE"/>
    <w:rsid w:val="1BAE3E93"/>
    <w:rsid w:val="1C496C02"/>
    <w:rsid w:val="1C5C7993"/>
    <w:rsid w:val="1DAF294C"/>
    <w:rsid w:val="1FEB64B9"/>
    <w:rsid w:val="222776AE"/>
    <w:rsid w:val="22D66D30"/>
    <w:rsid w:val="2364046D"/>
    <w:rsid w:val="250F2633"/>
    <w:rsid w:val="263C68E5"/>
    <w:rsid w:val="28A41CA5"/>
    <w:rsid w:val="296C5733"/>
    <w:rsid w:val="2BF66F7F"/>
    <w:rsid w:val="2CF41CC7"/>
    <w:rsid w:val="315665E1"/>
    <w:rsid w:val="33AC2DB9"/>
    <w:rsid w:val="37B7401D"/>
    <w:rsid w:val="384A6972"/>
    <w:rsid w:val="39031B56"/>
    <w:rsid w:val="39C30775"/>
    <w:rsid w:val="39E44674"/>
    <w:rsid w:val="3A1C285D"/>
    <w:rsid w:val="3AB74974"/>
    <w:rsid w:val="3BE12CF6"/>
    <w:rsid w:val="3BEB698B"/>
    <w:rsid w:val="3F422D66"/>
    <w:rsid w:val="401905CE"/>
    <w:rsid w:val="40616F1D"/>
    <w:rsid w:val="46276812"/>
    <w:rsid w:val="48AE3D5B"/>
    <w:rsid w:val="49A1732A"/>
    <w:rsid w:val="4B7F0E9E"/>
    <w:rsid w:val="4CBB0C6A"/>
    <w:rsid w:val="4E375A60"/>
    <w:rsid w:val="4F1B712F"/>
    <w:rsid w:val="4FDF2EFE"/>
    <w:rsid w:val="5167040A"/>
    <w:rsid w:val="516C151A"/>
    <w:rsid w:val="517A6146"/>
    <w:rsid w:val="53AE2320"/>
    <w:rsid w:val="544762D1"/>
    <w:rsid w:val="54F63F7F"/>
    <w:rsid w:val="55D74427"/>
    <w:rsid w:val="59886344"/>
    <w:rsid w:val="5A20384C"/>
    <w:rsid w:val="5D766045"/>
    <w:rsid w:val="5FEA7FDC"/>
    <w:rsid w:val="62E1139D"/>
    <w:rsid w:val="699403F0"/>
    <w:rsid w:val="6A1F46CA"/>
    <w:rsid w:val="6B513865"/>
    <w:rsid w:val="6CED1CB3"/>
    <w:rsid w:val="6E1C4311"/>
    <w:rsid w:val="6E7002B0"/>
    <w:rsid w:val="70CF59BB"/>
    <w:rsid w:val="710F377F"/>
    <w:rsid w:val="728704B4"/>
    <w:rsid w:val="75B26883"/>
    <w:rsid w:val="76015597"/>
    <w:rsid w:val="763D362D"/>
    <w:rsid w:val="77977643"/>
    <w:rsid w:val="77BE743A"/>
    <w:rsid w:val="788C05D2"/>
    <w:rsid w:val="79CA08DE"/>
    <w:rsid w:val="79EB1329"/>
    <w:rsid w:val="7AEC159D"/>
    <w:rsid w:val="7D5B67C5"/>
    <w:rsid w:val="7DFD162B"/>
    <w:rsid w:val="7E503E50"/>
    <w:rsid w:val="7EA321D2"/>
    <w:rsid w:val="DFEF88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仿宋" w:hAnsi="仿宋" w:eastAsia="宋体" w:cs="Times New Roman"/>
      <w:kern w:val="0"/>
      <w:sz w:val="28"/>
      <w:szCs w:val="24"/>
      <w:lang w:val="en-US" w:eastAsia="zh-CN" w:bidi="ar-SA"/>
    </w:rPr>
  </w:style>
  <w:style w:type="character" w:default="1" w:styleId="6">
    <w:name w:val="Default Paragraph Font"/>
    <w:autoRedefine/>
    <w:semiHidden/>
    <w:qFormat/>
    <w:uiPriority w:val="0"/>
  </w:style>
  <w:style w:type="table" w:default="1" w:styleId="5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1"/>
    <w:autoRedefine/>
    <w:unhideWhenUsed/>
    <w:qFormat/>
    <w:uiPriority w:val="99"/>
    <w:pPr>
      <w:spacing w:before="100" w:beforeAutospacing="1" w:after="0"/>
      <w:ind w:left="0" w:firstLine="420" w:firstLineChars="200"/>
    </w:pPr>
    <w:rPr>
      <w:rFonts w:ascii="Calibri" w:hAnsi="Calibri"/>
    </w:rPr>
  </w:style>
  <w:style w:type="paragraph" w:styleId="3">
    <w:name w:val="Body Text Indent"/>
    <w:basedOn w:val="1"/>
    <w:next w:val="1"/>
    <w:autoRedefine/>
    <w:unhideWhenUsed/>
    <w:qFormat/>
    <w:uiPriority w:val="99"/>
    <w:pPr>
      <w:spacing w:after="120"/>
      <w:ind w:left="420" w:leftChars="200"/>
    </w:pPr>
    <w:rPr>
      <w:rFonts w:eastAsia="宋体" w:cs="Times New Roman"/>
    </w:rPr>
  </w:style>
  <w:style w:type="paragraph" w:styleId="4">
    <w:name w:val="Body Text"/>
    <w:basedOn w:val="1"/>
    <w:autoRedefine/>
    <w:semiHidden/>
    <w:qFormat/>
    <w:uiPriority w:val="0"/>
    <w:rPr>
      <w:rFonts w:ascii="仿宋" w:hAnsi="仿宋" w:eastAsia="仿宋" w:cs="仿宋"/>
      <w:sz w:val="31"/>
      <w:szCs w:val="31"/>
      <w:lang w:val="en-US" w:eastAsia="en-US" w:bidi="ar-SA"/>
    </w:rPr>
  </w:style>
  <w:style w:type="paragraph" w:customStyle="1" w:styleId="7">
    <w:name w:val="列出段落1"/>
    <w:basedOn w:val="1"/>
    <w:qFormat/>
    <w:uiPriority w:val="34"/>
    <w:pPr>
      <w:ind w:firstLine="420" w:firstLineChars="200"/>
    </w:pPr>
  </w:style>
  <w:style w:type="paragraph" w:styleId="8">
    <w:name w:val="List Paragraph"/>
    <w:basedOn w:val="1"/>
    <w:autoRedefine/>
    <w:qFormat/>
    <w:uiPriority w:val="99"/>
    <w:pPr>
      <w:ind w:firstLine="420" w:firstLineChars="200"/>
    </w:pPr>
    <w:rPr>
      <w:rFonts w:ascii="Calibri" w:hAnsi="Calibri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8</TotalTime>
  <ScaleCrop>false</ScaleCrop>
  <LinksUpToDate>false</LinksUpToDate>
  <CharactersWithSpaces>0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2024-03-18T08:36:00Z</dcterms:created>
  <dc:creator>Administrator</dc:creator>
  <cp:lastModifiedBy>岳阳市君山区城市管理和综合执法局</cp:lastModifiedBy>
  <cp:lastPrinted>2024-06-24T07:12:00Z</cp:lastPrinted>
  <dcterms:modified xsi:type="dcterms:W3CDTF">2024-06-28T01:12:07Z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6182D3A10D564617983F46DEE354AEAF</vt:lpwstr>
  </property>
</Properties>
</file>