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年度岳阳市君山区机关事务服务中心整体支出绩效自评报告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 xml:space="preserve"> 月</w:t>
      </w:r>
      <w:r>
        <w:rPr>
          <w:rFonts w:hint="eastAsia" w:ascii="Times New Roman" w:hAnsi="Times New Roman" w:eastAsia="楷体_GB2312" w:cs="Times New Roman"/>
          <w:sz w:val="32"/>
          <w:szCs w:val="32"/>
          <w:highlight w:val="none"/>
          <w:lang w:val="en-US" w:eastAsia="zh-CN"/>
        </w:rPr>
        <w:t>25</w:t>
      </w:r>
      <w:r>
        <w:rPr>
          <w:rFonts w:hint="default" w:ascii="Times New Roman" w:hAnsi="Times New Roman" w:eastAsia="楷体_GB2312" w:cs="Times New Roman"/>
          <w:sz w:val="32"/>
          <w:szCs w:val="32"/>
          <w:highlight w:val="none"/>
        </w:rPr>
        <w:t>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岳阳市君山区机关事务服务中心</w:t>
      </w:r>
      <w:r>
        <w:rPr>
          <w:rFonts w:hint="eastAsia" w:ascii="方正小标宋简体" w:hAnsi="方正小标宋简体" w:eastAsia="方正小标宋简体" w:cs="方正小标宋简体"/>
          <w:sz w:val="44"/>
          <w:szCs w:val="44"/>
          <w:highlight w:val="none"/>
        </w:rPr>
        <w:t>整体支出绩效自评报告</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　</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　一、部门（单位）</w:t>
      </w:r>
      <w:r>
        <w:rPr>
          <w:rFonts w:hint="default" w:ascii="Times New Roman" w:hAnsi="Times New Roman" w:eastAsia="黑体" w:cs="Times New Roman"/>
          <w:sz w:val="32"/>
          <w:szCs w:val="32"/>
          <w:highlight w:val="none"/>
        </w:rPr>
        <w:t>基本情况</w:t>
      </w:r>
    </w:p>
    <w:p>
      <w:pPr>
        <w:keepNext w:val="0"/>
        <w:keepLines w:val="0"/>
        <w:pageBreakBefore w:val="0"/>
        <w:numPr>
          <w:ilvl w:val="0"/>
          <w:numId w:val="0"/>
        </w:numPr>
        <w:kinsoku/>
        <w:wordWrap/>
        <w:overflowPunct/>
        <w:topLinePunct w:val="0"/>
        <w:autoSpaceDE/>
        <w:autoSpaceDN/>
        <w:bidi w:val="0"/>
        <w:adjustRightInd/>
        <w:snapToGrid/>
        <w:spacing w:line="640" w:lineRule="exact"/>
        <w:jc w:val="both"/>
        <w:textAlignment w:val="auto"/>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黑体" w:cs="Times New Roman"/>
          <w:sz w:val="32"/>
          <w:szCs w:val="32"/>
          <w:highlight w:val="none"/>
          <w:lang w:eastAsia="zh-CN"/>
        </w:rPr>
        <w:t>　</w:t>
      </w:r>
      <w:r>
        <w:rPr>
          <w:rFonts w:hint="eastAsia" w:ascii="Times New Roman" w:hAnsi="Times New Roman" w:eastAsia="楷体_GB2312" w:cs="Times New Roman"/>
          <w:b/>
          <w:kern w:val="0"/>
          <w:sz w:val="32"/>
          <w:szCs w:val="32"/>
          <w:highlight w:val="none"/>
          <w:lang w:val="en-US" w:eastAsia="zh-CN" w:bidi="ar-SA"/>
        </w:rPr>
        <w:t>（一）单位基本情况</w:t>
      </w:r>
    </w:p>
    <w:p>
      <w:pPr>
        <w:widowControl/>
        <w:spacing w:line="600" w:lineRule="exact"/>
        <w:ind w:firstLine="640" w:firstLineChars="200"/>
        <w:jc w:val="left"/>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岳阳市君山区机关事务服务中心（以下简称机关事务服务中心）</w:t>
      </w:r>
      <w:r>
        <w:rPr>
          <w:rFonts w:hint="eastAsia" w:ascii="Times New Roman" w:hAnsi="Times New Roman" w:eastAsia="仿宋_GB2312" w:cs="Times New Roman"/>
          <w:color w:val="000000"/>
          <w:sz w:val="32"/>
          <w:szCs w:val="32"/>
          <w:highlight w:val="none"/>
          <w:lang w:eastAsia="zh-CN"/>
        </w:rPr>
        <w:t>其职能职责为</w:t>
      </w:r>
      <w:r>
        <w:rPr>
          <w:rFonts w:hint="default" w:ascii="Times New Roman" w:hAnsi="Times New Roman" w:eastAsia="仿宋_GB2312" w:cs="Times New Roman"/>
          <w:color w:val="000000"/>
          <w:sz w:val="32"/>
          <w:szCs w:val="32"/>
          <w:highlight w:val="none"/>
        </w:rPr>
        <w:t>：</w:t>
      </w:r>
    </w:p>
    <w:p>
      <w:pPr>
        <w:widowControl/>
        <w:numPr>
          <w:ilvl w:val="0"/>
          <w:numId w:val="1"/>
        </w:numPr>
        <w:spacing w:line="600" w:lineRule="exact"/>
        <w:ind w:left="188" w:leftChars="67" w:firstLine="480" w:firstLineChars="150"/>
        <w:jc w:val="left"/>
        <w:rPr>
          <w:rFonts w:hint="eastAsia" w:eastAsia="仿宋_GB2312"/>
          <w:sz w:val="32"/>
          <w:szCs w:val="32"/>
        </w:rPr>
      </w:pPr>
      <w:r>
        <w:rPr>
          <w:rFonts w:hint="eastAsia" w:eastAsia="仿宋_GB2312"/>
          <w:sz w:val="32"/>
          <w:szCs w:val="32"/>
        </w:rPr>
        <w:t>负责按规定做好来区重要客人接待工作；并指导区直各单位、镇(街道)场的党政机关公务接待工作；</w:t>
      </w:r>
    </w:p>
    <w:p>
      <w:pPr>
        <w:widowControl/>
        <w:numPr>
          <w:ilvl w:val="0"/>
          <w:numId w:val="1"/>
        </w:numPr>
        <w:spacing w:line="600" w:lineRule="exact"/>
        <w:ind w:left="188" w:leftChars="67" w:firstLine="480" w:firstLineChars="150"/>
        <w:jc w:val="left"/>
        <w:rPr>
          <w:rFonts w:hint="eastAsia" w:eastAsia="仿宋_GB2312"/>
          <w:sz w:val="32"/>
          <w:szCs w:val="32"/>
        </w:rPr>
      </w:pPr>
      <w:r>
        <w:rPr>
          <w:rFonts w:hint="eastAsia" w:eastAsia="仿宋_GB2312"/>
          <w:sz w:val="32"/>
          <w:szCs w:val="32"/>
        </w:rPr>
        <w:t>负责做好区委、区人大、区政府、区政协机关和区直部门的国有资产规范化管理；</w:t>
      </w:r>
    </w:p>
    <w:p>
      <w:pPr>
        <w:widowControl/>
        <w:numPr>
          <w:ilvl w:val="0"/>
          <w:numId w:val="1"/>
        </w:numPr>
        <w:spacing w:line="600" w:lineRule="exact"/>
        <w:ind w:left="188" w:leftChars="67" w:firstLine="480" w:firstLineChars="150"/>
        <w:jc w:val="left"/>
        <w:rPr>
          <w:rFonts w:hint="eastAsia" w:eastAsia="仿宋_GB2312"/>
          <w:sz w:val="32"/>
          <w:szCs w:val="32"/>
        </w:rPr>
      </w:pPr>
      <w:r>
        <w:rPr>
          <w:rFonts w:hint="eastAsia" w:eastAsia="仿宋_GB2312"/>
          <w:sz w:val="32"/>
          <w:szCs w:val="32"/>
        </w:rPr>
        <w:t>负责全区公共机构节能、办公用房监督管理工作；</w:t>
      </w:r>
    </w:p>
    <w:p>
      <w:pPr>
        <w:widowControl/>
        <w:numPr>
          <w:ilvl w:val="0"/>
          <w:numId w:val="0"/>
        </w:numPr>
        <w:spacing w:line="600" w:lineRule="exact"/>
        <w:ind w:firstLine="640" w:firstLineChars="200"/>
        <w:jc w:val="left"/>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负责全区行政单位公务用车的购置、更新、维修、调配、使用等管理工作；</w:t>
      </w:r>
    </w:p>
    <w:p>
      <w:pPr>
        <w:widowControl/>
        <w:numPr>
          <w:ilvl w:val="0"/>
          <w:numId w:val="0"/>
        </w:numPr>
        <w:spacing w:line="600" w:lineRule="exact"/>
        <w:ind w:firstLine="640" w:firstLineChars="200"/>
        <w:jc w:val="left"/>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负责做好区委、区人大、区政府、区政协会务保障，机关后勤保障服务和物业管理工作，机关食堂和人大政协食堂的运转保障。</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321" w:firstLineChars="100"/>
        <w:jc w:val="both"/>
        <w:textAlignment w:val="auto"/>
        <w:rPr>
          <w:rFonts w:hint="eastAsia" w:ascii="Times New Roman" w:hAnsi="Times New Roman" w:eastAsia="楷体_GB2312" w:cs="Times New Roman"/>
          <w:b/>
          <w:sz w:val="32"/>
          <w:szCs w:val="32"/>
          <w:highlight w:val="none"/>
          <w:lang w:eastAsia="zh-CN"/>
        </w:rPr>
      </w:pPr>
      <w:r>
        <w:rPr>
          <w:rFonts w:hint="eastAsia" w:ascii="Times New Roman" w:hAnsi="Times New Roman" w:eastAsia="楷体_GB2312" w:cs="Times New Roman"/>
          <w:b/>
          <w:sz w:val="32"/>
          <w:szCs w:val="32"/>
          <w:highlight w:val="none"/>
          <w:lang w:eastAsia="zh-CN"/>
        </w:rPr>
        <w:t>　（二）机构设置与人员情况</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eastAsia="楷体_GB2312"/>
          <w:b/>
          <w:sz w:val="32"/>
          <w:szCs w:val="32"/>
          <w:highlight w:val="none"/>
        </w:rPr>
      </w:pPr>
      <w:r>
        <w:rPr>
          <w:rFonts w:hint="eastAsia" w:ascii="仿宋_GB2312" w:hAnsi="仿宋_GB2312" w:eastAsia="仿宋_GB2312" w:cs="仿宋_GB2312"/>
          <w:kern w:val="2"/>
          <w:sz w:val="32"/>
          <w:szCs w:val="32"/>
          <w:lang w:val="en-US" w:eastAsia="zh-CN" w:bidi="ar-SA"/>
        </w:rPr>
        <w:t>机关事务服务中心</w:t>
      </w:r>
      <w:r>
        <w:rPr>
          <w:rFonts w:hint="eastAsia" w:eastAsia="仿宋_GB2312"/>
          <w:sz w:val="32"/>
          <w:szCs w:val="32"/>
        </w:rPr>
        <w:t>内设办公室、财务股、接待股、公共机构节能股、资产股、公务用车股、后勤服务中心7个机构</w:t>
      </w:r>
      <w:r>
        <w:rPr>
          <w:rFonts w:hint="eastAsia" w:ascii="仿宋" w:hAnsi="仿宋" w:eastAsia="仿宋" w:cs="仿宋_GB2312"/>
          <w:sz w:val="32"/>
          <w:szCs w:val="32"/>
        </w:rPr>
        <w:t>。</w:t>
      </w:r>
    </w:p>
    <w:p>
      <w:pPr>
        <w:widowControl/>
        <w:spacing w:before="120" w:beforeLines="50" w:line="360" w:lineRule="auto"/>
        <w:ind w:left="378" w:leftChars="135" w:firstLine="640" w:firstLineChars="200"/>
        <w:jc w:val="left"/>
        <w:rPr>
          <w:rFonts w:hint="eastAsia" w:ascii="Times New Roman" w:hAnsi="Times New Roman" w:eastAsia="仿宋_GB2312" w:cs="Times New Roman"/>
          <w:color w:val="000000"/>
          <w:kern w:val="0"/>
          <w:sz w:val="32"/>
          <w:szCs w:val="32"/>
          <w:highlight w:val="none"/>
          <w:lang w:val="en-US" w:eastAsia="zh-CN" w:bidi="ar-SA"/>
        </w:rPr>
      </w:pPr>
      <w:r>
        <w:rPr>
          <w:rFonts w:hint="eastAsia" w:ascii="Times New Roman" w:hAnsi="Times New Roman" w:eastAsia="仿宋_GB2312" w:cs="Times New Roman"/>
          <w:color w:val="000000"/>
          <w:kern w:val="0"/>
          <w:sz w:val="32"/>
          <w:szCs w:val="32"/>
          <w:highlight w:val="none"/>
          <w:lang w:val="en-US" w:eastAsia="zh-CN" w:bidi="ar-SA"/>
        </w:rPr>
        <w:t>2023</w:t>
      </w:r>
      <w:r>
        <w:rPr>
          <w:rFonts w:hint="default" w:ascii="Times New Roman" w:hAnsi="Times New Roman" w:eastAsia="仿宋_GB2312" w:cs="Times New Roman"/>
          <w:color w:val="000000"/>
          <w:kern w:val="0"/>
          <w:sz w:val="32"/>
          <w:szCs w:val="32"/>
          <w:highlight w:val="none"/>
          <w:lang w:val="en-US" w:eastAsia="zh-CN" w:bidi="ar-SA"/>
        </w:rPr>
        <w:t>年末</w:t>
      </w:r>
      <w:r>
        <w:rPr>
          <w:rFonts w:hint="eastAsia" w:eastAsia="仿宋_GB2312"/>
          <w:sz w:val="32"/>
          <w:szCs w:val="32"/>
          <w:lang w:val="en-US" w:eastAsia="zh-CN"/>
        </w:rPr>
        <w:t>共有</w:t>
      </w:r>
      <w:r>
        <w:rPr>
          <w:rFonts w:hint="eastAsia" w:eastAsia="仿宋_GB2312"/>
          <w:sz w:val="32"/>
          <w:szCs w:val="32"/>
        </w:rPr>
        <w:t>79人，在编在岗15人，劳务派遣37人，原招待所未退休人数11人，原招待所事业退休人数16人。</w:t>
      </w:r>
    </w:p>
    <w:p>
      <w:pPr>
        <w:pStyle w:val="12"/>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eastAsia"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单位绩效目标</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jc w:val="both"/>
        <w:textAlignment w:val="auto"/>
        <w:rPr>
          <w:rFonts w:hint="eastAsia" w:ascii="仿宋_GB2312" w:hAnsi="仿宋_GB2312" w:eastAsia="仿宋_GB2312" w:cs="仿宋_GB2312"/>
          <w:kern w:val="2"/>
          <w:sz w:val="32"/>
          <w:szCs w:val="32"/>
          <w:lang w:val="en-US" w:eastAsia="zh-CN" w:bidi="ar-SA"/>
        </w:rPr>
      </w:pPr>
      <w:r>
        <w:rPr>
          <w:rFonts w:hint="eastAsia" w:ascii="仿宋" w:hAnsi="仿宋" w:eastAsia="仿宋_GB2312" w:cs="Times New Roman"/>
          <w:kern w:val="0"/>
          <w:sz w:val="32"/>
          <w:szCs w:val="32"/>
          <w:lang w:val="en-US" w:eastAsia="zh-CN" w:bidi="ar-SA"/>
        </w:rPr>
        <w:t>整体支出绩效目标：积极推行预算绩效管理，强化对资金使用情况的预算约束和监管。全</w:t>
      </w:r>
      <w:r>
        <w:rPr>
          <w:rFonts w:hint="eastAsia" w:ascii="仿宋_GB2312" w:hAnsi="仿宋_GB2312" w:eastAsia="仿宋_GB2312" w:cs="仿宋_GB2312"/>
          <w:kern w:val="2"/>
          <w:sz w:val="32"/>
          <w:szCs w:val="32"/>
          <w:lang w:val="en-US" w:eastAsia="zh-CN" w:bidi="ar-SA"/>
        </w:rPr>
        <w:t>年围绕职能职责，接待工作服务热情，公务用车改革规范，公共机构节能降耗有突破，后勤服务精细节约，圆满完成了各项工作，服务了君山区经济社会发展，提高了财政资金的作用效能，促进了管理效能的大力提升。　</w:t>
      </w:r>
    </w:p>
    <w:p>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2"/>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项目支出绩效目标：做好公务接待，加强办公用房的的检查、管理，增加垃圾分类检查次数，改善人居环境整治。</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kern w:val="2"/>
          <w:sz w:val="32"/>
          <w:szCs w:val="32"/>
          <w:lang w:val="en-US" w:eastAsia="zh-CN" w:bidi="ar-SA"/>
        </w:rPr>
        <w:t>机关事务服务中心2023年</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预算资金2885.10</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1436.55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项目支出1448.55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。全年实际支出2885.10</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其中：</w:t>
      </w:r>
      <w:r>
        <w:rPr>
          <w:rFonts w:hint="default" w:ascii="仿宋_GB2312" w:hAnsi="仿宋_GB2312" w:eastAsia="仿宋_GB2312" w:cs="仿宋_GB2312"/>
          <w:kern w:val="2"/>
          <w:sz w:val="32"/>
          <w:szCs w:val="32"/>
          <w:lang w:val="en-US" w:eastAsia="zh-CN" w:bidi="ar-SA"/>
        </w:rPr>
        <w:t>基本支出</w:t>
      </w:r>
      <w:r>
        <w:rPr>
          <w:rFonts w:hint="eastAsia" w:ascii="仿宋_GB2312" w:hAnsi="仿宋_GB2312" w:eastAsia="仿宋_GB2312" w:cs="仿宋_GB2312"/>
          <w:kern w:val="2"/>
          <w:sz w:val="32"/>
          <w:szCs w:val="32"/>
          <w:lang w:val="en-US" w:eastAsia="zh-CN" w:bidi="ar-SA"/>
        </w:rPr>
        <w:t>1436.55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项目支出1448.55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。预算执行率100%。</w:t>
      </w:r>
    </w:p>
    <w:p>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机关事务服务中心2023年</w:t>
      </w:r>
      <w:r>
        <w:rPr>
          <w:rFonts w:hint="default" w:ascii="仿宋_GB2312" w:hAnsi="仿宋_GB2312" w:eastAsia="仿宋_GB2312" w:cs="仿宋_GB2312"/>
          <w:kern w:val="2"/>
          <w:sz w:val="32"/>
          <w:szCs w:val="32"/>
          <w:lang w:val="en-US" w:eastAsia="zh-CN" w:bidi="ar-SA"/>
        </w:rPr>
        <w:t>全年基本支出</w:t>
      </w:r>
      <w:r>
        <w:rPr>
          <w:rFonts w:hint="eastAsia" w:ascii="仿宋_GB2312" w:hAnsi="仿宋_GB2312" w:eastAsia="仿宋_GB2312" w:cs="仿宋_GB2312"/>
          <w:kern w:val="2"/>
          <w:sz w:val="32"/>
          <w:szCs w:val="32"/>
          <w:lang w:val="en-US" w:eastAsia="zh-CN" w:bidi="ar-SA"/>
        </w:rPr>
        <w:t>1436.55</w:t>
      </w:r>
      <w:r>
        <w:rPr>
          <w:rFonts w:hint="default" w:ascii="仿宋_GB2312" w:hAnsi="仿宋_GB2312" w:eastAsia="仿宋_GB2312" w:cs="仿宋_GB2312"/>
          <w:kern w:val="2"/>
          <w:sz w:val="32"/>
          <w:szCs w:val="32"/>
          <w:lang w:val="en-US" w:eastAsia="zh-CN" w:bidi="ar-SA"/>
        </w:rPr>
        <w:t>万元，其中人员经费</w:t>
      </w:r>
      <w:r>
        <w:rPr>
          <w:rFonts w:hint="eastAsia" w:ascii="仿宋_GB2312" w:hAnsi="仿宋_GB2312" w:eastAsia="仿宋_GB2312" w:cs="仿宋_GB2312"/>
          <w:kern w:val="2"/>
          <w:sz w:val="32"/>
          <w:szCs w:val="32"/>
          <w:lang w:val="en-US" w:eastAsia="zh-CN" w:bidi="ar-SA"/>
        </w:rPr>
        <w:t>1396.32</w:t>
      </w:r>
      <w:r>
        <w:rPr>
          <w:rFonts w:hint="default" w:ascii="仿宋_GB2312" w:hAnsi="仿宋_GB2312" w:eastAsia="仿宋_GB2312" w:cs="仿宋_GB2312"/>
          <w:kern w:val="2"/>
          <w:sz w:val="32"/>
          <w:szCs w:val="32"/>
          <w:lang w:val="en-US" w:eastAsia="zh-CN" w:bidi="ar-SA"/>
        </w:rPr>
        <w:t>万元，公用经费</w:t>
      </w:r>
      <w:r>
        <w:rPr>
          <w:rFonts w:hint="eastAsia" w:ascii="仿宋_GB2312" w:hAnsi="仿宋_GB2312" w:eastAsia="仿宋_GB2312" w:cs="仿宋_GB2312"/>
          <w:kern w:val="2"/>
          <w:sz w:val="32"/>
          <w:szCs w:val="32"/>
          <w:highlight w:val="none"/>
          <w:lang w:val="en-US" w:eastAsia="zh-CN" w:bidi="ar-SA"/>
        </w:rPr>
        <w:t>40.23</w:t>
      </w:r>
      <w:r>
        <w:rPr>
          <w:rFonts w:hint="default" w:ascii="仿宋_GB2312" w:hAnsi="仿宋_GB2312" w:eastAsia="仿宋_GB2312" w:cs="仿宋_GB2312"/>
          <w:kern w:val="2"/>
          <w:sz w:val="32"/>
          <w:szCs w:val="32"/>
          <w:lang w:val="en-US" w:eastAsia="zh-CN" w:bidi="ar-SA"/>
        </w:rPr>
        <w:t>万元。</w:t>
      </w:r>
    </w:p>
    <w:p>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2"/>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机关事务服务中心</w:t>
      </w:r>
      <w:r>
        <w:rPr>
          <w:rFonts w:hint="default" w:ascii="仿宋_GB2312" w:hAnsi="仿宋_GB2312" w:eastAsia="仿宋_GB2312" w:cs="仿宋_GB2312"/>
          <w:kern w:val="2"/>
          <w:sz w:val="32"/>
          <w:szCs w:val="32"/>
          <w:lang w:val="en-US" w:eastAsia="zh-CN" w:bidi="ar-SA"/>
        </w:rPr>
        <w:t>全年</w:t>
      </w:r>
      <w:r>
        <w:rPr>
          <w:rFonts w:hint="eastAsia" w:ascii="仿宋_GB2312" w:hAnsi="仿宋_GB2312" w:eastAsia="仿宋_GB2312" w:cs="仿宋_GB2312"/>
          <w:kern w:val="2"/>
          <w:sz w:val="32"/>
          <w:szCs w:val="32"/>
          <w:lang w:val="en-US" w:eastAsia="zh-CN" w:bidi="ar-SA"/>
        </w:rPr>
        <w:t>项目支出1448.55</w:t>
      </w:r>
      <w:r>
        <w:rPr>
          <w:rFonts w:hint="default"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，主要是本部门为完成特定工作任务或事业发展目标而发生的支出，包括有关事业发展专项、专项业务费、基本建设支出等，含疫情防控专项、机关事务专项等项目支出。</w:t>
      </w:r>
    </w:p>
    <w:p>
      <w:pPr>
        <w:pStyle w:val="12"/>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机关事务服务中心无此项支出。</w:t>
      </w:r>
    </w:p>
    <w:p>
      <w:pPr>
        <w:pStyle w:val="12"/>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机关事务服务中心无此项支出。</w:t>
      </w:r>
    </w:p>
    <w:p>
      <w:pPr>
        <w:pStyle w:val="12"/>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12"/>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kern w:val="2"/>
          <w:sz w:val="32"/>
          <w:szCs w:val="32"/>
          <w:lang w:val="en-US" w:eastAsia="zh-CN" w:bidi="ar-SA"/>
        </w:rPr>
        <w:t>机关事务服务中心无此项支出。</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机关事务服务中心</w:t>
      </w:r>
      <w:r>
        <w:rPr>
          <w:rFonts w:hint="eastAsia" w:ascii="Times New Roman" w:hAnsi="Times New Roman" w:eastAsia="仿宋_GB2312" w:cs="Times New Roman"/>
          <w:color w:val="000000"/>
          <w:sz w:val="32"/>
          <w:szCs w:val="32"/>
          <w:highlight w:val="none"/>
          <w:lang w:eastAsia="zh-CN"/>
        </w:rPr>
        <w:t>严格执行预算，</w:t>
      </w:r>
      <w:r>
        <w:rPr>
          <w:rFonts w:hint="default" w:ascii="Times New Roman" w:hAnsi="Times New Roman" w:eastAsia="仿宋_GB2312" w:cs="Times New Roman"/>
          <w:color w:val="000000"/>
          <w:sz w:val="32"/>
          <w:szCs w:val="32"/>
          <w:highlight w:val="none"/>
        </w:rPr>
        <w:t>财务管理规范，各项工作任务全面完成，单位行政运行稳定有序</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部门整体支出绩效自评得分99</w:t>
      </w:r>
      <w:bookmarkStart w:id="0" w:name="_GoBack"/>
      <w:bookmarkEnd w:id="0"/>
      <w:r>
        <w:rPr>
          <w:rFonts w:hint="eastAsia" w:ascii="仿宋_GB2312" w:hAnsi="仿宋_GB2312" w:eastAsia="仿宋_GB2312" w:cs="仿宋_GB2312"/>
          <w:kern w:val="2"/>
          <w:sz w:val="32"/>
          <w:szCs w:val="32"/>
          <w:lang w:val="en-US" w:eastAsia="zh-CN" w:bidi="ar-SA"/>
        </w:rPr>
        <w:t>分。</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仿宋_GB2312" w:hAnsi="仿宋_GB2312" w:eastAsia="仿宋_GB2312" w:cs="仿宋_GB2312"/>
          <w:kern w:val="2"/>
          <w:sz w:val="32"/>
          <w:szCs w:val="32"/>
          <w:lang w:val="en-US" w:eastAsia="zh-CN" w:bidi="ar-SA"/>
        </w:rPr>
        <w:t>预算财务管理方面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机关事务服务中心</w:t>
      </w:r>
      <w:r>
        <w:rPr>
          <w:rFonts w:hint="default" w:ascii="Times New Roman" w:hAnsi="Times New Roman" w:eastAsia="仿宋_GB2312" w:cs="Times New Roman"/>
          <w:color w:val="000000"/>
          <w:sz w:val="32"/>
          <w:szCs w:val="32"/>
          <w:highlight w:val="none"/>
        </w:rPr>
        <w:t>严格遵守各项规章制度，严格执行经费审批制度、报销程序，加强了经费支出的监督管理；坚持经费预算科学化、精细化，执行控制规范化、责任化，监督检查常态化、同步化；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仿宋_GB2312" w:hAnsi="仿宋_GB2312" w:eastAsia="仿宋_GB2312" w:cs="仿宋_GB2312"/>
          <w:kern w:val="44"/>
          <w:sz w:val="32"/>
          <w:szCs w:val="32"/>
          <w:lang w:val="en-US" w:eastAsia="zh-CN" w:bidi="ar"/>
        </w:rPr>
        <w:t>（二）履职产出效益方面</w:t>
      </w:r>
    </w:p>
    <w:p>
      <w:pPr>
        <w:pStyle w:val="12"/>
        <w:keepNext w:val="0"/>
        <w:keepLines w:val="0"/>
        <w:pageBreakBefore w:val="0"/>
        <w:widowControl/>
        <w:kinsoku/>
        <w:wordWrap/>
        <w:overflowPunct/>
        <w:topLinePunct w:val="0"/>
        <w:autoSpaceDE/>
        <w:autoSpaceDN/>
        <w:bidi w:val="0"/>
        <w:adjustRightInd/>
        <w:snapToGrid/>
        <w:spacing w:line="640" w:lineRule="exact"/>
        <w:ind w:left="0" w:leftChars="0" w:firstLine="640" w:firstLineChars="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eastAsia="zh-CN"/>
        </w:rPr>
        <w:t>，</w:t>
      </w:r>
      <w:r>
        <w:rPr>
          <w:rFonts w:hint="eastAsia" w:ascii="仿宋_GB2312" w:hAnsi="仿宋_GB2312" w:eastAsia="仿宋_GB2312" w:cs="仿宋_GB2312"/>
          <w:kern w:val="2"/>
          <w:sz w:val="32"/>
          <w:szCs w:val="32"/>
          <w:lang w:val="en-US" w:eastAsia="zh-CN" w:bidi="ar-SA"/>
        </w:rPr>
        <w:t>机关事务服务中心</w:t>
      </w:r>
      <w:r>
        <w:rPr>
          <w:rFonts w:hint="default" w:ascii="Times New Roman" w:hAnsi="Times New Roman" w:eastAsia="仿宋_GB2312" w:cs="Times New Roman"/>
          <w:color w:val="000000"/>
          <w:sz w:val="32"/>
          <w:szCs w:val="32"/>
          <w:highlight w:val="none"/>
        </w:rPr>
        <w:t>认真履行</w:t>
      </w:r>
      <w:r>
        <w:rPr>
          <w:rFonts w:hint="eastAsia" w:ascii="Times New Roman" w:hAnsi="Times New Roman" w:eastAsia="仿宋_GB2312" w:cs="Times New Roman"/>
          <w:color w:val="000000"/>
          <w:sz w:val="32"/>
          <w:szCs w:val="32"/>
          <w:highlight w:val="none"/>
          <w:lang w:eastAsia="zh-CN"/>
        </w:rPr>
        <w:t>部门职责</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履职情况如下：</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资产管理提效能。降本增效建立“实体仓”和“虚拟仓”管理，实行线上线下双向发力，最大限度发挥公物仓整合共享资源作用，目前共归集资产3084件（实体仓归集1832件、虚拟仓归集1252件），涵盖15个资产类别，价值约330余万元；累计为财政节约资金600余万元。全面建设办公用房管理系统，对全区85处办公用房实行数字化管理。进一步规范了党政机关办公用房管理，全年开展办公用房巡检2次，下达整改通知书12份，封存超标准使用办公用房42间，调剂部门使用办公用房6批次19间，对区人社局、 医保局等16家部门单位办公用房维修项目进行了集中统一评审，按照过紧日子的要求精简预算，节约财政资金29万元；加大对行政事业单位闲置资产盘活处置力度，处置资产6批次4531.69万元，完成税收收入2419.39万元。</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节能降碳有亮点。我们始终牢记习总书记“守护好一江碧水”殷切嘱托，紧紧围绕习总书记提出的“3060目标”，坚持降碳、减污、扩绿、增长协同推进，在布局低碳产业、开展降碳行动等方面先行先试，创新探索走出了一条绿色低碳高质量发展的路径，“候鸟的欢歌”“江豚的微笑”“麋鹿的倩影”成为我区最靓丽的生态名片；在全省建立了首个低碳生活科普馆、探索推进湿地碳汇开发交易，该项目成为全球首个挂牌公示的淡水湿地修复项目，2023年我市公共机构节能宣传周暨低碳日活动启动仪式在我区举行。全面完成节约型机关创建，2022年我区党政机关节约型机关创建比例达到100%，远超省定三年完成70%目标任务。大力推行使用新能源车，今年新配置了3台新能源公务用车，另租赁12台新能源车辆用于执法执勤工作，配备了充电桩18个，新能源车汽车占比为41%。</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公务改革重实效。中心全力推进执法执勤车辆管理改革，制定了《君山区区直行政机关及事业单位公务活动租车管理实施办法》和《君山区执法执勤车辆管理办法》，区政府于7月正式发文将执法执勤车辆全部纳入公务用车管理范围。采用与新能源租赁公司合作运营模式，车辆统一安装北斗定位，统一张贴公务用车标识、统一由区公务用车服务平台进行调派。全年安全行车6350次，得到了区委、区政府及用车单位的高度满意。</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精细后勤优保障。对全区同一楼栋同一院落同一区域43家办公单位的机关食堂进行了清理整合，确保同一楼栋同一院落同一区域内只设1个机关食堂，每年节省行政运行经费近300多万元，实现了后勤保障管理精细化、服务均衡化、效用最大化的目标。</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公务接待显忠诚。出台了“五个一”接待模式，即一个微笑、一份接待手册、一场热情讲解、一张特色桌鉴和一本宣传画册；突出地方特色，通过举办“厨王争霸赛”推出了以洞庭玉簪汤、钱粮湖怪味鸭、六门闸风干鱼，广兴洲开水白菜等独具地方特色的“君山一桌席”、以玉雪湘莲、仙子金荷叶、冰川彩莲、荷香芙蓉虾球等以荷为主题的味蕾盛宴“全荷宴”以及君山野生藕粉、莲子羹、野生菌饮料等君山特色饮品，同时把好了接待流程关、接待成本关、廉洁自律关“三道”关口，以热情、节俭、细致、高效的优质服务，赢得了领导嘉宾的高度满意，较好地体现了接待就是第一生产力的效能，树立了精致君山、精致服务的良好形象。全年接待和指导全区接待共158批次916人次，其中接待全国政协副主席，水利部副部长、副省长等省部级及以上领导13批次；接待厅局级领导76批次；接待来自22个国家“外国记者走进岳阳”外事接待1批次80人次；接待2023岳阳马拉松、2023岳阳国际观鸟节、4.25系列等全区大型活动领导嘉宾8批次650人次。</w:t>
      </w:r>
    </w:p>
    <w:p>
      <w:pPr>
        <w:pStyle w:val="12"/>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黑体" w:cs="Times New Roman"/>
          <w:sz w:val="32"/>
          <w:szCs w:val="32"/>
          <w:highlight w:val="none"/>
        </w:rPr>
        <w:t>七、存在的问题及原因分析</w:t>
      </w:r>
    </w:p>
    <w:p>
      <w:pPr>
        <w:pStyle w:val="12"/>
        <w:numPr>
          <w:ilvl w:val="0"/>
          <w:numId w:val="0"/>
        </w:numPr>
        <w:spacing w:line="560" w:lineRule="exact"/>
        <w:ind w:firstLine="640"/>
        <w:rPr>
          <w:rFonts w:hint="default"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z w:val="32"/>
          <w:szCs w:val="32"/>
          <w14:textFill>
            <w14:solidFill>
              <w14:schemeClr w14:val="tx1"/>
            </w14:solidFill>
          </w14:textFill>
        </w:rPr>
        <w:t>人员专业性不够</w:t>
      </w:r>
      <w:r>
        <w:rPr>
          <w:rFonts w:hint="eastAsia" w:ascii="仿宋_GB2312" w:hAnsi="仿宋_GB2312" w:eastAsia="仿宋_GB2312" w:cs="仿宋_GB2312"/>
          <w:color w:val="000000" w:themeColor="text1"/>
          <w:sz w:val="32"/>
          <w:szCs w:val="32"/>
          <w:lang w:eastAsia="zh-CN"/>
          <w14:textFill>
            <w14:solidFill>
              <w14:schemeClr w14:val="tx1"/>
            </w14:solidFill>
          </w14:textFill>
        </w:rPr>
        <w:t>强</w:t>
      </w:r>
      <w:r>
        <w:rPr>
          <w:rFonts w:hint="default" w:ascii="仿宋_GB2312" w:hAnsi="仿宋_GB2312" w:eastAsia="仿宋_GB2312" w:cs="仿宋_GB2312"/>
          <w:color w:val="000000" w:themeColor="text1"/>
          <w:sz w:val="32"/>
          <w:szCs w:val="32"/>
          <w14:textFill>
            <w14:solidFill>
              <w14:schemeClr w14:val="tx1"/>
            </w14:solidFill>
          </w14:textFill>
        </w:rPr>
        <w:t>。预算绩效管理涉及</w:t>
      </w:r>
      <w:r>
        <w:rPr>
          <w:rFonts w:hint="eastAsia" w:ascii="仿宋_GB2312" w:hAnsi="仿宋_GB2312" w:eastAsia="仿宋_GB2312" w:cs="仿宋_GB2312"/>
          <w:color w:val="000000" w:themeColor="text1"/>
          <w:sz w:val="32"/>
          <w:szCs w:val="32"/>
          <w:lang w:eastAsia="zh-CN"/>
          <w14:textFill>
            <w14:solidFill>
              <w14:schemeClr w14:val="tx1"/>
            </w14:solidFill>
          </w14:textFill>
        </w:rPr>
        <w:t>各方</w:t>
      </w:r>
      <w:r>
        <w:rPr>
          <w:rFonts w:hint="default" w:ascii="仿宋_GB2312" w:hAnsi="仿宋_GB2312" w:eastAsia="仿宋_GB2312" w:cs="仿宋_GB2312"/>
          <w:color w:val="000000" w:themeColor="text1"/>
          <w:sz w:val="32"/>
          <w:szCs w:val="32"/>
          <w14:textFill>
            <w14:solidFill>
              <w14:schemeClr w14:val="tx1"/>
            </w14:solidFill>
          </w14:textFill>
        </w:rPr>
        <w:t>，由于专业性强，绩效目标细化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量化不足以反映项目实绩，须加强人员的培训。</w:t>
      </w:r>
    </w:p>
    <w:p>
      <w:pPr>
        <w:pStyle w:val="12"/>
        <w:numPr>
          <w:ilvl w:val="0"/>
          <w:numId w:val="0"/>
        </w:numPr>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2、在对定性指标的评价上，由于评价内容较宏观，所以部分参与评价的人员不能客观地对本部门的绩效进行评价。</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9"/>
        <w:ind w:firstLine="640"/>
        <w:rPr>
          <w:rFonts w:hint="default"/>
        </w:rPr>
      </w:pPr>
      <w:r>
        <w:rPr>
          <w:rFonts w:hint="eastAsia"/>
          <w:lang w:val="en-US" w:eastAsia="zh-CN"/>
        </w:rPr>
        <w:t>1、</w:t>
      </w:r>
      <w:r>
        <w:rPr>
          <w:rFonts w:hint="default"/>
        </w:rPr>
        <w:t>细化预算编制工作，认真做好预算的编制。进一步加强单位内部的预算管理意识，严格按照预算编制的相关制度和要求进行预算编制；提高人员的业务素质与参与度。</w:t>
      </w:r>
    </w:p>
    <w:p>
      <w:pPr>
        <w:pStyle w:val="9"/>
        <w:ind w:firstLine="640"/>
        <w:rPr>
          <w:rFonts w:hint="default"/>
        </w:rPr>
      </w:pPr>
      <w:r>
        <w:rPr>
          <w:rFonts w:hint="eastAsia"/>
          <w:lang w:val="en-US" w:eastAsia="zh-CN"/>
        </w:rPr>
        <w:t>2、</w:t>
      </w:r>
      <w:r>
        <w:rPr>
          <w:rFonts w:hint="default"/>
        </w:rPr>
        <w:t>完善内部控制体系建设。针对评价过程中发现的问题和相关财经法律法规的变化，对相关制度、措施和程序进行调整、改进内部控制管理办法。</w:t>
      </w:r>
    </w:p>
    <w:p>
      <w:pPr>
        <w:pStyle w:val="10"/>
        <w:ind w:firstLine="640" w:firstLineChars="200"/>
        <w:rPr>
          <w:rFonts w:hint="eastAsia" w:eastAsia="仿宋_GB2312"/>
          <w:lang w:val="en-US" w:eastAsia="zh-CN"/>
        </w:rPr>
      </w:pPr>
      <w:r>
        <w:rPr>
          <w:rFonts w:hint="eastAsia"/>
          <w:lang w:val="en-US" w:eastAsia="zh-CN"/>
        </w:rPr>
        <w:t>3、绩效评价工作我们将根据定性指标的内容设置一些具体明细的项目进行部门之间互评，以使定性指标的评议更客观和具参考价值。</w:t>
      </w:r>
    </w:p>
    <w:p>
      <w:pPr>
        <w:keepNext w:val="0"/>
        <w:keepLines w:val="0"/>
        <w:pageBreakBefore w:val="0"/>
        <w:widowControl/>
        <w:numPr>
          <w:ilvl w:val="0"/>
          <w:numId w:val="6"/>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对部门整体支出绩效自评在规定时间内公开至本单位门户网站，确保公开数据真实、完整、准确。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kern w:val="0"/>
          <w:sz w:val="32"/>
          <w:szCs w:val="32"/>
          <w:lang w:val="en-US" w:eastAsia="zh-CN" w:bidi="ar-SA"/>
        </w:rPr>
        <w:t>无。</w:t>
      </w:r>
      <w:r>
        <w:rPr>
          <w:rFonts w:hint="eastAsia" w:ascii="Times New Roman" w:hAnsi="Times New Roman" w:eastAsia="仿宋_GB2312" w:cs="Times New Roman"/>
          <w:kern w:val="0"/>
          <w:sz w:val="32"/>
          <w:szCs w:val="32"/>
          <w:lang w:val="en-US" w:eastAsia="zh-CN" w:bidi="ar-SA"/>
        </w:rPr>
        <w:br w:type="page"/>
      </w: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9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177.89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171.89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79.54</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55.53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83.58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102.12</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14.77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3451.86</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1448.55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1448.55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329.55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329.55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color w:val="000000"/>
                <w:sz w:val="20"/>
                <w:szCs w:val="20"/>
                <w:highlight w:val="none"/>
              </w:rPr>
              <w:t>机关事务专项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1119</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1119</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24.78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24.55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0.71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0.71</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0.47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0.47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605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605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63</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1436.55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1436.55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34"/>
        <w:gridCol w:w="1539"/>
        <w:gridCol w:w="1455"/>
        <w:gridCol w:w="1275"/>
        <w:gridCol w:w="720"/>
        <w:gridCol w:w="72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80"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岳阳市君山区机关事务服务中心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539"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55"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75"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20"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20"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76"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539" w:type="dxa"/>
            <w:tcBorders>
              <w:tl2br w:val="nil"/>
              <w:tr2bl w:val="nil"/>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1412.23</w:t>
            </w:r>
          </w:p>
        </w:tc>
        <w:tc>
          <w:tcPr>
            <w:tcW w:w="1455"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2885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10</w:t>
            </w:r>
          </w:p>
        </w:tc>
        <w:tc>
          <w:tcPr>
            <w:tcW w:w="1275"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2885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10</w:t>
            </w:r>
          </w:p>
        </w:tc>
        <w:tc>
          <w:tcPr>
            <w:tcW w:w="720" w:type="dxa"/>
            <w:tcBorders>
              <w:tl2br w:val="nil"/>
              <w:tr2bl w:val="nil"/>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20" w:type="dxa"/>
            <w:tcBorders>
              <w:tl2br w:val="nil"/>
              <w:tr2bl w:val="nil"/>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176" w:type="dxa"/>
            <w:tcBorders>
              <w:tl2br w:val="nil"/>
              <w:tr2bl w:val="nil"/>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91" w:type="dxa"/>
            <w:gridSpan w:val="4"/>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eastAsia="zh-CN"/>
              </w:rPr>
              <w:t>2885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10</w:t>
            </w:r>
          </w:p>
        </w:tc>
        <w:tc>
          <w:tcPr>
            <w:tcW w:w="3891" w:type="dxa"/>
            <w:gridSpan w:val="4"/>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1436.55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80" w:type="dxa"/>
            <w:vMerge w:val="continue"/>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l2br w:val="nil"/>
              <w:tr2bl w:val="nil"/>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3891" w:type="dxa"/>
            <w:gridSpan w:val="4"/>
            <w:tcBorders>
              <w:tl2br w:val="nil"/>
              <w:tr2bl w:val="nil"/>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lang w:val="en-US" w:eastAsia="zh-CN"/>
              </w:rPr>
              <w:t>1448.55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3891" w:type="dxa"/>
            <w:gridSpan w:val="4"/>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l2br w:val="nil"/>
              <w:tr2bl w:val="nil"/>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3891" w:type="dxa"/>
            <w:gridSpan w:val="4"/>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108" w:type="dxa"/>
            <w:gridSpan w:val="4"/>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91" w:type="dxa"/>
            <w:gridSpan w:val="4"/>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080" w:type="dxa"/>
            <w:vMerge w:val="continue"/>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5108" w:type="dxa"/>
            <w:gridSpan w:val="4"/>
            <w:tcBorders>
              <w:tl2br w:val="nil"/>
              <w:tr2bl w:val="nil"/>
            </w:tcBorders>
            <w:noWrap w:val="0"/>
            <w:vAlign w:val="top"/>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推行预算绩效管理，强化对资金使用情况的预算约束和监督，围绕职能职责，</w:t>
            </w:r>
            <w:r>
              <w:rPr>
                <w:rFonts w:hint="eastAsia" w:ascii="仿宋_GB2312" w:hAnsi="仿宋_GB2312" w:eastAsia="仿宋_GB2312" w:cs="仿宋_GB2312"/>
                <w:color w:val="000000"/>
                <w:sz w:val="20"/>
                <w:szCs w:val="20"/>
                <w:highlight w:val="none"/>
              </w:rPr>
              <w:t>强化公务用车管理，提升服务质量和水平；做好安全保卫工作；继续做好水电、消防管理工作；做好卫生保洁工作；搞好关食堂工作；继续做好公共机构节能管理工作；做好会议会场管理</w:t>
            </w:r>
            <w:r>
              <w:rPr>
                <w:rFonts w:hint="eastAsia" w:ascii="仿宋_GB2312" w:hAnsi="仿宋_GB2312" w:eastAsia="仿宋_GB2312" w:cs="仿宋_GB2312"/>
                <w:color w:val="000000"/>
                <w:sz w:val="20"/>
                <w:szCs w:val="20"/>
                <w:highlight w:val="none"/>
                <w:lang w:val="en-US" w:eastAsia="zh-CN"/>
              </w:rPr>
              <w:t>，积极推动各项工作任务完成，提高财政资金的作用效能，促进管理效能的大力提升。</w:t>
            </w:r>
            <w:r>
              <w:rPr>
                <w:rFonts w:hint="eastAsia" w:ascii="仿宋_GB2312" w:hAnsi="仿宋_GB2312" w:eastAsia="仿宋_GB2312" w:cs="仿宋_GB2312"/>
                <w:color w:val="000000"/>
                <w:sz w:val="20"/>
                <w:szCs w:val="20"/>
                <w:highlight w:val="none"/>
              </w:rPr>
              <w:tab/>
            </w:r>
          </w:p>
        </w:tc>
        <w:tc>
          <w:tcPr>
            <w:tcW w:w="3891" w:type="dxa"/>
            <w:gridSpan w:val="4"/>
            <w:tcBorders>
              <w:tl2br w:val="nil"/>
              <w:tr2bl w:val="nil"/>
            </w:tcBorders>
            <w:noWrap w:val="0"/>
            <w:vAlign w:val="top"/>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推行预算绩效管理，强化对资金使用情况的预算约束和监督，全年围绕职能职责，接待工作服务热情，公务用车改革规范，公共机构节能降耗有突破，后勤服务精细节约，圆满完成了各项工作，服务了君山区经济社会发展，提高了财政资金的作用效能，促进了管理效能的大力提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39"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55" w:type="dxa"/>
            <w:tcBorders>
              <w:tl2br w:val="nil"/>
              <w:tr2bl w:val="nil"/>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75" w:type="dxa"/>
            <w:tcBorders>
              <w:tl2br w:val="nil"/>
              <w:tr2bl w:val="nil"/>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76" w:type="dxa"/>
            <w:tcBorders>
              <w:tl2br w:val="nil"/>
              <w:tr2bl w:val="nil"/>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39" w:type="dxa"/>
            <w:tcBorders>
              <w:tl2br w:val="nil"/>
              <w:tr2bl w:val="nil"/>
            </w:tcBorders>
            <w:noWrap w:val="0"/>
            <w:vAlign w:val="center"/>
          </w:tcPr>
          <w:p>
            <w:pPr>
              <w:keepNext w:val="0"/>
              <w:keepLines w:val="0"/>
              <w:widowControl/>
              <w:suppressLineNumbers w:val="0"/>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加强公车管理，确保安全出行</w:t>
            </w:r>
          </w:p>
        </w:tc>
        <w:tc>
          <w:tcPr>
            <w:tcW w:w="145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6000次</w:t>
            </w:r>
          </w:p>
        </w:tc>
        <w:tc>
          <w:tcPr>
            <w:tcW w:w="127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6350次</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规范党政机关办公用房管理，清理超标准用房</w:t>
            </w:r>
          </w:p>
        </w:tc>
        <w:tc>
          <w:tcPr>
            <w:tcW w:w="145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40间</w:t>
            </w:r>
          </w:p>
        </w:tc>
        <w:tc>
          <w:tcPr>
            <w:tcW w:w="1275"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42间</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做好党政机关</w:t>
            </w:r>
            <w:r>
              <w:rPr>
                <w:rFonts w:hint="eastAsia" w:ascii="仿宋_GB2312" w:hAnsi="仿宋_GB2312" w:eastAsia="仿宋_GB2312" w:cs="仿宋_GB2312"/>
                <w:color w:val="000000"/>
                <w:sz w:val="20"/>
                <w:szCs w:val="20"/>
                <w:highlight w:val="none"/>
              </w:rPr>
              <w:t>节能管理</w:t>
            </w:r>
            <w:r>
              <w:rPr>
                <w:rFonts w:hint="eastAsia" w:ascii="仿宋_GB2312" w:hAnsi="仿宋_GB2312" w:eastAsia="仿宋_GB2312" w:cs="仿宋_GB2312"/>
                <w:color w:val="000000"/>
                <w:sz w:val="20"/>
                <w:szCs w:val="20"/>
                <w:highlight w:val="none"/>
                <w:lang w:eastAsia="zh-CN"/>
              </w:rPr>
              <w:t>，完成节能型机构创建</w:t>
            </w:r>
          </w:p>
        </w:tc>
        <w:tc>
          <w:tcPr>
            <w:tcW w:w="145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98</w:t>
            </w:r>
            <w:r>
              <w:rPr>
                <w:rFonts w:hint="eastAsia" w:ascii="仿宋_GB2312" w:hAnsi="仿宋_GB2312" w:eastAsia="仿宋_GB2312" w:cs="仿宋_GB2312"/>
                <w:color w:val="000000"/>
                <w:sz w:val="20"/>
                <w:szCs w:val="20"/>
                <w:highlight w:val="none"/>
                <w:lang w:eastAsia="zh-CN"/>
              </w:rPr>
              <w:t>%</w:t>
            </w:r>
          </w:p>
        </w:tc>
        <w:tc>
          <w:tcPr>
            <w:tcW w:w="127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100%</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展现君山形象，做好公务接待</w:t>
            </w:r>
          </w:p>
        </w:tc>
        <w:tc>
          <w:tcPr>
            <w:tcW w:w="145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150批次</w:t>
            </w:r>
          </w:p>
        </w:tc>
        <w:tc>
          <w:tcPr>
            <w:tcW w:w="127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158批次</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l2br w:val="nil"/>
              <w:tr2bl w:val="nil"/>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精细管理食堂，节约行政经费</w:t>
            </w:r>
          </w:p>
        </w:tc>
        <w:tc>
          <w:tcPr>
            <w:tcW w:w="145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200万元</w:t>
            </w:r>
          </w:p>
        </w:tc>
        <w:tc>
          <w:tcPr>
            <w:tcW w:w="127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300万元</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39" w:type="dxa"/>
            <w:tcBorders>
              <w:tl2br w:val="nil"/>
              <w:tr2bl w:val="nil"/>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公车安全出行率</w:t>
            </w:r>
          </w:p>
        </w:tc>
        <w:tc>
          <w:tcPr>
            <w:tcW w:w="145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l2br w:val="nil"/>
              <w:tr2bl w:val="nil"/>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办公用房清理到位率</w:t>
            </w:r>
          </w:p>
        </w:tc>
        <w:tc>
          <w:tcPr>
            <w:tcW w:w="1455"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5"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539" w:type="dxa"/>
            <w:tcBorders>
              <w:tl2br w:val="nil"/>
              <w:tr2bl w:val="nil"/>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节约型机关合格率</w:t>
            </w:r>
          </w:p>
        </w:tc>
        <w:tc>
          <w:tcPr>
            <w:tcW w:w="1455"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Arial" w:hAnsi="Arial" w:eastAsia="仿宋_GB2312" w:cs="Arial"/>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75"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w:t>
            </w:r>
            <w:r>
              <w:rPr>
                <w:rFonts w:hint="eastAsia" w:ascii="仿宋_GB2312" w:hAnsi="仿宋_GB2312" w:eastAsia="仿宋_GB2312" w:cs="仿宋_GB2312"/>
                <w:color w:val="000000"/>
                <w:sz w:val="20"/>
                <w:szCs w:val="20"/>
              </w:rPr>
              <w:t>计划时间完成任务</w:t>
            </w:r>
          </w:p>
        </w:tc>
        <w:tc>
          <w:tcPr>
            <w:tcW w:w="1455" w:type="dxa"/>
            <w:tcBorders>
              <w:tl2br w:val="nil"/>
              <w:tr2bl w:val="nil"/>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75"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2023、12、31</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完成任务支出不超过预算批复金额</w:t>
            </w:r>
          </w:p>
        </w:tc>
        <w:tc>
          <w:tcPr>
            <w:tcW w:w="145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default" w:ascii="Arial" w:hAnsi="Arial" w:eastAsia="仿宋_GB2312" w:cs="Arial"/>
                <w:sz w:val="20"/>
                <w:szCs w:val="20"/>
                <w:highlight w:val="none"/>
              </w:rPr>
              <w:t>≤</w:t>
            </w:r>
            <w:r>
              <w:rPr>
                <w:rFonts w:hint="eastAsia" w:ascii="仿宋_GB2312" w:hAnsi="仿宋_GB2312" w:eastAsia="仿宋_GB2312" w:cs="仿宋_GB2312"/>
                <w:sz w:val="20"/>
                <w:szCs w:val="20"/>
                <w:highlight w:val="none"/>
                <w:lang w:eastAsia="zh-CN"/>
              </w:rPr>
              <w:t>2885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10</w:t>
            </w:r>
            <w:r>
              <w:rPr>
                <w:rFonts w:hint="eastAsia" w:ascii="仿宋_GB2312" w:hAnsi="仿宋_GB2312" w:eastAsia="仿宋_GB2312" w:cs="仿宋_GB2312"/>
                <w:color w:val="000000"/>
                <w:sz w:val="20"/>
                <w:szCs w:val="20"/>
                <w:highlight w:val="none"/>
                <w:lang w:val="en-US" w:eastAsia="zh-CN"/>
              </w:rPr>
              <w:t>万元</w:t>
            </w:r>
          </w:p>
        </w:tc>
        <w:tc>
          <w:tcPr>
            <w:tcW w:w="127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2885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lang w:eastAsia="zh-CN"/>
              </w:rPr>
              <w:t>10</w:t>
            </w:r>
            <w:r>
              <w:rPr>
                <w:rFonts w:hint="eastAsia" w:ascii="仿宋_GB2312" w:hAnsi="仿宋_GB2312" w:eastAsia="仿宋_GB2312" w:cs="仿宋_GB2312"/>
                <w:color w:val="000000"/>
                <w:sz w:val="20"/>
                <w:szCs w:val="20"/>
                <w:highlight w:val="none"/>
                <w:lang w:val="en-US" w:eastAsia="zh-CN"/>
              </w:rPr>
              <w:t>万元</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9" w:type="dxa"/>
            <w:tcBorders>
              <w:tl2br w:val="nil"/>
              <w:tr2bl w:val="nil"/>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做好后勤保障，接待各方来客，展现君山形象，</w:t>
            </w:r>
            <w:r>
              <w:rPr>
                <w:rFonts w:hint="eastAsia" w:ascii="仿宋_GB2312" w:hAnsi="仿宋_GB2312" w:eastAsia="仿宋_GB2312" w:cs="仿宋_GB2312"/>
                <w:color w:val="000000"/>
                <w:sz w:val="20"/>
                <w:szCs w:val="20"/>
                <w:highlight w:val="none"/>
              </w:rPr>
              <w:t>助推君山经济发展</w:t>
            </w:r>
            <w:r>
              <w:rPr>
                <w:rFonts w:hint="eastAsia" w:ascii="仿宋_GB2312" w:hAnsi="仿宋_GB2312" w:eastAsia="仿宋_GB2312" w:cs="仿宋_GB2312"/>
                <w:color w:val="000000"/>
                <w:sz w:val="20"/>
                <w:szCs w:val="20"/>
                <w:highlight w:val="none"/>
                <w:lang w:eastAsia="zh-CN"/>
              </w:rPr>
              <w:t>。</w:t>
            </w:r>
          </w:p>
        </w:tc>
        <w:tc>
          <w:tcPr>
            <w:tcW w:w="145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l2br w:val="nil"/>
              <w:tr2bl w:val="nil"/>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服务好机关，做好后勤保障，接待各方来客，展现君山形象，</w:t>
            </w:r>
            <w:r>
              <w:rPr>
                <w:rFonts w:hint="eastAsia" w:ascii="仿宋_GB2312" w:hAnsi="仿宋_GB2312" w:eastAsia="仿宋_GB2312" w:cs="仿宋_GB2312"/>
                <w:color w:val="000000"/>
                <w:sz w:val="20"/>
                <w:szCs w:val="20"/>
                <w:highlight w:val="none"/>
              </w:rPr>
              <w:t>助推君山</w:t>
            </w:r>
            <w:r>
              <w:rPr>
                <w:rFonts w:hint="eastAsia" w:ascii="仿宋_GB2312" w:hAnsi="仿宋_GB2312" w:eastAsia="仿宋_GB2312" w:cs="仿宋_GB2312"/>
                <w:color w:val="000000"/>
                <w:sz w:val="20"/>
                <w:szCs w:val="20"/>
                <w:highlight w:val="none"/>
                <w:lang w:eastAsia="zh-CN"/>
              </w:rPr>
              <w:t>社会和谐稳定。</w:t>
            </w:r>
          </w:p>
        </w:tc>
        <w:tc>
          <w:tcPr>
            <w:tcW w:w="145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服务好机关，推行节能降耗。</w:t>
            </w:r>
          </w:p>
        </w:tc>
        <w:tc>
          <w:tcPr>
            <w:tcW w:w="145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20" w:type="dxa"/>
            <w:tcBorders>
              <w:tl2br w:val="nil"/>
              <w:tr2bl w:val="nil"/>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80" w:type="dxa"/>
            <w:vMerge w:val="continue"/>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39"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持续助推君山经济发展。</w:t>
            </w:r>
          </w:p>
        </w:tc>
        <w:tc>
          <w:tcPr>
            <w:tcW w:w="145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127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效果明显</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720"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w:t>
            </w:r>
          </w:p>
        </w:tc>
        <w:tc>
          <w:tcPr>
            <w:tcW w:w="1176"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进一步协助区域经济发展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80" w:type="dxa"/>
            <w:vMerge w:val="continue"/>
            <w:tcBorders>
              <w:tl2br w:val="nil"/>
              <w:tr2bl w:val="nil"/>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39"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社会公众或服务对象满意度</w:t>
            </w:r>
          </w:p>
        </w:tc>
        <w:tc>
          <w:tcPr>
            <w:tcW w:w="1455" w:type="dxa"/>
            <w:tcBorders>
              <w:tl2br w:val="nil"/>
              <w:tr2bl w:val="nil"/>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75"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20" w:type="dxa"/>
            <w:tcBorders>
              <w:tl2br w:val="nil"/>
              <w:tr2bl w:val="nil"/>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63" w:type="dxa"/>
            <w:gridSpan w:val="6"/>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tcBorders>
              <w:tl2br w:val="nil"/>
              <w:tr2bl w:val="nil"/>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20" w:type="dxa"/>
            <w:tcBorders>
              <w:tl2br w:val="nil"/>
              <w:tr2bl w:val="nil"/>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176" w:type="dxa"/>
            <w:tcBorders>
              <w:tl2br w:val="nil"/>
              <w:tr2bl w:val="nil"/>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default" w:ascii="Times New Roman" w:hAnsi="Times New Roman" w:eastAsia="仿宋_GB2312" w:cs="Times New Roman"/>
          <w:sz w:val="22"/>
          <w:szCs w:val="22"/>
          <w:highlight w:val="none"/>
        </w:rPr>
      </w:pPr>
    </w:p>
    <w:p>
      <w:pPr>
        <w:widowControl/>
        <w:spacing w:line="600" w:lineRule="exact"/>
        <w:jc w:val="left"/>
        <w:rPr>
          <w:rFonts w:hint="eastAsia" w:ascii="Times New Roman" w:hAnsi="Times New Roman" w:eastAsia="黑体" w:cs="Times New Roman"/>
          <w:sz w:val="28"/>
          <w:szCs w:val="28"/>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10020" w:type="dxa"/>
        <w:jc w:val="center"/>
        <w:tblLayout w:type="fixed"/>
        <w:tblCellMar>
          <w:top w:w="0" w:type="dxa"/>
          <w:left w:w="108" w:type="dxa"/>
          <w:bottom w:w="0" w:type="dxa"/>
          <w:right w:w="108" w:type="dxa"/>
        </w:tblCellMar>
      </w:tblPr>
      <w:tblGrid>
        <w:gridCol w:w="1048"/>
        <w:gridCol w:w="1058"/>
        <w:gridCol w:w="1038"/>
        <w:gridCol w:w="1431"/>
        <w:gridCol w:w="1271"/>
        <w:gridCol w:w="1108"/>
        <w:gridCol w:w="695"/>
        <w:gridCol w:w="855"/>
        <w:gridCol w:w="1516"/>
      </w:tblGrid>
      <w:tr>
        <w:tblPrEx>
          <w:tblCellMar>
            <w:top w:w="0" w:type="dxa"/>
            <w:left w:w="108" w:type="dxa"/>
            <w:bottom w:w="0" w:type="dxa"/>
            <w:right w:w="108" w:type="dxa"/>
          </w:tblCellMar>
        </w:tblPrEx>
        <w:trPr>
          <w:trHeight w:val="360" w:hRule="atLeast"/>
          <w:jc w:val="center"/>
        </w:trPr>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97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机关事务专项　</w:t>
            </w:r>
          </w:p>
        </w:tc>
      </w:tr>
      <w:tr>
        <w:tblPrEx>
          <w:tblCellMar>
            <w:top w:w="0" w:type="dxa"/>
            <w:left w:w="108" w:type="dxa"/>
            <w:bottom w:w="0" w:type="dxa"/>
            <w:right w:w="108" w:type="dxa"/>
          </w:tblCellMar>
        </w:tblPrEx>
        <w:trPr>
          <w:jc w:val="center"/>
        </w:trPr>
        <w:tc>
          <w:tcPr>
            <w:tcW w:w="10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9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岳阳市君山区机关事务服务中心</w:t>
            </w:r>
          </w:p>
        </w:tc>
        <w:tc>
          <w:tcPr>
            <w:tcW w:w="1108"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6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岳阳市君山区机关后勤服务中心</w:t>
            </w:r>
          </w:p>
        </w:tc>
      </w:tr>
      <w:tr>
        <w:tblPrEx>
          <w:tblCellMar>
            <w:top w:w="0" w:type="dxa"/>
            <w:left w:w="108" w:type="dxa"/>
            <w:bottom w:w="0" w:type="dxa"/>
            <w:right w:w="108" w:type="dxa"/>
          </w:tblCellMar>
        </w:tblPrEx>
        <w:trPr>
          <w:jc w:val="center"/>
        </w:trPr>
        <w:tc>
          <w:tcPr>
            <w:tcW w:w="104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0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9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4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119</w:t>
            </w:r>
          </w:p>
        </w:tc>
        <w:tc>
          <w:tcPr>
            <w:tcW w:w="12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119</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119</w:t>
            </w:r>
          </w:p>
        </w:tc>
        <w:tc>
          <w:tcPr>
            <w:tcW w:w="6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4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119</w:t>
            </w:r>
          </w:p>
        </w:tc>
        <w:tc>
          <w:tcPr>
            <w:tcW w:w="12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119</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119</w:t>
            </w:r>
          </w:p>
        </w:tc>
        <w:tc>
          <w:tcPr>
            <w:tcW w:w="6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4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9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9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7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4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9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目标1：高质量完成接待工作</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目标2：做到公车调度全区满意</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目标3：做到后勤服务社会化　</w:t>
            </w:r>
          </w:p>
        </w:tc>
        <w:tc>
          <w:tcPr>
            <w:tcW w:w="417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高质量地完成了接待工作，公车调度及时，完成了后勤服务向服务社会化转变。</w:t>
            </w:r>
          </w:p>
        </w:tc>
      </w:tr>
      <w:tr>
        <w:tblPrEx>
          <w:tblCellMar>
            <w:top w:w="0" w:type="dxa"/>
            <w:left w:w="108" w:type="dxa"/>
            <w:bottom w:w="0" w:type="dxa"/>
            <w:right w:w="108" w:type="dxa"/>
          </w:tblCellMar>
        </w:tblPrEx>
        <w:trPr>
          <w:jc w:val="center"/>
        </w:trPr>
        <w:tc>
          <w:tcPr>
            <w:tcW w:w="104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7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0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司乘人员安全培训</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2次</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3次</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办公用房检查次数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宋体" w:cs="仿宋_GB2312"/>
                <w:color w:val="000000"/>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cs="宋体"/>
                <w:color w:val="000000"/>
                <w:sz w:val="20"/>
                <w:szCs w:val="20"/>
                <w:highlight w:val="none"/>
                <w:lang w:val="en-US" w:eastAsia="zh-CN"/>
              </w:rPr>
              <w:t>12次</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0" w:hRule="atLeast"/>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培训合格率</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宋体" w:hAnsi="宋体" w:eastAsia="宋体" w:cs="宋体"/>
                <w:color w:val="000000"/>
                <w:sz w:val="20"/>
                <w:szCs w:val="20"/>
                <w:highlight w:val="none"/>
                <w:lang w:val="en-US" w:eastAsia="zh-CN"/>
              </w:rPr>
              <w:t>≧</w:t>
            </w:r>
            <w:r>
              <w:rPr>
                <w:rFonts w:hint="eastAsia" w:ascii="宋体" w:hAnsi="宋体" w:cs="宋体"/>
                <w:color w:val="000000"/>
                <w:sz w:val="20"/>
                <w:szCs w:val="20"/>
                <w:highlight w:val="none"/>
                <w:lang w:val="en-US" w:eastAsia="zh-CN"/>
              </w:rPr>
              <w:t>90%</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安全隐患整改率</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宋体" w:hAnsi="宋体" w:cs="宋体"/>
                <w:color w:val="000000"/>
                <w:sz w:val="20"/>
                <w:szCs w:val="20"/>
                <w:highlight w:val="none"/>
                <w:lang w:val="en-US" w:eastAsia="zh-CN"/>
              </w:rPr>
              <w:t>95%</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98%</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eastAsia="zh-CN"/>
              </w:rPr>
              <w:t>项目完成及时率</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0" w:hRule="atLeast"/>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财政资金支出</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119</w:t>
            </w:r>
            <w:r>
              <w:rPr>
                <w:rFonts w:hint="eastAsia" w:ascii="仿宋_GB2312" w:hAnsi="仿宋_GB2312" w:eastAsia="仿宋_GB2312" w:cs="仿宋_GB2312"/>
                <w:color w:val="000000"/>
                <w:sz w:val="20"/>
                <w:szCs w:val="20"/>
                <w:highlight w:val="none"/>
                <w:lang w:eastAsia="zh-CN"/>
              </w:rPr>
              <w:t>万元</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1119万元</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整合资源，</w:t>
            </w:r>
            <w:r>
              <w:rPr>
                <w:rFonts w:hint="eastAsia" w:ascii="仿宋_GB2312" w:hAnsi="仿宋_GB2312" w:eastAsia="仿宋_GB2312" w:cs="仿宋_GB2312"/>
                <w:color w:val="000000"/>
                <w:sz w:val="20"/>
                <w:szCs w:val="20"/>
                <w:highlight w:val="none"/>
                <w:lang w:val="en-US" w:eastAsia="zh-CN"/>
              </w:rPr>
              <w:t>节约运行成本</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效果明显</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进一步宣贯节约型机关</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展现君山形象，</w:t>
            </w:r>
            <w:r>
              <w:rPr>
                <w:rFonts w:hint="eastAsia" w:ascii="仿宋_GB2312" w:hAnsi="仿宋_GB2312" w:eastAsia="仿宋_GB2312" w:cs="仿宋_GB2312"/>
                <w:color w:val="000000"/>
                <w:sz w:val="20"/>
                <w:szCs w:val="20"/>
                <w:highlight w:val="none"/>
              </w:rPr>
              <w:t>助推君山</w:t>
            </w:r>
            <w:r>
              <w:rPr>
                <w:rFonts w:hint="eastAsia" w:ascii="仿宋_GB2312" w:hAnsi="仿宋_GB2312" w:eastAsia="仿宋_GB2312" w:cs="仿宋_GB2312"/>
                <w:color w:val="000000"/>
                <w:sz w:val="20"/>
                <w:szCs w:val="20"/>
                <w:highlight w:val="none"/>
                <w:lang w:eastAsia="zh-CN"/>
              </w:rPr>
              <w:t>社会和谐稳定</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eastAsia="zh-CN"/>
              </w:rPr>
              <w:t>水电节约，</w:t>
            </w:r>
            <w:r>
              <w:rPr>
                <w:rFonts w:hint="eastAsia" w:ascii="仿宋_GB2312" w:hAnsi="仿宋_GB2312" w:eastAsia="仿宋_GB2312" w:cs="仿宋_GB2312"/>
                <w:color w:val="000000"/>
                <w:sz w:val="20"/>
                <w:szCs w:val="20"/>
                <w:highlight w:val="none"/>
                <w:lang w:val="en-US" w:eastAsia="zh-CN"/>
              </w:rPr>
              <w:t>减少碳排放</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5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服务好机关，持续助推君山经济发展</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效果明显</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4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1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宋体" w:hAnsi="宋体" w:eastAsia="宋体" w:cs="宋体"/>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95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9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5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5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Times New Roman" w:hAnsi="Times New Roman" w:eastAsia="仿宋_GB2312" w:cs="Times New Roman"/>
          <w:sz w:val="22"/>
          <w:szCs w:val="2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55167"/>
    <w:multiLevelType w:val="singleLevel"/>
    <w:tmpl w:val="A5E55167"/>
    <w:lvl w:ilvl="0" w:tentative="0">
      <w:start w:val="8"/>
      <w:numFmt w:val="chineseCounting"/>
      <w:suff w:val="nothing"/>
      <w:lvlText w:val="%1、"/>
      <w:lvlJc w:val="left"/>
      <w:rPr>
        <w:rFonts w:hint="eastAsia"/>
      </w:rPr>
    </w:lvl>
  </w:abstractNum>
  <w:abstractNum w:abstractNumId="1">
    <w:nsid w:val="CFB5C41E"/>
    <w:multiLevelType w:val="singleLevel"/>
    <w:tmpl w:val="CFB5C41E"/>
    <w:lvl w:ilvl="0" w:tentative="0">
      <w:start w:val="1"/>
      <w:numFmt w:val="decimal"/>
      <w:suff w:val="nothing"/>
      <w:lvlText w:val="%1、"/>
      <w:lvlJc w:val="left"/>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425036FE"/>
    <w:multiLevelType w:val="singleLevel"/>
    <w:tmpl w:val="425036FE"/>
    <w:lvl w:ilvl="0" w:tentative="0">
      <w:start w:val="2"/>
      <w:numFmt w:val="chineseCounting"/>
      <w:suff w:val="nothing"/>
      <w:lvlText w:val="（%1）"/>
      <w:lvlJc w:val="left"/>
      <w:rPr>
        <w:rFonts w:hint="eastAsia"/>
      </w:rPr>
    </w:lvl>
  </w:abstractNum>
  <w:abstractNum w:abstractNumId="4">
    <w:nsid w:val="7F0490DB"/>
    <w:multiLevelType w:val="singleLevel"/>
    <w:tmpl w:val="7F0490DB"/>
    <w:lvl w:ilvl="0" w:tentative="0">
      <w:start w:val="1"/>
      <w:numFmt w:val="chineseCounting"/>
      <w:suff w:val="nothing"/>
      <w:lvlText w:val="%1、"/>
      <w:lvlJc w:val="left"/>
      <w:rPr>
        <w:rFonts w:hint="eastAsia"/>
      </w:rPr>
    </w:lvl>
  </w:abstractNum>
  <w:abstractNum w:abstractNumId="5">
    <w:nsid w:val="7F66692C"/>
    <w:multiLevelType w:val="singleLevel"/>
    <w:tmpl w:val="7F66692C"/>
    <w:lvl w:ilvl="0" w:tentative="0">
      <w:start w:val="3"/>
      <w:numFmt w:val="chineseCounting"/>
      <w:suff w:val="nothing"/>
      <w:lvlText w:val="（%1）"/>
      <w:lvlJc w:val="left"/>
      <w:rPr>
        <w:rFonts w:hint="eastAsia"/>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zRiMTYxZDMzMTQyMDNkMWFhNjUyY2VhYTE4YTUifQ=="/>
  </w:docVars>
  <w:rsids>
    <w:rsidRoot w:val="59886344"/>
    <w:rsid w:val="0061443A"/>
    <w:rsid w:val="00CE4AE7"/>
    <w:rsid w:val="00F57038"/>
    <w:rsid w:val="01503613"/>
    <w:rsid w:val="017B2F92"/>
    <w:rsid w:val="03585F5D"/>
    <w:rsid w:val="0368705F"/>
    <w:rsid w:val="03802AE2"/>
    <w:rsid w:val="03E40645"/>
    <w:rsid w:val="04CE0236"/>
    <w:rsid w:val="04D400B0"/>
    <w:rsid w:val="05F16DA0"/>
    <w:rsid w:val="067D155B"/>
    <w:rsid w:val="090F1B9E"/>
    <w:rsid w:val="0A2207B4"/>
    <w:rsid w:val="0A370316"/>
    <w:rsid w:val="0AA06D1F"/>
    <w:rsid w:val="0B00275A"/>
    <w:rsid w:val="0B521208"/>
    <w:rsid w:val="0BD0037E"/>
    <w:rsid w:val="0BD07CC1"/>
    <w:rsid w:val="0D5C4B51"/>
    <w:rsid w:val="0EDA5FD7"/>
    <w:rsid w:val="0F8C6CB2"/>
    <w:rsid w:val="0FC41FA8"/>
    <w:rsid w:val="101C4A61"/>
    <w:rsid w:val="104073FF"/>
    <w:rsid w:val="10833C11"/>
    <w:rsid w:val="109B2A18"/>
    <w:rsid w:val="11677313"/>
    <w:rsid w:val="1374513B"/>
    <w:rsid w:val="13A7116F"/>
    <w:rsid w:val="13DA2702"/>
    <w:rsid w:val="1405311A"/>
    <w:rsid w:val="14D83E24"/>
    <w:rsid w:val="15023C9F"/>
    <w:rsid w:val="15347BD0"/>
    <w:rsid w:val="16405DDD"/>
    <w:rsid w:val="172B2124"/>
    <w:rsid w:val="18096877"/>
    <w:rsid w:val="185244D9"/>
    <w:rsid w:val="1949535F"/>
    <w:rsid w:val="19514982"/>
    <w:rsid w:val="198A7D37"/>
    <w:rsid w:val="1A0A7151"/>
    <w:rsid w:val="1B350424"/>
    <w:rsid w:val="1BFE6842"/>
    <w:rsid w:val="1C5D1C7C"/>
    <w:rsid w:val="1C8C02F2"/>
    <w:rsid w:val="1CA92FCC"/>
    <w:rsid w:val="1D322C47"/>
    <w:rsid w:val="1D7602A9"/>
    <w:rsid w:val="1DD737EE"/>
    <w:rsid w:val="1E284F2F"/>
    <w:rsid w:val="1ECA401E"/>
    <w:rsid w:val="1F1B636D"/>
    <w:rsid w:val="1FE411A4"/>
    <w:rsid w:val="20717F2A"/>
    <w:rsid w:val="216B6728"/>
    <w:rsid w:val="21B05964"/>
    <w:rsid w:val="23773744"/>
    <w:rsid w:val="239C52BE"/>
    <w:rsid w:val="24BE2C1C"/>
    <w:rsid w:val="266E2C43"/>
    <w:rsid w:val="27CB7F20"/>
    <w:rsid w:val="280B045C"/>
    <w:rsid w:val="2852419D"/>
    <w:rsid w:val="28A74058"/>
    <w:rsid w:val="292C7FA1"/>
    <w:rsid w:val="2A450AA9"/>
    <w:rsid w:val="2AD22CCB"/>
    <w:rsid w:val="2B0F3E96"/>
    <w:rsid w:val="2BAA0E41"/>
    <w:rsid w:val="2D096669"/>
    <w:rsid w:val="2D410C84"/>
    <w:rsid w:val="2D955755"/>
    <w:rsid w:val="2DA07759"/>
    <w:rsid w:val="2F2045CC"/>
    <w:rsid w:val="2FE26615"/>
    <w:rsid w:val="311A21F3"/>
    <w:rsid w:val="320B53DF"/>
    <w:rsid w:val="321D3FE2"/>
    <w:rsid w:val="325012EC"/>
    <w:rsid w:val="32673C7A"/>
    <w:rsid w:val="32C548F8"/>
    <w:rsid w:val="33076B3D"/>
    <w:rsid w:val="34922583"/>
    <w:rsid w:val="38371F7A"/>
    <w:rsid w:val="38C118F0"/>
    <w:rsid w:val="398C14F0"/>
    <w:rsid w:val="3B23785C"/>
    <w:rsid w:val="3B3F2CA7"/>
    <w:rsid w:val="3C156456"/>
    <w:rsid w:val="3CF73497"/>
    <w:rsid w:val="3D070645"/>
    <w:rsid w:val="3D8366DF"/>
    <w:rsid w:val="3FA255B3"/>
    <w:rsid w:val="417E2710"/>
    <w:rsid w:val="42182D4E"/>
    <w:rsid w:val="43B151C2"/>
    <w:rsid w:val="4441183E"/>
    <w:rsid w:val="44454FB5"/>
    <w:rsid w:val="445265DF"/>
    <w:rsid w:val="458D5615"/>
    <w:rsid w:val="46047D7A"/>
    <w:rsid w:val="47F62B74"/>
    <w:rsid w:val="481226EA"/>
    <w:rsid w:val="4829354E"/>
    <w:rsid w:val="48BD3834"/>
    <w:rsid w:val="497F0684"/>
    <w:rsid w:val="49A50F0B"/>
    <w:rsid w:val="49B20472"/>
    <w:rsid w:val="49C65963"/>
    <w:rsid w:val="49FF2520"/>
    <w:rsid w:val="4A747320"/>
    <w:rsid w:val="4B9C166F"/>
    <w:rsid w:val="4BC4555C"/>
    <w:rsid w:val="4C115F9A"/>
    <w:rsid w:val="4C404189"/>
    <w:rsid w:val="4D50664E"/>
    <w:rsid w:val="4DFC5504"/>
    <w:rsid w:val="4E982E89"/>
    <w:rsid w:val="50977DE0"/>
    <w:rsid w:val="532F4F57"/>
    <w:rsid w:val="540612DD"/>
    <w:rsid w:val="562B7AC3"/>
    <w:rsid w:val="56EE3E47"/>
    <w:rsid w:val="581D31D0"/>
    <w:rsid w:val="59886344"/>
    <w:rsid w:val="59BB0154"/>
    <w:rsid w:val="5A252C10"/>
    <w:rsid w:val="5B6360E6"/>
    <w:rsid w:val="5B950730"/>
    <w:rsid w:val="5C1263A3"/>
    <w:rsid w:val="5CFC0533"/>
    <w:rsid w:val="5DBE7604"/>
    <w:rsid w:val="5EDA5A29"/>
    <w:rsid w:val="5EE144F9"/>
    <w:rsid w:val="5F176057"/>
    <w:rsid w:val="62D378CB"/>
    <w:rsid w:val="63202106"/>
    <w:rsid w:val="63E227B3"/>
    <w:rsid w:val="6489511A"/>
    <w:rsid w:val="64CF6C8F"/>
    <w:rsid w:val="65E9368C"/>
    <w:rsid w:val="674F6FAE"/>
    <w:rsid w:val="68DD5D2B"/>
    <w:rsid w:val="6B4F2A52"/>
    <w:rsid w:val="6B99345E"/>
    <w:rsid w:val="6C303DC2"/>
    <w:rsid w:val="6CA97D11"/>
    <w:rsid w:val="6E705326"/>
    <w:rsid w:val="6EB77ED8"/>
    <w:rsid w:val="6EBC4974"/>
    <w:rsid w:val="70F133F4"/>
    <w:rsid w:val="70FC4273"/>
    <w:rsid w:val="73102258"/>
    <w:rsid w:val="739C3AEB"/>
    <w:rsid w:val="754D60ED"/>
    <w:rsid w:val="758D6016"/>
    <w:rsid w:val="7598081D"/>
    <w:rsid w:val="767D7DFF"/>
    <w:rsid w:val="76BA0E56"/>
    <w:rsid w:val="76CB43C5"/>
    <w:rsid w:val="7728263E"/>
    <w:rsid w:val="79607369"/>
    <w:rsid w:val="79914DFC"/>
    <w:rsid w:val="7A3D1979"/>
    <w:rsid w:val="7A5614FA"/>
    <w:rsid w:val="7B2D6463"/>
    <w:rsid w:val="7BB06FFF"/>
    <w:rsid w:val="7BDF310F"/>
    <w:rsid w:val="7C693ABC"/>
    <w:rsid w:val="7C9150AE"/>
    <w:rsid w:val="7E4E7DE0"/>
    <w:rsid w:val="7F1475F2"/>
    <w:rsid w:val="7F2A13E6"/>
    <w:rsid w:val="7F343489"/>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Salutation"/>
    <w:basedOn w:val="1"/>
    <w:next w:val="1"/>
    <w:qFormat/>
    <w:uiPriority w:val="0"/>
    <w:rPr>
      <w:rFonts w:ascii="Times New Roman" w:hAnsi="Times New Roman" w:cs="Times New Roman"/>
    </w:rPr>
  </w:style>
  <w:style w:type="paragraph" w:styleId="5">
    <w:name w:val="Body Text"/>
    <w:basedOn w:val="1"/>
    <w:link w:val="14"/>
    <w:semiHidden/>
    <w:qFormat/>
    <w:uiPriority w:val="0"/>
    <w:rPr>
      <w:rFonts w:ascii="仿宋" w:hAnsi="仿宋" w:eastAsia="仿宋" w:cs="仿宋"/>
      <w:sz w:val="31"/>
      <w:szCs w:val="31"/>
      <w:lang w:val="en-US" w:eastAsia="en-US" w:bidi="ar-SA"/>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BodyText"/>
    <w:basedOn w:val="1"/>
    <w:next w:val="10"/>
    <w:qFormat/>
    <w:uiPriority w:val="0"/>
    <w:pPr>
      <w:textAlignment w:val="baseline"/>
    </w:pPr>
    <w:rPr>
      <w:rFonts w:ascii="仿宋_GB2312" w:hAnsi="仿宋_GB2312" w:eastAsia="仿宋_GB2312"/>
      <w:sz w:val="32"/>
      <w:szCs w:val="32"/>
      <w:lang w:val="zh-CN" w:bidi="zh-CN"/>
    </w:rPr>
  </w:style>
  <w:style w:type="paragraph" w:customStyle="1" w:styleId="10">
    <w:name w:val="BodyText1I"/>
    <w:basedOn w:val="9"/>
    <w:qFormat/>
    <w:uiPriority w:val="0"/>
    <w:pPr>
      <w:ind w:firstLine="420" w:firstLineChars="100"/>
      <w:textAlignment w:val="baseline"/>
    </w:pPr>
    <w:rPr>
      <w:rFonts w:ascii="仿宋_GB2312" w:hAnsi="仿宋_GB2312" w:eastAsia="仿宋_GB2312" w:cs="宋体"/>
      <w:sz w:val="32"/>
      <w:szCs w:val="32"/>
      <w:lang w:val="zh-CN" w:bidi="zh-CN"/>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 w:type="paragraph" w:customStyle="1" w:styleId="13">
    <w:name w:val="样式 标题 3"/>
    <w:qFormat/>
    <w:uiPriority w:val="99"/>
    <w:pPr>
      <w:keepNext/>
      <w:keepLines/>
      <w:widowControl w:val="0"/>
      <w:jc w:val="center"/>
      <w:outlineLvl w:val="2"/>
    </w:pPr>
    <w:rPr>
      <w:rFonts w:ascii="文鼎小标宋简" w:hAnsi="Times New Roman" w:eastAsia="文鼎小标宋简" w:cs="Times New Roman"/>
      <w:kern w:val="2"/>
      <w:sz w:val="44"/>
      <w:szCs w:val="22"/>
      <w:lang w:val="en-US" w:eastAsia="zh-CN" w:bidi="ar-SA"/>
    </w:rPr>
  </w:style>
  <w:style w:type="character" w:customStyle="1" w:styleId="14">
    <w:name w:val="正文文本 Char"/>
    <w:link w:val="5"/>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4690</Words>
  <Characters>5117</Characters>
  <Lines>0</Lines>
  <Paragraphs>0</Paragraphs>
  <TotalTime>0</TotalTime>
  <ScaleCrop>false</ScaleCrop>
  <LinksUpToDate>false</LinksUpToDate>
  <CharactersWithSpaces>5321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dell</cp:lastModifiedBy>
  <dcterms:modified xsi:type="dcterms:W3CDTF">2024-06-30T09:57:32Z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12C804FB5DC74582993175EDEB038DA2_13</vt:lpwstr>
  </property>
</Properties>
</file>