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424"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3</w:t>
            </w:r>
            <w:r>
              <w:rPr>
                <w:rFonts w:hint="eastAsia" w:ascii="仿宋_GB2312" w:hAnsi="仿宋_GB2312" w:eastAsia="仿宋_GB2312" w:cs="仿宋_GB2312"/>
                <w:b/>
                <w:bCs/>
                <w:color w:val="auto"/>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控制率</w:t>
            </w:r>
          </w:p>
        </w:tc>
      </w:tr>
      <w:tr>
        <w:tblPrEx>
          <w:tblCellMar>
            <w:top w:w="0" w:type="dxa"/>
            <w:left w:w="108" w:type="dxa"/>
            <w:bottom w:w="0" w:type="dxa"/>
            <w:right w:w="108" w:type="dxa"/>
          </w:tblCellMar>
        </w:tblPrEx>
        <w:trPr>
          <w:trHeight w:val="39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78.85%</w:t>
            </w:r>
          </w:p>
        </w:tc>
      </w:tr>
      <w:tr>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bCs/>
                <w:color w:val="auto"/>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3</w:t>
            </w:r>
            <w:r>
              <w:rPr>
                <w:rFonts w:hint="eastAsia" w:ascii="仿宋_GB2312" w:hAnsi="仿宋_GB2312" w:eastAsia="仿宋_GB2312" w:cs="仿宋_GB2312"/>
                <w:b/>
                <w:bCs/>
                <w:color w:val="auto"/>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3</w:t>
            </w:r>
            <w:r>
              <w:rPr>
                <w:rFonts w:hint="eastAsia" w:ascii="仿宋_GB2312" w:hAnsi="仿宋_GB2312" w:eastAsia="仿宋_GB2312" w:cs="仿宋_GB2312"/>
                <w:b/>
                <w:bCs/>
                <w:color w:val="auto"/>
                <w:sz w:val="20"/>
                <w:szCs w:val="20"/>
                <w:highlight w:val="none"/>
              </w:rPr>
              <w:t>年决算数</w:t>
            </w:r>
          </w:p>
        </w:tc>
      </w:tr>
      <w:tr>
        <w:tblPrEx>
          <w:tblCellMar>
            <w:top w:w="0" w:type="dxa"/>
            <w:left w:w="108" w:type="dxa"/>
            <w:bottom w:w="0" w:type="dxa"/>
            <w:right w:w="108" w:type="dxa"/>
          </w:tblCellMar>
        </w:tblPrEx>
        <w:trPr>
          <w:trHeight w:val="332"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0.67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402"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38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4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02"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0.67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122.28</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122.28</w:t>
            </w:r>
          </w:p>
        </w:tc>
      </w:tr>
      <w:tr>
        <w:tblPrEx>
          <w:tblCellMar>
            <w:top w:w="0" w:type="dxa"/>
            <w:left w:w="108" w:type="dxa"/>
            <w:bottom w:w="0" w:type="dxa"/>
            <w:right w:w="108" w:type="dxa"/>
          </w:tblCellMar>
        </w:tblPrEx>
        <w:trPr>
          <w:trHeight w:val="38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191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122.28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122.28</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r>
              <w:rPr>
                <w:rFonts w:hint="eastAsia" w:ascii="仿宋_GB2312" w:hAnsi="仿宋_GB2312" w:eastAsia="仿宋_GB2312" w:cs="仿宋_GB2312"/>
                <w:color w:val="auto"/>
                <w:sz w:val="20"/>
                <w:szCs w:val="20"/>
                <w:highlight w:val="none"/>
                <w:lang w:eastAsia="zh-CN"/>
              </w:rPr>
              <w:t>市级</w:t>
            </w:r>
            <w:r>
              <w:rPr>
                <w:rFonts w:hint="eastAsia" w:ascii="仿宋_GB2312" w:hAnsi="仿宋_GB2312" w:eastAsia="仿宋_GB2312" w:cs="仿宋_GB2312"/>
                <w:color w:val="auto"/>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5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203.84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351.65</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351.65</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115.54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101.22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101.22　</w:t>
            </w:r>
          </w:p>
        </w:tc>
      </w:tr>
      <w:tr>
        <w:tblPrEx>
          <w:tblCellMar>
            <w:top w:w="0" w:type="dxa"/>
            <w:left w:w="108" w:type="dxa"/>
            <w:bottom w:w="0" w:type="dxa"/>
            <w:right w:w="108" w:type="dxa"/>
          </w:tblCellMar>
        </w:tblPrEx>
        <w:trPr>
          <w:trHeight w:val="403"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32.56</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26.37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26.37　</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4.59</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17.83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17.83　</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4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楼堂馆所控制情况</w:t>
            </w:r>
          </w:p>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（202</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lang w:eastAsia="zh-CN"/>
              </w:rPr>
            </w:pPr>
            <w:r>
              <w:rPr>
                <w:rFonts w:hint="eastAsia" w:ascii="仿宋_GB2312" w:hAnsi="仿宋_GB2312" w:eastAsia="仿宋_GB2312" w:cs="仿宋_GB2312"/>
                <w:bCs/>
                <w:color w:val="auto"/>
                <w:sz w:val="20"/>
                <w:szCs w:val="20"/>
                <w:highlight w:val="none"/>
              </w:rPr>
              <w:t>批复规模</w:t>
            </w:r>
          </w:p>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color w:val="auto"/>
                <w:sz w:val="20"/>
                <w:szCs w:val="20"/>
                <w:highlight w:val="none"/>
              </w:rPr>
            </w:pPr>
            <w:r>
              <w:rPr>
                <w:rFonts w:hint="eastAsia" w:ascii="仿宋_GB2312" w:hAnsi="仿宋_GB2312" w:eastAsia="仿宋_GB2312" w:cs="仿宋_GB2312"/>
                <w:bCs/>
                <w:color w:val="auto"/>
                <w:sz w:val="20"/>
                <w:szCs w:val="20"/>
                <w:highlight w:val="none"/>
              </w:rPr>
              <w:t>投资概算控制率</w:t>
            </w:r>
          </w:p>
        </w:tc>
      </w:tr>
      <w:tr>
        <w:tblPrEx>
          <w:tblCellMar>
            <w:top w:w="0" w:type="dxa"/>
            <w:left w:w="108" w:type="dxa"/>
            <w:bottom w:w="0" w:type="dxa"/>
            <w:right w:w="108" w:type="dxa"/>
          </w:tblCellMar>
        </w:tblPrEx>
        <w:trPr>
          <w:trHeight w:val="43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552"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bl>
    <w:p>
      <w:pPr>
        <w:widowControl/>
        <w:spacing w:afterLines="0" w:line="400" w:lineRule="exact"/>
        <w:jc w:val="left"/>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default" w:ascii="Times New Roman" w:hAnsi="Times New Roman" w:eastAsia="仿宋_GB2312" w:cs="Times New Roman"/>
          <w:color w:val="auto"/>
          <w:sz w:val="22"/>
          <w:highlight w:val="none"/>
        </w:rPr>
      </w:pPr>
    </w:p>
    <w:p>
      <w:pPr>
        <w:widowControl/>
        <w:spacing w:after="0" w:afterLines="0" w:line="400" w:lineRule="exact"/>
        <w:jc w:val="left"/>
        <w:rPr>
          <w:rFonts w:hint="eastAsia" w:ascii="黑体" w:hAnsi="黑体" w:eastAsia="黑体" w:cs="黑体"/>
          <w:color w:val="auto"/>
          <w:sz w:val="32"/>
          <w:szCs w:val="32"/>
          <w:highlight w:val="none"/>
          <w:lang w:eastAsia="zh-CN"/>
        </w:rPr>
      </w:pPr>
      <w:r>
        <w:rPr>
          <w:rFonts w:hint="default" w:ascii="Times New Roman" w:hAnsi="Times New Roman" w:eastAsia="仿宋_GB2312" w:cs="Times New Roman"/>
          <w:color w:val="auto"/>
          <w:sz w:val="22"/>
          <w:highlight w:val="none"/>
        </w:rPr>
        <w:t>填表人：        填报日期：          联系电话：            单位负责人签字：</w:t>
      </w:r>
      <w:r>
        <w:rPr>
          <w:rFonts w:hint="default" w:ascii="Times New Roman" w:hAnsi="Times New Roman" w:eastAsia="仿宋_GB2312" w:cs="Times New Roman"/>
          <w:color w:val="auto"/>
          <w:sz w:val="2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年度部门整体支出绩效自评表</w:t>
      </w:r>
    </w:p>
    <w:tbl>
      <w:tblPr>
        <w:tblStyle w:val="4"/>
        <w:tblW w:w="9416" w:type="dxa"/>
        <w:jc w:val="center"/>
        <w:tblLayout w:type="autofit"/>
        <w:tblCellMar>
          <w:top w:w="0" w:type="dxa"/>
          <w:left w:w="108" w:type="dxa"/>
          <w:bottom w:w="0" w:type="dxa"/>
          <w:right w:w="108" w:type="dxa"/>
        </w:tblCellMar>
      </w:tblPr>
      <w:tblGrid>
        <w:gridCol w:w="1029"/>
        <w:gridCol w:w="1037"/>
        <w:gridCol w:w="1051"/>
        <w:gridCol w:w="1220"/>
        <w:gridCol w:w="1304"/>
        <w:gridCol w:w="1365"/>
        <w:gridCol w:w="724"/>
        <w:gridCol w:w="828"/>
        <w:gridCol w:w="858"/>
      </w:tblGrid>
      <w:tr>
        <w:tblPrEx>
          <w:tblCellMar>
            <w:top w:w="0" w:type="dxa"/>
            <w:left w:w="108" w:type="dxa"/>
            <w:bottom w:w="0" w:type="dxa"/>
            <w:right w:w="108" w:type="dxa"/>
          </w:tblCellMar>
        </w:tblPrEx>
        <w:trPr>
          <w:trHeight w:val="748"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市</w:t>
            </w:r>
            <w:r>
              <w:rPr>
                <w:rFonts w:hint="eastAsia" w:ascii="仿宋_GB2312" w:hAnsi="仿宋_GB2312" w:eastAsia="仿宋_GB2312" w:cs="仿宋_GB2312"/>
                <w:color w:val="auto"/>
                <w:sz w:val="20"/>
                <w:szCs w:val="20"/>
                <w:highlight w:val="none"/>
              </w:rPr>
              <w:t>级预算部门名称</w:t>
            </w:r>
          </w:p>
        </w:tc>
        <w:tc>
          <w:tcPr>
            <w:tcW w:w="838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中共岳阳市君山区纪律检查委员会　</w:t>
            </w:r>
          </w:p>
        </w:tc>
      </w:tr>
      <w:tr>
        <w:tblPrEx>
          <w:tblCellMar>
            <w:top w:w="0" w:type="dxa"/>
            <w:left w:w="108" w:type="dxa"/>
            <w:bottom w:w="0" w:type="dxa"/>
            <w:right w:w="108" w:type="dxa"/>
          </w:tblCellMar>
        </w:tblPrEx>
        <w:trPr>
          <w:trHeight w:val="771" w:hRule="atLeast"/>
          <w:jc w:val="center"/>
        </w:trPr>
        <w:tc>
          <w:tcPr>
            <w:tcW w:w="102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年度预</w:t>
            </w:r>
          </w:p>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算申请</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（万元）</w:t>
            </w:r>
          </w:p>
        </w:tc>
        <w:tc>
          <w:tcPr>
            <w:tcW w:w="20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p>
        </w:tc>
        <w:tc>
          <w:tcPr>
            <w:tcW w:w="12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年初预算数</w:t>
            </w:r>
          </w:p>
        </w:tc>
        <w:tc>
          <w:tcPr>
            <w:tcW w:w="130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全年预算数</w:t>
            </w:r>
          </w:p>
        </w:tc>
        <w:tc>
          <w:tcPr>
            <w:tcW w:w="136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全年执行数</w:t>
            </w:r>
          </w:p>
        </w:tc>
        <w:tc>
          <w:tcPr>
            <w:tcW w:w="72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82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执行率</w:t>
            </w:r>
          </w:p>
        </w:tc>
        <w:tc>
          <w:tcPr>
            <w:tcW w:w="85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得分</w:t>
            </w:r>
          </w:p>
        </w:tc>
      </w:tr>
      <w:tr>
        <w:tblPrEx>
          <w:tblCellMar>
            <w:top w:w="0" w:type="dxa"/>
            <w:left w:w="108" w:type="dxa"/>
            <w:bottom w:w="0" w:type="dxa"/>
            <w:right w:w="108" w:type="dxa"/>
          </w:tblCellMar>
        </w:tblPrEx>
        <w:trPr>
          <w:trHeight w:val="792" w:hRule="atLeast"/>
          <w:jc w:val="center"/>
        </w:trPr>
        <w:tc>
          <w:tcPr>
            <w:tcW w:w="1029"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20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年度资金总额</w:t>
            </w:r>
          </w:p>
        </w:tc>
        <w:tc>
          <w:tcPr>
            <w:tcW w:w="12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970.69</w:t>
            </w:r>
          </w:p>
        </w:tc>
        <w:tc>
          <w:tcPr>
            <w:tcW w:w="130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1170.1</w:t>
            </w:r>
          </w:p>
        </w:tc>
        <w:tc>
          <w:tcPr>
            <w:tcW w:w="136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1170.1</w:t>
            </w:r>
          </w:p>
        </w:tc>
        <w:tc>
          <w:tcPr>
            <w:tcW w:w="72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82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5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r>
      <w:tr>
        <w:tblPrEx>
          <w:tblCellMar>
            <w:top w:w="0" w:type="dxa"/>
            <w:left w:w="108" w:type="dxa"/>
            <w:bottom w:w="0" w:type="dxa"/>
            <w:right w:w="108" w:type="dxa"/>
          </w:tblCellMar>
        </w:tblPrEx>
        <w:trPr>
          <w:trHeight w:val="798" w:hRule="atLeast"/>
          <w:jc w:val="center"/>
        </w:trPr>
        <w:tc>
          <w:tcPr>
            <w:tcW w:w="10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按收入性质分：</w:t>
            </w:r>
          </w:p>
        </w:tc>
        <w:tc>
          <w:tcPr>
            <w:tcW w:w="37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按支出性质分：</w:t>
            </w:r>
          </w:p>
        </w:tc>
      </w:tr>
      <w:tr>
        <w:tblPrEx>
          <w:tblCellMar>
            <w:top w:w="0" w:type="dxa"/>
            <w:left w:w="108" w:type="dxa"/>
            <w:bottom w:w="0" w:type="dxa"/>
            <w:right w:w="108" w:type="dxa"/>
          </w:tblCellMar>
        </w:tblPrEx>
        <w:trPr>
          <w:trHeight w:val="735" w:hRule="atLeast"/>
          <w:jc w:val="center"/>
        </w:trPr>
        <w:tc>
          <w:tcPr>
            <w:tcW w:w="10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1145.61</w:t>
            </w:r>
          </w:p>
        </w:tc>
        <w:tc>
          <w:tcPr>
            <w:tcW w:w="37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其中：基本支出：</w:t>
            </w:r>
            <w:r>
              <w:rPr>
                <w:rFonts w:hint="eastAsia" w:ascii="仿宋_GB2312" w:hAnsi="仿宋_GB2312" w:eastAsia="仿宋_GB2312" w:cs="仿宋_GB2312"/>
                <w:color w:val="auto"/>
                <w:sz w:val="20"/>
                <w:szCs w:val="20"/>
                <w:highlight w:val="none"/>
                <w:lang w:val="en-US" w:eastAsia="zh-CN"/>
              </w:rPr>
              <w:t>1047.82</w:t>
            </w:r>
          </w:p>
        </w:tc>
      </w:tr>
      <w:tr>
        <w:tblPrEx>
          <w:tblCellMar>
            <w:top w:w="0" w:type="dxa"/>
            <w:left w:w="108" w:type="dxa"/>
            <w:bottom w:w="0" w:type="dxa"/>
            <w:right w:w="108" w:type="dxa"/>
          </w:tblCellMar>
        </w:tblPrEx>
        <w:trPr>
          <w:trHeight w:val="672" w:hRule="atLeast"/>
          <w:jc w:val="center"/>
        </w:trPr>
        <w:tc>
          <w:tcPr>
            <w:tcW w:w="10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政府性基金拨款：</w:t>
            </w:r>
          </w:p>
        </w:tc>
        <w:tc>
          <w:tcPr>
            <w:tcW w:w="3775"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项目支出：</w:t>
            </w:r>
            <w:r>
              <w:rPr>
                <w:rFonts w:hint="eastAsia" w:ascii="仿宋_GB2312" w:hAnsi="仿宋_GB2312" w:eastAsia="仿宋_GB2312" w:cs="仿宋_GB2312"/>
                <w:color w:val="auto"/>
                <w:sz w:val="20"/>
                <w:szCs w:val="20"/>
                <w:highlight w:val="none"/>
                <w:lang w:val="en-US" w:eastAsia="zh-CN"/>
              </w:rPr>
              <w:t>122.28</w:t>
            </w:r>
          </w:p>
        </w:tc>
      </w:tr>
      <w:tr>
        <w:tblPrEx>
          <w:tblCellMar>
            <w:top w:w="0" w:type="dxa"/>
            <w:left w:w="108" w:type="dxa"/>
            <w:bottom w:w="0" w:type="dxa"/>
            <w:right w:w="108" w:type="dxa"/>
          </w:tblCellMar>
        </w:tblPrEx>
        <w:trPr>
          <w:trHeight w:val="780" w:hRule="atLeast"/>
          <w:jc w:val="center"/>
        </w:trPr>
        <w:tc>
          <w:tcPr>
            <w:tcW w:w="1029"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37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801" w:hRule="atLeast"/>
          <w:jc w:val="center"/>
        </w:trPr>
        <w:tc>
          <w:tcPr>
            <w:tcW w:w="1029"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24.49</w:t>
            </w:r>
          </w:p>
        </w:tc>
        <w:tc>
          <w:tcPr>
            <w:tcW w:w="377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705" w:hRule="atLeast"/>
          <w:jc w:val="center"/>
        </w:trPr>
        <w:tc>
          <w:tcPr>
            <w:tcW w:w="1029"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年度总体目标</w:t>
            </w:r>
          </w:p>
        </w:tc>
        <w:tc>
          <w:tcPr>
            <w:tcW w:w="4612"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预期目标</w:t>
            </w:r>
          </w:p>
        </w:tc>
        <w:tc>
          <w:tcPr>
            <w:tcW w:w="377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实际完成情况　</w:t>
            </w:r>
          </w:p>
        </w:tc>
      </w:tr>
      <w:tr>
        <w:tblPrEx>
          <w:tblCellMar>
            <w:top w:w="0" w:type="dxa"/>
            <w:left w:w="108" w:type="dxa"/>
            <w:bottom w:w="0" w:type="dxa"/>
            <w:right w:w="108" w:type="dxa"/>
          </w:tblCellMar>
        </w:tblPrEx>
        <w:trPr>
          <w:trHeight w:val="5612" w:hRule="atLeast"/>
          <w:jc w:val="center"/>
        </w:trPr>
        <w:tc>
          <w:tcPr>
            <w:tcW w:w="102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4612" w:type="dxa"/>
            <w:gridSpan w:val="4"/>
            <w:tcBorders>
              <w:top w:val="single" w:color="auto" w:sz="4" w:space="0"/>
              <w:left w:val="nil"/>
              <w:bottom w:val="single" w:color="auto" w:sz="4" w:space="0"/>
              <w:right w:val="single" w:color="000000"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目标1：围绕中心大局，强化政治监督。</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目标2：深化清廉建设，擦亮特色品牌。</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目标3：紧盯“四风”顽疾，筑牢作风防线。</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目标4：强化四类监督，提升治理效能。</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目标5：坚守人民立场，深化专项整治。</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目标6：推进“三不”一体，提高反腐效能。</w:t>
            </w:r>
          </w:p>
          <w:p>
            <w:pPr>
              <w:autoSpaceDN w:val="0"/>
              <w:spacing w:line="320" w:lineRule="exact"/>
              <w:jc w:val="left"/>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目标7：坚持问题导向，确保整改成效。</w:t>
            </w:r>
          </w:p>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rPr>
              <w:t>目标8：压实自身建设，锻造纪检铁军。</w:t>
            </w:r>
            <w:r>
              <w:rPr>
                <w:rFonts w:hint="eastAsia" w:ascii="仿宋_GB2312" w:hAnsi="仿宋_GB2312" w:eastAsia="仿宋_GB2312" w:cs="仿宋_GB2312"/>
                <w:color w:val="auto"/>
                <w:sz w:val="20"/>
                <w:szCs w:val="20"/>
                <w:highlight w:val="none"/>
              </w:rPr>
              <w:t>　　</w:t>
            </w:r>
          </w:p>
        </w:tc>
        <w:tc>
          <w:tcPr>
            <w:tcW w:w="377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　  2023年以来，在市纪委监委和区委的坚强领导下，君山区纪委监委坚持围绕中心、服务大局，充分发挥监督保障执行、促进完善发展作用，以纪检监察工作高质量发展护航全区经济社会高质量发展。中央督导组、省市督导组在调研君山时给予充分肯定，“三湘护农”“洞庭清波”专项行动、教育整顿、清廉建设等多项工作被中国纪检监察报、三湘风纪、湖南日报、岳阳日报、清廉岳阳等媒体宣传推介。</w:t>
            </w:r>
          </w:p>
        </w:tc>
      </w:tr>
      <w:tr>
        <w:tblPrEx>
          <w:tblCellMar>
            <w:top w:w="0" w:type="dxa"/>
            <w:left w:w="108" w:type="dxa"/>
            <w:bottom w:w="0" w:type="dxa"/>
            <w:right w:w="108" w:type="dxa"/>
          </w:tblCellMar>
        </w:tblPrEx>
        <w:trPr>
          <w:trHeight w:val="783" w:hRule="atLeast"/>
          <w:jc w:val="center"/>
        </w:trPr>
        <w:tc>
          <w:tcPr>
            <w:tcW w:w="10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绩</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效</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标</w:t>
            </w:r>
          </w:p>
          <w:p>
            <w:pPr>
              <w:widowControl/>
              <w:spacing w:line="240" w:lineRule="exact"/>
              <w:jc w:val="center"/>
              <w:rPr>
                <w:rFonts w:hint="eastAsia" w:ascii="仿宋_GB2312" w:hAnsi="仿宋_GB2312" w:eastAsia="仿宋_GB2312" w:cs="仿宋_GB2312"/>
                <w:color w:val="auto"/>
                <w:sz w:val="20"/>
                <w:szCs w:val="20"/>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一级指标</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二级指标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三级指标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年度指标值</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实际完成值</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得分</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偏差原因分析及改进措施</w:t>
            </w:r>
          </w:p>
        </w:tc>
      </w:tr>
      <w:tr>
        <w:tblPrEx>
          <w:tblCellMar>
            <w:top w:w="0" w:type="dxa"/>
            <w:left w:w="108" w:type="dxa"/>
            <w:bottom w:w="0" w:type="dxa"/>
            <w:right w:w="108" w:type="dxa"/>
          </w:tblCellMar>
        </w:tblPrEx>
        <w:trPr>
          <w:trHeight w:val="801"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bookmarkStart w:id="1" w:name="_GoBack" w:colFirst="5" w:colLast="5"/>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产出指标</w:t>
            </w:r>
          </w:p>
          <w:p>
            <w:pPr>
              <w:widowControl/>
              <w:spacing w:line="240" w:lineRule="exact"/>
              <w:jc w:val="center"/>
              <w:rPr>
                <w:rFonts w:hint="eastAsia" w:ascii="仿宋_GB2312" w:hAnsi="仿宋_GB2312" w:eastAsia="仿宋_GB2312" w:cs="仿宋_GB2312"/>
                <w:color w:val="auto"/>
                <w:sz w:val="20"/>
                <w:szCs w:val="20"/>
                <w:highlight w:val="none"/>
              </w:rPr>
            </w:pP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50分</w:t>
            </w:r>
            <w:r>
              <w:rPr>
                <w:rFonts w:hint="eastAsia" w:ascii="仿宋_GB2312" w:hAnsi="仿宋_GB2312" w:eastAsia="仿宋_GB2312" w:cs="仿宋_GB2312"/>
                <w:color w:val="auto"/>
                <w:sz w:val="20"/>
                <w:szCs w:val="20"/>
                <w:highlight w:val="none"/>
                <w:lang w:eastAsia="zh-CN"/>
              </w:rPr>
              <w:t>）</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数量指标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派驻纪检机构的日常监督完成率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837"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各单位的经济运行情况的监督率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786"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监督单位的资金使用监管率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579"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质量指标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巡察组交办件办结率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98%</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596"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问题整改率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599"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时效指标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完成及时率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95%</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bookmarkEnd w:id="1"/>
      <w:tr>
        <w:tblPrEx>
          <w:tblCellMar>
            <w:top w:w="0" w:type="dxa"/>
            <w:left w:w="108" w:type="dxa"/>
            <w:bottom w:w="0" w:type="dxa"/>
            <w:right w:w="108" w:type="dxa"/>
          </w:tblCellMar>
        </w:tblPrEx>
        <w:trPr>
          <w:trHeight w:val="618"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成本指标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577"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效益指标</w:t>
            </w:r>
          </w:p>
          <w:p>
            <w:pPr>
              <w:widowControl/>
              <w:spacing w:line="240" w:lineRule="exact"/>
              <w:jc w:val="left"/>
              <w:rPr>
                <w:rFonts w:hint="eastAsia" w:ascii="仿宋_GB2312" w:hAnsi="仿宋_GB2312" w:eastAsia="仿宋_GB2312" w:cs="仿宋_GB2312"/>
                <w:color w:val="auto"/>
                <w:sz w:val="20"/>
                <w:szCs w:val="20"/>
                <w:highlight w:val="none"/>
              </w:rPr>
            </w:pPr>
          </w:p>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（30分）</w:t>
            </w:r>
          </w:p>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经济效</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财政资金支出</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≤863万元</w:t>
            </w:r>
            <w:r>
              <w:rPr>
                <w:rFonts w:hint="eastAsia" w:ascii="仿宋_GB2312" w:hAnsi="仿宋_GB2312" w:eastAsia="仿宋_GB2312" w:cs="仿宋_GB2312"/>
                <w:color w:val="auto"/>
                <w:sz w:val="20"/>
                <w:szCs w:val="20"/>
                <w:highlight w:val="none"/>
              </w:rPr>
              <w:t>　</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1145.61万元</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670"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社会效</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留置案件办理水平</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提升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提升</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652"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color w:val="auto"/>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color w:val="auto"/>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群众利益捍卫率</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提升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提升</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605"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生态效</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水电消耗量</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下降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下降</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815"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可持续影响指标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化解信访</w:t>
            </w:r>
          </w:p>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积压件</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长期</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长期</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799" w:hRule="atLeast"/>
          <w:jc w:val="center"/>
        </w:trPr>
        <w:tc>
          <w:tcPr>
            <w:tcW w:w="10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sz w:val="20"/>
                <w:szCs w:val="20"/>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满意度</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w:t>
            </w:r>
          </w:p>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（10分）</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服务对象满意度指标</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群众满意度</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98%</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99%</w:t>
            </w: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10</w:t>
            </w:r>
          </w:p>
        </w:tc>
        <w:tc>
          <w:tcPr>
            <w:tcW w:w="8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718" w:hRule="atLeast"/>
          <w:jc w:val="center"/>
        </w:trPr>
        <w:tc>
          <w:tcPr>
            <w:tcW w:w="7006"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总分</w:t>
            </w:r>
          </w:p>
        </w:tc>
        <w:tc>
          <w:tcPr>
            <w:tcW w:w="7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99</w:t>
            </w:r>
          </w:p>
        </w:tc>
        <w:tc>
          <w:tcPr>
            <w:tcW w:w="85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bl>
    <w:p>
      <w:pPr>
        <w:widowControl/>
        <w:spacing w:line="600" w:lineRule="exact"/>
        <w:jc w:val="left"/>
        <w:rPr>
          <w:rFonts w:hint="eastAsia"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22"/>
          <w:szCs w:val="22"/>
          <w:highlight w:val="none"/>
        </w:rPr>
        <w:t xml:space="preserve">填表人：      填报日期：         联系电话：     </w:t>
      </w:r>
      <w:r>
        <w:rPr>
          <w:rFonts w:hint="eastAsia" w:ascii="Times New Roman" w:hAnsi="Times New Roman" w:eastAsia="仿宋_GB2312" w:cs="Times New Roman"/>
          <w:color w:val="auto"/>
          <w:sz w:val="22"/>
          <w:szCs w:val="22"/>
          <w:highlight w:val="none"/>
          <w:lang w:val="en-US" w:eastAsia="zh-CN"/>
        </w:rPr>
        <w:t xml:space="preserve">           </w:t>
      </w:r>
      <w:r>
        <w:rPr>
          <w:rFonts w:hint="default" w:ascii="Times New Roman" w:hAnsi="Times New Roman" w:eastAsia="仿宋_GB2312" w:cs="Times New Roman"/>
          <w:color w:val="auto"/>
          <w:sz w:val="22"/>
          <w:szCs w:val="22"/>
          <w:highlight w:val="none"/>
        </w:rPr>
        <w:t>单位负责人签字：</w:t>
      </w:r>
      <w:r>
        <w:rPr>
          <w:rFonts w:hint="default" w:ascii="Times New Roman" w:hAnsi="Times New Roman" w:eastAsia="仿宋_GB2312" w:cs="Times New Roman"/>
          <w:color w:val="auto"/>
          <w:sz w:val="22"/>
          <w:szCs w:val="22"/>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spacing w:line="600" w:lineRule="exact"/>
              <w:ind w:firstLine="560" w:firstLineChars="200"/>
              <w:rPr>
                <w:rFonts w:hint="eastAsia" w:ascii="仿宋_GB2312" w:hAnsi="仿宋_GB2312" w:eastAsia="仿宋_GB2312" w:cs="仿宋_GB2312"/>
                <w:color w:val="auto"/>
                <w:kern w:val="0"/>
                <w:sz w:val="20"/>
                <w:szCs w:val="20"/>
                <w:highlight w:val="none"/>
                <w:lang w:val="en-US" w:eastAsia="zh-CN" w:bidi="ar-SA"/>
              </w:rPr>
            </w:pPr>
            <w:r>
              <w:rPr>
                <w:rFonts w:hint="eastAsia" w:ascii="方正仿宋_GB2312" w:hAnsi="方正仿宋_GB2312" w:eastAsia="方正仿宋_GB2312" w:cs="方正仿宋_GB2312"/>
                <w:color w:val="auto"/>
                <w:sz w:val="28"/>
                <w:szCs w:val="28"/>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50分</w:t>
            </w:r>
            <w:r>
              <w:rPr>
                <w:rFonts w:hint="eastAsia" w:ascii="仿宋_GB2312" w:hAnsi="仿宋_GB2312" w:eastAsia="仿宋_GB2312" w:cs="仿宋_GB2312"/>
                <w:color w:val="auto"/>
                <w:sz w:val="20"/>
                <w:szCs w:val="20"/>
                <w:highlight w:val="none"/>
                <w:lang w:eastAsia="zh-CN"/>
              </w:rPr>
              <w:t>）</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bl>
    <w:p>
      <w:pPr>
        <w:rPr>
          <w:rFonts w:hint="default" w:ascii="Times New Roman" w:hAnsi="Times New Roman" w:eastAsia="仿宋_GB2312" w:cs="Times New Roman"/>
          <w:color w:val="auto"/>
          <w:sz w:val="18"/>
          <w:szCs w:val="18"/>
          <w:highlight w:val="none"/>
        </w:rPr>
      </w:pPr>
    </w:p>
    <w:p>
      <w:pP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18"/>
          <w:szCs w:val="18"/>
          <w:highlight w:val="none"/>
        </w:rPr>
        <w:t>备注：一个一级项目支出一张表。</w:t>
      </w:r>
      <w:r>
        <w:rPr>
          <w:rFonts w:hint="eastAsia" w:ascii="Times New Roman" w:hAnsi="Times New Roman" w:eastAsia="仿宋_GB2312" w:cs="Times New Roman"/>
          <w:color w:val="auto"/>
          <w:sz w:val="18"/>
          <w:szCs w:val="18"/>
          <w:highlight w:val="none"/>
          <w:lang w:eastAsia="zh-CN"/>
        </w:rPr>
        <w:t>如，</w:t>
      </w:r>
      <w:r>
        <w:rPr>
          <w:rFonts w:hint="default" w:ascii="Times New Roman" w:hAnsi="Times New Roman" w:eastAsia="仿宋_GB2312" w:cs="Times New Roman"/>
          <w:color w:val="auto"/>
          <w:sz w:val="18"/>
          <w:szCs w:val="18"/>
          <w:highlight w:val="none"/>
        </w:rPr>
        <w:t>业务工作经费</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运行维护经费</w:t>
      </w:r>
      <w:r>
        <w:rPr>
          <w:rFonts w:hint="eastAsia" w:ascii="Times New Roman" w:hAnsi="Times New Roman" w:eastAsia="仿宋_GB2312" w:cs="Times New Roman"/>
          <w:color w:val="auto"/>
          <w:sz w:val="18"/>
          <w:szCs w:val="18"/>
          <w:highlight w:val="none"/>
          <w:lang w:eastAsia="zh-CN"/>
        </w:rPr>
        <w:t>，其他事业发展类资金…各一张表。</w:t>
      </w:r>
    </w:p>
    <w:p>
      <w:pPr>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color w:val="auto"/>
          <w:sz w:val="22"/>
          <w:szCs w:val="22"/>
          <w:highlight w:val="none"/>
        </w:rPr>
        <w:t xml:space="preserve">填表人：       </w:t>
      </w:r>
      <w:r>
        <w:rPr>
          <w:rFonts w:hint="eastAsia" w:ascii="Times New Roman" w:hAnsi="Times New Roman" w:eastAsia="仿宋_GB2312" w:cs="Times New Roman"/>
          <w:color w:val="auto"/>
          <w:sz w:val="22"/>
          <w:szCs w:val="22"/>
          <w:highlight w:val="none"/>
          <w:lang w:val="en-US" w:eastAsia="zh-CN"/>
        </w:rPr>
        <w:t xml:space="preserve"> </w:t>
      </w:r>
      <w:r>
        <w:rPr>
          <w:rFonts w:hint="default" w:ascii="Times New Roman" w:hAnsi="Times New Roman" w:eastAsia="仿宋_GB2312" w:cs="Times New Roman"/>
          <w:color w:val="auto"/>
          <w:sz w:val="22"/>
          <w:szCs w:val="22"/>
          <w:highlight w:val="none"/>
        </w:rPr>
        <w:t xml:space="preserve">填报日期：     </w:t>
      </w:r>
      <w:r>
        <w:rPr>
          <w:rFonts w:hint="eastAsia" w:ascii="Times New Roman" w:hAnsi="Times New Roman" w:eastAsia="仿宋_GB2312" w:cs="Times New Roman"/>
          <w:color w:val="auto"/>
          <w:sz w:val="22"/>
          <w:szCs w:val="22"/>
          <w:highlight w:val="none"/>
          <w:lang w:val="en-US" w:eastAsia="zh-CN"/>
        </w:rPr>
        <w:t xml:space="preserve">      </w:t>
      </w:r>
      <w:r>
        <w:rPr>
          <w:rFonts w:hint="default" w:ascii="Times New Roman" w:hAnsi="Times New Roman" w:eastAsia="仿宋_GB2312" w:cs="Times New Roman"/>
          <w:color w:val="auto"/>
          <w:sz w:val="22"/>
          <w:szCs w:val="22"/>
          <w:highlight w:val="none"/>
        </w:rPr>
        <w:t xml:space="preserve">联系电话：   </w:t>
      </w:r>
      <w:r>
        <w:rPr>
          <w:rFonts w:hint="eastAsia" w:ascii="Times New Roman" w:hAnsi="Times New Roman" w:eastAsia="仿宋_GB2312" w:cs="Times New Roman"/>
          <w:color w:val="auto"/>
          <w:sz w:val="22"/>
          <w:szCs w:val="22"/>
          <w:highlight w:val="none"/>
          <w:lang w:val="en-US" w:eastAsia="zh-CN"/>
        </w:rPr>
        <w:t xml:space="preserve">         </w:t>
      </w:r>
      <w:r>
        <w:rPr>
          <w:rFonts w:hint="default" w:ascii="Times New Roman" w:hAnsi="Times New Roman" w:eastAsia="仿宋_GB2312" w:cs="Times New Roman"/>
          <w:color w:val="auto"/>
          <w:sz w:val="22"/>
          <w:szCs w:val="22"/>
          <w:highlight w:val="none"/>
        </w:rPr>
        <w:t xml:space="preserve"> 单位负责人签字：</w:t>
      </w:r>
      <w:r>
        <w:rPr>
          <w:rFonts w:hint="default" w:ascii="Times New Roman" w:hAnsi="Times New Roman" w:eastAsia="仿宋_GB2312" w:cs="Times New Roman"/>
          <w:color w:val="auto"/>
          <w:sz w:val="22"/>
          <w:szCs w:val="22"/>
          <w:highlight w:val="none"/>
        </w:rPr>
        <w:br w:type="page"/>
      </w:r>
    </w:p>
    <w:p>
      <w:pPr>
        <w:jc w:val="center"/>
        <w:rPr>
          <w:rFonts w:hint="default" w:ascii="Times New Roman" w:hAnsi="Times New Roman" w:eastAsia="方正小标宋_GBK" w:cs="Times New Roman"/>
          <w:color w:val="auto"/>
          <w:sz w:val="52"/>
          <w:szCs w:val="52"/>
          <w:highlight w:val="none"/>
        </w:rPr>
      </w:pPr>
    </w:p>
    <w:p>
      <w:pPr>
        <w:jc w:val="center"/>
        <w:rPr>
          <w:rFonts w:hint="eastAsia" w:ascii="方正小标宋简体" w:hAnsi="方正小标宋简体" w:eastAsia="方正小标宋简体" w:cs="方正小标宋简体"/>
          <w:color w:val="auto"/>
          <w:sz w:val="44"/>
          <w:szCs w:val="44"/>
          <w:highlight w:val="none"/>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年度中共岳阳市君山区纪律检查</w:t>
      </w: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委员会整体支出绩效自评报告</w:t>
      </w:r>
    </w:p>
    <w:p>
      <w:pPr>
        <w:jc w:val="center"/>
        <w:rPr>
          <w:rFonts w:hint="default" w:ascii="Times New Roman" w:hAnsi="Times New Roman" w:eastAsia="方正小标宋_GBK" w:cs="Times New Roman"/>
          <w:b/>
          <w:color w:val="auto"/>
          <w:sz w:val="52"/>
          <w:szCs w:val="5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楷体_GB2312" w:cs="Times New Roman"/>
          <w:b/>
          <w:color w:val="auto"/>
          <w:sz w:val="32"/>
          <w:szCs w:val="32"/>
          <w:highlight w:val="none"/>
        </w:rPr>
      </w:pPr>
    </w:p>
    <w:p>
      <w:pPr>
        <w:jc w:val="center"/>
        <w:rPr>
          <w:rFonts w:hint="default" w:ascii="Times New Roman" w:hAnsi="Times New Roman" w:eastAsia="黑体" w:cs="Times New Roman"/>
          <w:color w:val="auto"/>
          <w:sz w:val="32"/>
          <w:szCs w:val="32"/>
          <w:highlight w:val="none"/>
        </w:rPr>
      </w:pPr>
    </w:p>
    <w:p>
      <w:pPr>
        <w:jc w:val="center"/>
        <w:rPr>
          <w:rFonts w:hint="default" w:ascii="Times New Roman" w:hAnsi="Times New Roman" w:eastAsia="黑体" w:cs="Times New Roman"/>
          <w:color w:val="auto"/>
          <w:sz w:val="32"/>
          <w:szCs w:val="32"/>
          <w:highlight w:val="none"/>
        </w:rPr>
      </w:pPr>
    </w:p>
    <w:p>
      <w:pPr>
        <w:jc w:val="center"/>
        <w:rPr>
          <w:rFonts w:hint="default" w:ascii="Times New Roman" w:hAnsi="Times New Roman" w:eastAsia="黑体" w:cs="Times New Roman"/>
          <w:color w:val="auto"/>
          <w:sz w:val="32"/>
          <w:szCs w:val="32"/>
          <w:highlight w:val="none"/>
        </w:rPr>
      </w:pPr>
    </w:p>
    <w:p>
      <w:pPr>
        <w:jc w:val="both"/>
        <w:rPr>
          <w:rFonts w:hint="default" w:ascii="Times New Roman" w:hAnsi="Times New Roman" w:eastAsia="黑体" w:cs="Times New Roman"/>
          <w:color w:val="auto"/>
          <w:sz w:val="32"/>
          <w:szCs w:val="32"/>
          <w:highlight w:val="none"/>
        </w:rPr>
      </w:pPr>
    </w:p>
    <w:p>
      <w:pPr>
        <w:jc w:val="center"/>
        <w:rPr>
          <w:rFonts w:hint="default" w:ascii="Times New Roman" w:hAnsi="Times New Roman" w:eastAsia="黑体" w:cs="Times New Roman"/>
          <w:color w:val="auto"/>
          <w:sz w:val="32"/>
          <w:szCs w:val="32"/>
          <w:highlight w:val="none"/>
        </w:rPr>
      </w:pPr>
    </w:p>
    <w:p>
      <w:pPr>
        <w:spacing w:line="600" w:lineRule="exact"/>
        <w:jc w:val="center"/>
        <w:rPr>
          <w:rFonts w:hint="default" w:ascii="Times New Roman" w:hAnsi="Times New Roman" w:eastAsia="仿宋_GB2312" w:cs="Times New Roman"/>
          <w:color w:val="auto"/>
          <w:sz w:val="32"/>
          <w:szCs w:val="32"/>
          <w:highlight w:val="none"/>
        </w:rPr>
      </w:pPr>
    </w:p>
    <w:p>
      <w:pPr>
        <w:spacing w:line="600" w:lineRule="exact"/>
        <w:jc w:val="center"/>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部门（单位）名称：</w:t>
      </w:r>
      <w:r>
        <w:rPr>
          <w:rFonts w:hint="default" w:ascii="Times New Roman" w:hAnsi="Times New Roman" w:eastAsia="仿宋_GB2312" w:cs="Times New Roman"/>
          <w:color w:val="auto"/>
          <w:sz w:val="32"/>
          <w:szCs w:val="32"/>
          <w:highlight w:val="none"/>
          <w:u w:val="single"/>
        </w:rPr>
        <w:t>（盖章）</w:t>
      </w:r>
    </w:p>
    <w:p>
      <w:pPr>
        <w:spacing w:line="600" w:lineRule="exact"/>
        <w:jc w:val="center"/>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val="en-US" w:eastAsia="zh-CN"/>
        </w:rPr>
        <w:t>2024</w:t>
      </w:r>
      <w:r>
        <w:rPr>
          <w:rFonts w:hint="default" w:ascii="Times New Roman" w:hAnsi="Times New Roman" w:eastAsia="楷体_GB2312" w:cs="Times New Roman"/>
          <w:color w:val="auto"/>
          <w:sz w:val="32"/>
          <w:szCs w:val="32"/>
          <w:highlight w:val="none"/>
        </w:rPr>
        <w:t>年</w:t>
      </w:r>
      <w:r>
        <w:rPr>
          <w:rFonts w:hint="eastAsia"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rPr>
        <w:t>月</w:t>
      </w:r>
      <w:r>
        <w:rPr>
          <w:rFonts w:hint="eastAsia" w:ascii="Times New Roman" w:hAnsi="Times New Roman" w:eastAsia="楷体_GB2312" w:cs="Times New Roman"/>
          <w:color w:val="auto"/>
          <w:sz w:val="32"/>
          <w:szCs w:val="32"/>
          <w:highlight w:val="none"/>
          <w:lang w:val="en-US" w:eastAsia="zh-CN"/>
        </w:rPr>
        <w:t>30</w:t>
      </w:r>
      <w:r>
        <w:rPr>
          <w:rFonts w:hint="default" w:ascii="Times New Roman" w:hAnsi="Times New Roman" w:eastAsia="楷体_GB2312" w:cs="Times New Roman"/>
          <w:color w:val="auto"/>
          <w:sz w:val="32"/>
          <w:szCs w:val="32"/>
          <w:highlight w:val="none"/>
        </w:rPr>
        <w:t>日</w:t>
      </w:r>
    </w:p>
    <w:p>
      <w:pPr>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pPr>
        <w:jc w:val="center"/>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年度中共岳阳市君山区纪律检查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委员会整体支出绩效自评报告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Times New Roman" w:hAnsi="Times New Roman" w:eastAsia="楷体_GB2312" w:cs="Times New Roman"/>
          <w:b/>
          <w:color w:val="auto"/>
          <w:kern w:val="0"/>
          <w:sz w:val="28"/>
          <w:szCs w:val="28"/>
          <w:highlight w:val="none"/>
          <w:lang w:val="en-US" w:eastAsia="zh-CN" w:bidi="ar-SA"/>
        </w:rPr>
      </w:pPr>
      <w:r>
        <w:rPr>
          <w:rFonts w:hint="eastAsia" w:ascii="Times New Roman" w:hAnsi="Times New Roman" w:eastAsia="楷体_GB2312" w:cs="Times New Roman"/>
          <w:b/>
          <w:color w:val="auto"/>
          <w:kern w:val="0"/>
          <w:sz w:val="28"/>
          <w:szCs w:val="28"/>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中共岳阳市君山区纪律检查委员会、岳阳市君山区监察委员会是党统一领导下的反腐败工作机构，履行纪检、监察两项职责，实行一套工作机构、两个机关名称，共同设立内设机构。</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Times New Roman" w:hAnsi="Times New Roman" w:eastAsia="楷体_GB2312" w:cs="Times New Roman"/>
          <w:b/>
          <w:color w:val="auto"/>
          <w:sz w:val="28"/>
          <w:szCs w:val="28"/>
          <w:highlight w:val="none"/>
          <w:lang w:eastAsia="zh-CN"/>
        </w:rPr>
      </w:pPr>
      <w:r>
        <w:rPr>
          <w:rFonts w:hint="eastAsia" w:ascii="Times New Roman" w:hAnsi="Times New Roman" w:eastAsia="楷体_GB2312" w:cs="Times New Roman"/>
          <w:b/>
          <w:color w:val="auto"/>
          <w:sz w:val="28"/>
          <w:szCs w:val="28"/>
          <w:highlight w:val="none"/>
          <w:lang w:eastAsia="zh-CN"/>
        </w:rPr>
        <w:t>（二）机构设置与人员情况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区纪委（区监委）机关设置10个内设机构，分别为：综合部门1个，即办公室；监督执纪部门9个，即党风政风监督室、信访室、案件监督管理室、第一至第四纪检监察室、案件审理室、纪检监察干部监督室。6个派驻纪检监察组，分别为驻区委办纪检监察组、驻区政府办纪检监察组、驻区政法委纪检监察组、驻区农业农村局纪检监察组、驻区教育局纪检监察组、驻区交通局纪检监察组。</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color w:val="auto"/>
          <w:sz w:val="28"/>
          <w:szCs w:val="28"/>
          <w:highlight w:val="none"/>
        </w:rPr>
      </w:pPr>
      <w:r>
        <w:rPr>
          <w:rFonts w:hint="default" w:ascii="Times New Roman" w:hAnsi="Times New Roman" w:eastAsia="楷体_GB2312" w:cs="Times New Roman"/>
          <w:b/>
          <w:color w:val="auto"/>
          <w:sz w:val="28"/>
          <w:szCs w:val="28"/>
          <w:highlight w:val="none"/>
        </w:rPr>
        <w:t>（一）基本支出情况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2023年</w:t>
      </w:r>
      <w:r>
        <w:rPr>
          <w:rFonts w:hint="default" w:ascii="方正仿宋_GB2312" w:hAnsi="方正仿宋_GB2312" w:eastAsia="方正仿宋_GB2312" w:cs="方正仿宋_GB2312"/>
          <w:color w:val="auto"/>
          <w:sz w:val="28"/>
          <w:szCs w:val="28"/>
          <w:lang w:val="en-US" w:eastAsia="zh-CN"/>
        </w:rPr>
        <w:t>全年基本支出</w:t>
      </w:r>
      <w:r>
        <w:rPr>
          <w:rFonts w:hint="eastAsia" w:ascii="方正仿宋_GB2312" w:hAnsi="方正仿宋_GB2312" w:eastAsia="方正仿宋_GB2312" w:cs="方正仿宋_GB2312"/>
          <w:color w:val="auto"/>
          <w:sz w:val="28"/>
          <w:szCs w:val="28"/>
          <w:lang w:val="en-US" w:eastAsia="zh-CN"/>
        </w:rPr>
        <w:t>1047.82</w:t>
      </w:r>
      <w:r>
        <w:rPr>
          <w:rFonts w:hint="default" w:ascii="方正仿宋_GB2312" w:hAnsi="方正仿宋_GB2312" w:eastAsia="方正仿宋_GB2312" w:cs="方正仿宋_GB2312"/>
          <w:color w:val="auto"/>
          <w:sz w:val="28"/>
          <w:szCs w:val="28"/>
          <w:lang w:val="en-US" w:eastAsia="zh-CN"/>
        </w:rPr>
        <w:t>万元，其中人员经费</w:t>
      </w:r>
      <w:r>
        <w:rPr>
          <w:rFonts w:hint="eastAsia" w:ascii="方正仿宋_GB2312" w:hAnsi="方正仿宋_GB2312" w:eastAsia="方正仿宋_GB2312" w:cs="方正仿宋_GB2312"/>
          <w:color w:val="auto"/>
          <w:sz w:val="28"/>
          <w:szCs w:val="28"/>
          <w:lang w:val="en-US" w:eastAsia="zh-CN"/>
        </w:rPr>
        <w:t>696.17</w:t>
      </w:r>
      <w:r>
        <w:rPr>
          <w:rFonts w:hint="default" w:ascii="方正仿宋_GB2312" w:hAnsi="方正仿宋_GB2312" w:eastAsia="方正仿宋_GB2312" w:cs="方正仿宋_GB2312"/>
          <w:color w:val="auto"/>
          <w:sz w:val="28"/>
          <w:szCs w:val="28"/>
          <w:lang w:val="en-US" w:eastAsia="zh-CN"/>
        </w:rPr>
        <w:t>万元，公用经费</w:t>
      </w:r>
      <w:r>
        <w:rPr>
          <w:rFonts w:hint="eastAsia" w:ascii="方正仿宋_GB2312" w:hAnsi="方正仿宋_GB2312" w:eastAsia="方正仿宋_GB2312" w:cs="方正仿宋_GB2312"/>
          <w:color w:val="auto"/>
          <w:sz w:val="28"/>
          <w:szCs w:val="28"/>
          <w:lang w:val="en-US" w:eastAsia="zh-CN"/>
        </w:rPr>
        <w:t>351.65</w:t>
      </w:r>
      <w:r>
        <w:rPr>
          <w:rFonts w:hint="default" w:ascii="方正仿宋_GB2312" w:hAnsi="方正仿宋_GB2312" w:eastAsia="方正仿宋_GB2312" w:cs="方正仿宋_GB2312"/>
          <w:color w:val="auto"/>
          <w:sz w:val="28"/>
          <w:szCs w:val="28"/>
          <w:lang w:val="en-US" w:eastAsia="zh-CN"/>
        </w:rPr>
        <w:t>万元。</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8"/>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color w:val="auto"/>
          <w:sz w:val="28"/>
          <w:szCs w:val="28"/>
          <w:highlight w:val="none"/>
        </w:rPr>
      </w:pPr>
      <w:r>
        <w:rPr>
          <w:rFonts w:hint="default" w:ascii="Times New Roman" w:hAnsi="Times New Roman" w:eastAsia="楷体_GB2312" w:cs="Times New Roman"/>
          <w:b/>
          <w:color w:val="auto"/>
          <w:sz w:val="28"/>
          <w:szCs w:val="28"/>
          <w:highlight w:val="none"/>
        </w:rPr>
        <w:t>（二）项目支出情况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2023年</w:t>
      </w:r>
      <w:r>
        <w:rPr>
          <w:rFonts w:hint="default" w:ascii="方正仿宋_GB2312" w:hAnsi="方正仿宋_GB2312" w:eastAsia="方正仿宋_GB2312" w:cs="方正仿宋_GB2312"/>
          <w:color w:val="auto"/>
          <w:sz w:val="28"/>
          <w:szCs w:val="28"/>
          <w:lang w:val="en-US" w:eastAsia="zh-CN"/>
        </w:rPr>
        <w:t>全年</w:t>
      </w:r>
      <w:r>
        <w:rPr>
          <w:rFonts w:hint="eastAsia" w:ascii="方正仿宋_GB2312" w:hAnsi="方正仿宋_GB2312" w:eastAsia="方正仿宋_GB2312" w:cs="方正仿宋_GB2312"/>
          <w:color w:val="auto"/>
          <w:sz w:val="28"/>
          <w:szCs w:val="28"/>
          <w:lang w:val="en-US" w:eastAsia="zh-CN"/>
        </w:rPr>
        <w:t>项目支出122.28</w:t>
      </w:r>
      <w:r>
        <w:rPr>
          <w:rFonts w:hint="default" w:ascii="方正仿宋_GB2312" w:hAnsi="方正仿宋_GB2312" w:eastAsia="方正仿宋_GB2312" w:cs="方正仿宋_GB2312"/>
          <w:color w:val="auto"/>
          <w:sz w:val="28"/>
          <w:szCs w:val="28"/>
          <w:lang w:val="en-US" w:eastAsia="zh-CN"/>
        </w:rPr>
        <w:t>万元</w:t>
      </w:r>
      <w:r>
        <w:rPr>
          <w:rFonts w:hint="eastAsia" w:ascii="方正仿宋_GB2312" w:hAnsi="方正仿宋_GB2312" w:eastAsia="方正仿宋_GB2312" w:cs="方正仿宋_GB2312"/>
          <w:color w:val="auto"/>
          <w:sz w:val="28"/>
          <w:szCs w:val="28"/>
          <w:lang w:val="en-US" w:eastAsia="zh-CN"/>
        </w:rPr>
        <w:t>，主要是本部门为完成特定行政工作任务或事业发展目标而发生的支出，为业务工作经费支出，包括办公费、办公设备购置、专用设备购置、其他商品和服务等。</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三、政府性基金预算支出情况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黑体" w:cs="Times New Roman"/>
          <w:color w:val="auto"/>
          <w:sz w:val="32"/>
          <w:szCs w:val="32"/>
          <w:highlight w:val="none"/>
        </w:rPr>
      </w:pPr>
      <w:r>
        <w:rPr>
          <w:rFonts w:hint="eastAsia" w:ascii="方正仿宋_GB2312" w:hAnsi="方正仿宋_GB2312" w:eastAsia="方正仿宋_GB2312" w:cs="方正仿宋_GB2312"/>
          <w:color w:val="auto"/>
          <w:sz w:val="28"/>
          <w:szCs w:val="28"/>
          <w:lang w:val="en-US" w:eastAsia="zh-CN"/>
        </w:rPr>
        <w:t>无此项支出。</w:t>
      </w:r>
    </w:p>
    <w:p>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国有资本经营预算支出情况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无此项支出。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无此项支出。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color w:val="auto"/>
          <w:sz w:val="28"/>
          <w:szCs w:val="28"/>
          <w:lang w:val="en-US" w:eastAsia="zh-CN"/>
        </w:rPr>
        <w:t>202</w:t>
      </w:r>
      <w:r>
        <w:rPr>
          <w:rFonts w:hint="eastAsia" w:ascii="方正仿宋_GB2312" w:hAnsi="方正仿宋_GB2312" w:eastAsia="方正仿宋_GB2312" w:cs="方正仿宋_GB2312"/>
          <w:color w:val="auto"/>
          <w:sz w:val="28"/>
          <w:szCs w:val="28"/>
          <w:lang w:val="en-US" w:eastAsia="zh-CN"/>
        </w:rPr>
        <w:t>3</w:t>
      </w:r>
      <w:r>
        <w:rPr>
          <w:rFonts w:hint="default" w:ascii="方正仿宋_GB2312" w:hAnsi="方正仿宋_GB2312" w:eastAsia="方正仿宋_GB2312" w:cs="方正仿宋_GB2312"/>
          <w:color w:val="auto"/>
          <w:sz w:val="28"/>
          <w:szCs w:val="28"/>
          <w:lang w:val="en-US" w:eastAsia="zh-CN"/>
        </w:rPr>
        <w:t>年</w:t>
      </w:r>
      <w:r>
        <w:rPr>
          <w:rFonts w:hint="eastAsia" w:ascii="方正仿宋_GB2312" w:hAnsi="方正仿宋_GB2312" w:eastAsia="方正仿宋_GB2312" w:cs="方正仿宋_GB2312"/>
          <w:color w:val="auto"/>
          <w:sz w:val="28"/>
          <w:szCs w:val="28"/>
          <w:lang w:val="en-US" w:eastAsia="zh-CN"/>
        </w:rPr>
        <w:t>，区纪委（区监委）严格执行</w:t>
      </w:r>
      <w:r>
        <w:rPr>
          <w:rFonts w:hint="default" w:ascii="方正仿宋_GB2312" w:hAnsi="方正仿宋_GB2312" w:eastAsia="方正仿宋_GB2312" w:cs="方正仿宋_GB2312"/>
          <w:color w:val="auto"/>
          <w:sz w:val="28"/>
          <w:szCs w:val="28"/>
          <w:lang w:val="en-US" w:eastAsia="zh-CN"/>
        </w:rPr>
        <w:t>财务管理规范，</w:t>
      </w:r>
      <w:r>
        <w:rPr>
          <w:rFonts w:hint="eastAsia" w:ascii="方正仿宋_GB2312" w:hAnsi="方正仿宋_GB2312" w:eastAsia="方正仿宋_GB2312" w:cs="方正仿宋_GB2312"/>
          <w:color w:val="auto"/>
          <w:sz w:val="28"/>
          <w:szCs w:val="28"/>
          <w:lang w:val="en-US" w:eastAsia="zh-CN"/>
        </w:rPr>
        <w:t>认真履行</w:t>
      </w:r>
      <w:r>
        <w:rPr>
          <w:rFonts w:hint="default" w:ascii="方正仿宋_GB2312" w:hAnsi="方正仿宋_GB2312" w:eastAsia="方正仿宋_GB2312" w:cs="方正仿宋_GB2312"/>
          <w:color w:val="auto"/>
          <w:sz w:val="28"/>
          <w:szCs w:val="28"/>
          <w:lang w:val="en-US" w:eastAsia="zh-CN"/>
        </w:rPr>
        <w:t>各项工作</w:t>
      </w:r>
      <w:r>
        <w:rPr>
          <w:rFonts w:hint="eastAsia" w:ascii="方正仿宋_GB2312" w:hAnsi="方正仿宋_GB2312" w:eastAsia="方正仿宋_GB2312" w:cs="方正仿宋_GB2312"/>
          <w:color w:val="auto"/>
          <w:sz w:val="28"/>
          <w:szCs w:val="28"/>
          <w:lang w:val="en-US" w:eastAsia="zh-CN"/>
        </w:rPr>
        <w:t>职责</w:t>
      </w:r>
      <w:r>
        <w:rPr>
          <w:rFonts w:hint="default" w:ascii="方正仿宋_GB2312" w:hAnsi="方正仿宋_GB2312" w:eastAsia="方正仿宋_GB2312" w:cs="方正仿宋_GB2312"/>
          <w:color w:val="auto"/>
          <w:sz w:val="28"/>
          <w:szCs w:val="28"/>
          <w:lang w:val="en-US" w:eastAsia="zh-CN"/>
        </w:rPr>
        <w:t>，单位行政运行稳定有序</w:t>
      </w:r>
      <w:r>
        <w:rPr>
          <w:rFonts w:hint="eastAsia" w:ascii="方正仿宋_GB2312" w:hAnsi="方正仿宋_GB2312" w:eastAsia="方正仿宋_GB2312" w:cs="方正仿宋_GB2312"/>
          <w:color w:val="auto"/>
          <w:sz w:val="28"/>
          <w:szCs w:val="28"/>
          <w:lang w:val="en-US" w:eastAsia="zh-CN"/>
        </w:rPr>
        <w:t>，部门整体支出绩效自评得分99分。</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（一）部门整体支出情况分析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本年整体支出总计为1170.1万元。其中基本支出1047.82万元，占本年整体支出的89.55 %，人员经费支出696.17万元，占基本支出的66.44%，公用经费支出351.65万元，占基本支出的33.56%；项目支出122.28万元，占本年整体支出的10.45 %。</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default"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（二）预算财务管理情况分析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default" w:ascii="方正仿宋_GB2312" w:hAnsi="方正仿宋_GB2312" w:eastAsia="方正仿宋_GB2312" w:cs="方正仿宋_GB2312"/>
          <w:color w:val="auto"/>
          <w:sz w:val="28"/>
          <w:szCs w:val="28"/>
          <w:lang w:val="en-US" w:eastAsia="zh-CN"/>
        </w:rPr>
        <w:t>202</w:t>
      </w:r>
      <w:r>
        <w:rPr>
          <w:rFonts w:hint="eastAsia" w:ascii="方正仿宋_GB2312" w:hAnsi="方正仿宋_GB2312" w:eastAsia="方正仿宋_GB2312" w:cs="方正仿宋_GB2312"/>
          <w:color w:val="auto"/>
          <w:sz w:val="28"/>
          <w:szCs w:val="28"/>
          <w:lang w:val="en-US" w:eastAsia="zh-CN"/>
        </w:rPr>
        <w:t>3</w:t>
      </w:r>
      <w:r>
        <w:rPr>
          <w:rFonts w:hint="default" w:ascii="方正仿宋_GB2312" w:hAnsi="方正仿宋_GB2312" w:eastAsia="方正仿宋_GB2312" w:cs="方正仿宋_GB2312"/>
          <w:color w:val="auto"/>
          <w:sz w:val="28"/>
          <w:szCs w:val="28"/>
          <w:lang w:val="en-US" w:eastAsia="zh-CN"/>
        </w:rPr>
        <w:t>年</w:t>
      </w:r>
      <w:r>
        <w:rPr>
          <w:rFonts w:hint="eastAsia" w:ascii="方正仿宋_GB2312" w:hAnsi="方正仿宋_GB2312" w:eastAsia="方正仿宋_GB2312" w:cs="方正仿宋_GB2312"/>
          <w:color w:val="auto"/>
          <w:sz w:val="28"/>
          <w:szCs w:val="28"/>
          <w:lang w:val="en-US" w:eastAsia="zh-CN"/>
        </w:rPr>
        <w:t>，</w:t>
      </w:r>
      <w:r>
        <w:rPr>
          <w:rFonts w:hint="default" w:ascii="方正仿宋_GB2312" w:hAnsi="方正仿宋_GB2312" w:eastAsia="方正仿宋_GB2312" w:cs="方正仿宋_GB2312"/>
          <w:color w:val="auto"/>
          <w:sz w:val="28"/>
          <w:szCs w:val="28"/>
          <w:lang w:val="en-US" w:eastAsia="zh-CN"/>
        </w:rPr>
        <w:t>严格遵守</w:t>
      </w:r>
      <w:r>
        <w:rPr>
          <w:rFonts w:hint="eastAsia" w:ascii="方正仿宋_GB2312" w:hAnsi="方正仿宋_GB2312" w:eastAsia="方正仿宋_GB2312" w:cs="方正仿宋_GB2312"/>
          <w:color w:val="auto"/>
          <w:sz w:val="28"/>
          <w:szCs w:val="28"/>
          <w:lang w:val="en-US" w:eastAsia="zh-CN"/>
        </w:rPr>
        <w:t>财务管理</w:t>
      </w:r>
      <w:r>
        <w:rPr>
          <w:rFonts w:hint="default" w:ascii="方正仿宋_GB2312" w:hAnsi="方正仿宋_GB2312" w:eastAsia="方正仿宋_GB2312" w:cs="方正仿宋_GB2312"/>
          <w:color w:val="auto"/>
          <w:sz w:val="28"/>
          <w:szCs w:val="28"/>
          <w:lang w:val="en-US" w:eastAsia="zh-CN"/>
        </w:rPr>
        <w:t>制度，</w:t>
      </w:r>
      <w:r>
        <w:rPr>
          <w:rFonts w:hint="eastAsia" w:ascii="方正仿宋_GB2312" w:hAnsi="方正仿宋_GB2312" w:eastAsia="方正仿宋_GB2312" w:cs="方正仿宋_GB2312"/>
          <w:color w:val="auto"/>
          <w:sz w:val="28"/>
          <w:szCs w:val="28"/>
          <w:lang w:val="en-US" w:eastAsia="zh-CN"/>
        </w:rPr>
        <w:t>科学、合理编制预算，认真履行费用报销程序，切实</w:t>
      </w:r>
      <w:r>
        <w:rPr>
          <w:rFonts w:hint="default" w:ascii="方正仿宋_GB2312" w:hAnsi="方正仿宋_GB2312" w:eastAsia="方正仿宋_GB2312" w:cs="方正仿宋_GB2312"/>
          <w:color w:val="auto"/>
          <w:sz w:val="28"/>
          <w:szCs w:val="28"/>
          <w:lang w:val="en-US" w:eastAsia="zh-CN"/>
        </w:rPr>
        <w:t>加强经费支出的监督管理</w:t>
      </w:r>
      <w:r>
        <w:rPr>
          <w:rFonts w:hint="eastAsia" w:ascii="方正仿宋_GB2312" w:hAnsi="方正仿宋_GB2312" w:eastAsia="方正仿宋_GB2312" w:cs="方正仿宋_GB2312"/>
          <w:color w:val="auto"/>
          <w:sz w:val="28"/>
          <w:szCs w:val="28"/>
          <w:lang w:val="en-US" w:eastAsia="zh-CN"/>
        </w:rPr>
        <w:t>，</w:t>
      </w:r>
      <w:r>
        <w:rPr>
          <w:rFonts w:hint="default" w:ascii="方正仿宋_GB2312" w:hAnsi="方正仿宋_GB2312" w:eastAsia="方正仿宋_GB2312" w:cs="方正仿宋_GB2312"/>
          <w:color w:val="auto"/>
          <w:sz w:val="28"/>
          <w:szCs w:val="28"/>
          <w:lang w:val="en-US" w:eastAsia="zh-CN"/>
        </w:rPr>
        <w:t>重大财务事项经由集体研究决策</w:t>
      </w:r>
      <w:r>
        <w:rPr>
          <w:rFonts w:hint="eastAsia" w:ascii="方正仿宋_GB2312" w:hAnsi="方正仿宋_GB2312" w:eastAsia="方正仿宋_GB2312" w:cs="方正仿宋_GB2312"/>
          <w:color w:val="auto"/>
          <w:sz w:val="28"/>
          <w:szCs w:val="28"/>
          <w:lang w:val="en-US" w:eastAsia="zh-CN"/>
        </w:rPr>
        <w:t>，</w:t>
      </w:r>
      <w:r>
        <w:rPr>
          <w:rFonts w:hint="default" w:ascii="方正仿宋_GB2312" w:hAnsi="方正仿宋_GB2312" w:eastAsia="方正仿宋_GB2312" w:cs="方正仿宋_GB2312"/>
          <w:color w:val="auto"/>
          <w:sz w:val="28"/>
          <w:szCs w:val="28"/>
          <w:lang w:val="en-US" w:eastAsia="zh-CN"/>
        </w:rPr>
        <w:t>资金使用没有截留、挪用、虚列支出、随意借用等情况。部门预决算信息按规定内容，在规定的时限内予以公开。基础数据信息和会计信息资料真实、完整、准确。</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（三）固定资产管理情况分析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本单位对固定资产实行统一管理，2023年末固定资产合计215.95万元，全为在用固定资产。</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default" w:ascii="Times New Roman" w:hAnsi="Times New Roman" w:eastAsia="楷体_GB2312" w:cs="Times New Roman"/>
          <w:b/>
          <w:kern w:val="0"/>
          <w:sz w:val="28"/>
          <w:szCs w:val="28"/>
          <w:highlight w:val="none"/>
          <w:lang w:val="en-US" w:eastAsia="zh-CN" w:bidi="ar-SA"/>
        </w:rPr>
      </w:pPr>
      <w:r>
        <w:rPr>
          <w:rFonts w:hint="eastAsia" w:ascii="Times New Roman" w:hAnsi="Times New Roman" w:eastAsia="楷体_GB2312" w:cs="Times New Roman"/>
          <w:b/>
          <w:kern w:val="0"/>
          <w:sz w:val="28"/>
          <w:szCs w:val="28"/>
          <w:highlight w:val="none"/>
          <w:lang w:val="en-US" w:eastAsia="zh-CN" w:bidi="ar-SA"/>
        </w:rPr>
        <w:t>（四）履职产出效益方面</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方正仿宋_GB2312" w:hAnsi="方正仿宋_GB2312" w:eastAsia="方正仿宋_GB2312" w:cs="方正仿宋_GB2312"/>
          <w:color w:val="000000"/>
          <w:sz w:val="28"/>
          <w:szCs w:val="28"/>
          <w:lang w:val="en-US" w:eastAsia="zh-CN"/>
        </w:rPr>
      </w:pPr>
      <w:r>
        <w:rPr>
          <w:rFonts w:hint="default" w:ascii="方正仿宋_GB2312" w:hAnsi="方正仿宋_GB2312" w:eastAsia="方正仿宋_GB2312" w:cs="方正仿宋_GB2312"/>
          <w:color w:val="000000"/>
          <w:sz w:val="28"/>
          <w:szCs w:val="28"/>
          <w:lang w:val="en-US" w:eastAsia="zh-CN"/>
        </w:rPr>
        <w:t>202</w:t>
      </w:r>
      <w:r>
        <w:rPr>
          <w:rFonts w:hint="eastAsia" w:ascii="方正仿宋_GB2312" w:hAnsi="方正仿宋_GB2312" w:eastAsia="方正仿宋_GB2312" w:cs="方正仿宋_GB2312"/>
          <w:color w:val="000000"/>
          <w:sz w:val="28"/>
          <w:szCs w:val="28"/>
          <w:lang w:val="en-US" w:eastAsia="zh-CN"/>
        </w:rPr>
        <w:t>3</w:t>
      </w:r>
      <w:r>
        <w:rPr>
          <w:rFonts w:hint="default" w:ascii="方正仿宋_GB2312" w:hAnsi="方正仿宋_GB2312" w:eastAsia="方正仿宋_GB2312" w:cs="方正仿宋_GB2312"/>
          <w:color w:val="000000"/>
          <w:sz w:val="28"/>
          <w:szCs w:val="28"/>
          <w:lang w:val="en-US" w:eastAsia="zh-CN"/>
        </w:rPr>
        <w:t>年</w:t>
      </w:r>
      <w:r>
        <w:rPr>
          <w:rFonts w:hint="eastAsia" w:ascii="方正仿宋_GB2312" w:hAnsi="方正仿宋_GB2312" w:eastAsia="方正仿宋_GB2312" w:cs="方正仿宋_GB2312"/>
          <w:color w:val="000000"/>
          <w:sz w:val="28"/>
          <w:szCs w:val="28"/>
          <w:lang w:val="en-US" w:eastAsia="zh-CN"/>
        </w:rPr>
        <w:t>，</w:t>
      </w:r>
      <w:r>
        <w:rPr>
          <w:rFonts w:hint="eastAsia" w:ascii="方正仿宋_GB2312" w:hAnsi="方正仿宋_GB2312" w:eastAsia="方正仿宋_GB2312" w:cs="方正仿宋_GB2312"/>
          <w:color w:val="auto"/>
          <w:sz w:val="28"/>
          <w:szCs w:val="28"/>
          <w:lang w:val="en-US" w:eastAsia="zh-CN"/>
        </w:rPr>
        <w:t>区纪委（区监委）</w:t>
      </w:r>
      <w:r>
        <w:rPr>
          <w:rFonts w:hint="default" w:ascii="方正仿宋_GB2312" w:hAnsi="方正仿宋_GB2312" w:eastAsia="方正仿宋_GB2312" w:cs="方正仿宋_GB2312"/>
          <w:color w:val="000000"/>
          <w:sz w:val="28"/>
          <w:szCs w:val="28"/>
          <w:lang w:val="en-US" w:eastAsia="zh-CN"/>
        </w:rPr>
        <w:t>认真履行</w:t>
      </w:r>
      <w:r>
        <w:rPr>
          <w:rFonts w:hint="eastAsia" w:ascii="方正仿宋_GB2312" w:hAnsi="方正仿宋_GB2312" w:eastAsia="方正仿宋_GB2312" w:cs="方正仿宋_GB2312"/>
          <w:color w:val="000000"/>
          <w:sz w:val="28"/>
          <w:szCs w:val="28"/>
          <w:lang w:val="en-US" w:eastAsia="zh-CN"/>
        </w:rPr>
        <w:t>部门职责</w:t>
      </w:r>
      <w:r>
        <w:rPr>
          <w:rFonts w:hint="default" w:ascii="方正仿宋_GB2312" w:hAnsi="方正仿宋_GB2312" w:eastAsia="方正仿宋_GB2312" w:cs="方正仿宋_GB2312"/>
          <w:color w:val="000000"/>
          <w:sz w:val="28"/>
          <w:szCs w:val="28"/>
          <w:lang w:val="en-US" w:eastAsia="zh-CN"/>
        </w:rPr>
        <w:t>，</w:t>
      </w:r>
      <w:r>
        <w:rPr>
          <w:rFonts w:hint="eastAsia" w:ascii="方正仿宋_GB2312" w:hAnsi="方正仿宋_GB2312" w:eastAsia="方正仿宋_GB2312" w:cs="方正仿宋_GB2312"/>
          <w:color w:val="000000"/>
          <w:sz w:val="28"/>
          <w:szCs w:val="28"/>
          <w:lang w:val="en-US" w:eastAsia="zh-CN"/>
        </w:rPr>
        <w:t>履职情况如下：</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践行“两个维护”，抓牢政治监督。将学习宣传贯彻党的二十大精神情况作为日常监督和巡察重点内容，开展专项检查5轮，发现和督促整改问题15个，推动各级党组织和党员干部全面把握精神实质，学到精髓、谋实思路、扎实工作。持续深入开展“洞庭清波”专项行动，聚焦4•25五周年系列活动加强监督检查，开展护航渔民上岸专项监督，处理处分5人，2023年全区13个整改问题已全部销号。认真抓好“三湘护农”专项行动，督促全区75个村（社区）整改集体“三资”管理问题3175个、涉农项目资金管理问题16个、非农化问题图斑16个，清查经营田面积8572亩，全区新增经营田面积达1万余亩。</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2.紧盯“四风”顽疾，推进专项整治。</w:t>
      </w:r>
      <w:bookmarkStart w:id="0" w:name="_Hlk126685641"/>
      <w:r>
        <w:rPr>
          <w:rFonts w:hint="eastAsia" w:ascii="方正仿宋_GB2312" w:hAnsi="方正仿宋_GB2312" w:eastAsia="方正仿宋_GB2312" w:cs="方正仿宋_GB2312"/>
          <w:color w:val="auto"/>
          <w:sz w:val="28"/>
          <w:szCs w:val="28"/>
          <w:lang w:val="en-US" w:eastAsia="zh-CN"/>
        </w:rPr>
        <w:t>启动纠“四风”、扬“五敢”、提“六气”作风建设年活动</w:t>
      </w:r>
      <w:bookmarkEnd w:id="0"/>
      <w:r>
        <w:rPr>
          <w:rFonts w:hint="eastAsia" w:ascii="方正仿宋_GB2312" w:hAnsi="方正仿宋_GB2312" w:eastAsia="方正仿宋_GB2312" w:cs="方正仿宋_GB2312"/>
          <w:color w:val="auto"/>
          <w:sz w:val="28"/>
          <w:szCs w:val="28"/>
          <w:lang w:val="en-US" w:eastAsia="zh-CN"/>
        </w:rPr>
        <w:t>，将干部作风与综合绩效、提拔使用挂钩，每月开展一次考核，每季度进行一次约谈，半年评选一次“蜗牛奖”，年底严格考核兑现。2023年以来，通报作风纪律突出问题75个，处理处分65人，约谈单位主要负责人20人次。出台《君山区纪检监察机关推进容错纠错激励干部担当作为若干措施（试行）》，认真做好澄清正名工作，为干部敢为、地方敢闯、企业敢干、群众敢首创提供坚强保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28"/>
          <w:szCs w:val="28"/>
          <w:lang w:val="en-US" w:eastAsia="zh-CN"/>
        </w:rPr>
        <w:t>3.一体推进“三不腐”，提升反腐效能。</w:t>
      </w:r>
      <w:r>
        <w:rPr>
          <w:rFonts w:hint="eastAsia" w:ascii="方正仿宋_GB2312" w:hAnsi="方正仿宋_GB2312" w:eastAsia="方正仿宋_GB2312" w:cs="方正仿宋_GB2312"/>
          <w:color w:val="auto"/>
          <w:sz w:val="30"/>
          <w:szCs w:val="30"/>
          <w:lang w:val="en-US" w:eastAsia="zh-CN"/>
        </w:rPr>
        <w:t>2023年以来，立案101件，给予党纪政务处分122人次，办理留置案2起，严肃查处了1起区管干部职务犯罪典型案例。建立完善动态清零、常态惩治机制，坚持案件办理周通报，“红黄绿”三色预警制度，严格落实一般线索3个月办结、重点线索半年办结的要求。严格落实“一案两会”，2023年以来，召开系统性警示教育大会15次，在案发单位召开“一案两会”15次，开展各类警示教育活动17次，教育和引导全体党员干部做到以案为鉴、警钟长鸣。</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强化贯通融合，做实监督专责。出台《关于开展巡回驻点监督工作实施方案（试行）》《派驻机构与驻点单位党组（党委）双向沟通暂行办法（试行）》，对全区各单位，分批次、错时段、有步骤地开展巡回驻点，有效提升派驻监督质效，该经验做法在全市范围推广，并高质量承办了全市派驻机构巡回驻点监督工作现场会。出台《区纪委监委派驻机构与驻在单位党委（党组）全面从严治党专题会商会制度》，推动派驻机构与驻在单位党委（党组）在全面从严治党上同向发力、同频共振。各派驻机构与62个区直部门党组（党委）召开全面从严治党会商会，实现年内两轮全覆盖，指出问题211个，提出意见建议67条，制定整改措施243项。加强年轻干部管理，抓实《君山区加强年轻干部管理“十严禁”（试行）》，举办全区2023年新任及年轻科级领导干部廉政培训班，把党章党规党纪作为重要学习内容，教育引导年轻干部扣好廉洁从政“第一粒扣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5.深化清廉建设，擦亮君山品牌。抓实落细《推进清廉君山建设2022-2026年工作规划》，对2022年培树的样本进行验收和评选，评选出八个类别12个示范单元。召开全区清廉单元建设推进会，全面铺开清廉单元创建工作，督促各镇（街道）、场重点打造2个以上示范点。组织全区71个单位近4000名党员干部和其他公职人员开展“学纪法、明规矩、践廉洁、担使命”廉政宣传教育月活动，实现纪法普及、廉政党课、警示教育、谈心谈话、述责述廉“五个全覆盖”，全区崇廉倡廉守廉氛围日益浓厚，清廉君山品牌进一步擦亮。同时，大力推进区政务服务中心数字化展厅建设，将岳阳监狱反腐倡廉警示教育基地、区政务服务中心、团湖廉洁文化园串联，精心打造出不敢腐、不能腐、不想腐“三位一体”廉洁文化教育矩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000000"/>
          <w:sz w:val="28"/>
          <w:szCs w:val="28"/>
          <w:lang w:val="en-US" w:eastAsia="zh-CN"/>
        </w:rPr>
        <w:t>对预算</w:t>
      </w:r>
      <w:r>
        <w:rPr>
          <w:rFonts w:hint="default" w:ascii="方正仿宋_GB2312" w:hAnsi="方正仿宋_GB2312" w:eastAsia="方正仿宋_GB2312" w:cs="方正仿宋_GB2312"/>
          <w:color w:val="000000"/>
          <w:sz w:val="28"/>
          <w:szCs w:val="28"/>
          <w:lang w:val="en-US" w:eastAsia="zh-CN"/>
        </w:rPr>
        <w:t>绩效评价</w:t>
      </w:r>
      <w:r>
        <w:rPr>
          <w:rFonts w:hint="eastAsia" w:ascii="方正仿宋_GB2312" w:hAnsi="方正仿宋_GB2312" w:eastAsia="方正仿宋_GB2312" w:cs="方正仿宋_GB2312"/>
          <w:color w:val="000000"/>
          <w:sz w:val="28"/>
          <w:szCs w:val="28"/>
          <w:lang w:val="en-US" w:eastAsia="zh-CN"/>
        </w:rPr>
        <w:t>指标的分析不够全面</w:t>
      </w:r>
      <w:r>
        <w:rPr>
          <w:rFonts w:hint="eastAsia" w:ascii="方正仿宋_GB2312" w:hAnsi="方正仿宋_GB2312" w:eastAsia="方正仿宋_GB2312" w:cs="方正仿宋_GB2312"/>
          <w:color w:val="auto"/>
          <w:sz w:val="28"/>
          <w:szCs w:val="28"/>
          <w:lang w:val="en-US" w:eastAsia="zh-CN"/>
        </w:rPr>
        <w:t>，财务人员专业水平有待进一步加强。</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w:t>
      </w:r>
      <w:r>
        <w:rPr>
          <w:rFonts w:hint="default" w:ascii="方正仿宋_GB2312" w:hAnsi="方正仿宋_GB2312" w:eastAsia="方正仿宋_GB2312" w:cs="方正仿宋_GB2312"/>
          <w:color w:val="000000"/>
          <w:sz w:val="28"/>
          <w:szCs w:val="28"/>
          <w:lang w:val="en-US" w:eastAsia="zh-CN"/>
        </w:rPr>
        <w:t>预算绩效管理的合理性、科学性还需加强。</w:t>
      </w:r>
      <w:r>
        <w:rPr>
          <w:rFonts w:hint="eastAsia" w:ascii="方正仿宋_GB2312" w:hAnsi="方正仿宋_GB2312" w:eastAsia="方正仿宋_GB2312" w:cs="方正仿宋_GB2312"/>
          <w:color w:val="auto"/>
          <w:sz w:val="28"/>
          <w:szCs w:val="28"/>
          <w:lang w:val="en-US" w:eastAsia="zh-CN"/>
        </w:rPr>
        <w:t>预算与实际支出仍存在差异，预算编制有待进一步加强，确保预算执行力度。</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1.积极与财政衔接，加强财务人员学习，提升专业水平。</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2.进一步加强预算管理，严格执行预算管理制度，严控资金使用，确保预算管理科学化、合理化。</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1.对照绩效自评结果，总结经验，发现问题，提出改进的方向和具体措施，促进工作的开展。</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3.对部门整体支出绩效自评在规定时间内公开至本单位门户网站，确保公开数据真实、完整、准确。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color w:val="auto"/>
          <w:sz w:val="32"/>
          <w:szCs w:val="32"/>
          <w:highlight w:val="none"/>
          <w:lang w:eastAsia="zh-CN"/>
        </w:rPr>
      </w:pPr>
    </w:p>
    <w:sectPr>
      <w:pgSz w:w="11906" w:h="16838"/>
      <w:pgMar w:top="1440" w:right="1803"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67173-61AD-4CA2-877C-4D0E84DED4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9D3312-232E-4057-9D54-6D2D9C63C22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673F826-8205-4AB7-8616-F87FC21D7754}"/>
  </w:font>
  <w:font w:name="仿宋_GB2312">
    <w:panose1 w:val="02010609030101010101"/>
    <w:charset w:val="86"/>
    <w:family w:val="modern"/>
    <w:pitch w:val="default"/>
    <w:sig w:usb0="00000001" w:usb1="080E0000" w:usb2="00000000" w:usb3="00000000" w:csb0="00040000" w:csb1="00000000"/>
    <w:embedRegular r:id="rId4" w:fontKey="{3D520F99-FF24-4967-8DB0-0873AA5F500C}"/>
  </w:font>
  <w:font w:name="方正仿宋_GB2312">
    <w:panose1 w:val="02000000000000000000"/>
    <w:charset w:val="86"/>
    <w:family w:val="auto"/>
    <w:pitch w:val="default"/>
    <w:sig w:usb0="A00002BF" w:usb1="184F6CFA" w:usb2="00000012" w:usb3="00000000" w:csb0="00040001" w:csb1="00000000"/>
    <w:embedRegular r:id="rId5" w:fontKey="{C05C42DE-B05E-4076-BED6-2E7635A63D79}"/>
  </w:font>
  <w:font w:name="方正小标宋_GBK">
    <w:altName w:val="微软雅黑"/>
    <w:panose1 w:val="02000000000000000000"/>
    <w:charset w:val="86"/>
    <w:family w:val="script"/>
    <w:pitch w:val="default"/>
    <w:sig w:usb0="00000000" w:usb1="00000000" w:usb2="00000000" w:usb3="00000000" w:csb0="00040000" w:csb1="00000000"/>
    <w:embedRegular r:id="rId6" w:fontKey="{F0C3B4B6-4854-4311-8C24-26DDAAC1E4D3}"/>
  </w:font>
  <w:font w:name="楷体_GB2312">
    <w:altName w:val="楷体"/>
    <w:panose1 w:val="02010609030101010101"/>
    <w:charset w:val="86"/>
    <w:family w:val="modern"/>
    <w:pitch w:val="default"/>
    <w:sig w:usb0="00000000" w:usb1="00000000" w:usb2="00000000" w:usb3="00000000" w:csb0="00040000" w:csb1="00000000"/>
    <w:embedRegular r:id="rId7" w:fontKey="{61CA9025-A0D6-4C7C-B6DB-E1DE9E56CF7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84367"/>
    <w:multiLevelType w:val="singleLevel"/>
    <w:tmpl w:val="BF384367"/>
    <w:lvl w:ilvl="0" w:tentative="0">
      <w:start w:val="4"/>
      <w:numFmt w:val="chineseCounting"/>
      <w:suff w:val="nothing"/>
      <w:lvlText w:val="%1、"/>
      <w:lvlJc w:val="left"/>
      <w:rPr>
        <w:rFonts w:hint="eastAsia"/>
      </w:rPr>
    </w:lvl>
  </w:abstractNum>
  <w:abstractNum w:abstractNumId="1">
    <w:nsid w:val="BF838EFC"/>
    <w:multiLevelType w:val="singleLevel"/>
    <w:tmpl w:val="BF838E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jFlM2Q0NzY0NDA1MTMyMjUxYzhmNTQxOTc5NzQifQ=="/>
  </w:docVars>
  <w:rsids>
    <w:rsidRoot w:val="59886344"/>
    <w:rsid w:val="087B0325"/>
    <w:rsid w:val="09BB0D18"/>
    <w:rsid w:val="0B21104E"/>
    <w:rsid w:val="0C2D7877"/>
    <w:rsid w:val="0E4B63E2"/>
    <w:rsid w:val="10C304B2"/>
    <w:rsid w:val="17693745"/>
    <w:rsid w:val="18E36FE2"/>
    <w:rsid w:val="1A197394"/>
    <w:rsid w:val="1E3E516A"/>
    <w:rsid w:val="22877591"/>
    <w:rsid w:val="231D1CA3"/>
    <w:rsid w:val="243C084F"/>
    <w:rsid w:val="260D12B8"/>
    <w:rsid w:val="2A0A3B7B"/>
    <w:rsid w:val="2C895067"/>
    <w:rsid w:val="2DDE64D3"/>
    <w:rsid w:val="2E750BE6"/>
    <w:rsid w:val="2F34284F"/>
    <w:rsid w:val="2F8337A1"/>
    <w:rsid w:val="31554CFE"/>
    <w:rsid w:val="320B662D"/>
    <w:rsid w:val="35492DCC"/>
    <w:rsid w:val="364C66D0"/>
    <w:rsid w:val="3AFE01B5"/>
    <w:rsid w:val="3B3E74C2"/>
    <w:rsid w:val="3C776471"/>
    <w:rsid w:val="3E07052A"/>
    <w:rsid w:val="40FF07E3"/>
    <w:rsid w:val="42FE1611"/>
    <w:rsid w:val="48252DC4"/>
    <w:rsid w:val="48B00D40"/>
    <w:rsid w:val="4AFB026D"/>
    <w:rsid w:val="4B4340EE"/>
    <w:rsid w:val="4E710F72"/>
    <w:rsid w:val="4FFE4A87"/>
    <w:rsid w:val="53332C9A"/>
    <w:rsid w:val="551C150B"/>
    <w:rsid w:val="55545149"/>
    <w:rsid w:val="59886344"/>
    <w:rsid w:val="5B353327"/>
    <w:rsid w:val="5BEF1728"/>
    <w:rsid w:val="5C2855D3"/>
    <w:rsid w:val="64715298"/>
    <w:rsid w:val="652E1513"/>
    <w:rsid w:val="66482160"/>
    <w:rsid w:val="6985191D"/>
    <w:rsid w:val="6BC524A5"/>
    <w:rsid w:val="70B054D2"/>
    <w:rsid w:val="71E918B2"/>
    <w:rsid w:val="740E43AB"/>
    <w:rsid w:val="74B03CF2"/>
    <w:rsid w:val="7CB37EBE"/>
    <w:rsid w:val="7D4E22FA"/>
    <w:rsid w:val="7E3C65F7"/>
    <w:rsid w:val="7F58120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First Indent"/>
    <w:basedOn w:val="2"/>
    <w:qFormat/>
    <w:uiPriority w:val="0"/>
    <w:pPr>
      <w:adjustRightInd w:val="0"/>
      <w:snapToGrid w:val="0"/>
      <w:spacing w:after="0" w:line="360" w:lineRule="auto"/>
      <w:ind w:firstLine="420" w:firstLineChars="100"/>
    </w:pPr>
    <w:rPr>
      <w:rFonts w:ascii="Times New Roman" w:hAnsi="Times New Roman" w:eastAsia="宋体" w:cs="Times New Roman"/>
      <w:sz w:val="28"/>
      <w:szCs w:val="20"/>
    </w:rPr>
  </w:style>
  <w:style w:type="paragraph" w:customStyle="1" w:styleId="6">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paragraph" w:customStyle="1" w:styleId="9">
    <w:name w:val="正文首行缩进1"/>
    <w:basedOn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2856</Words>
  <Characters>3187</Characters>
  <Lines>0</Lines>
  <Paragraphs>0</Paragraphs>
  <TotalTime>6</TotalTime>
  <ScaleCrop>false</ScaleCrop>
  <LinksUpToDate>false</LinksUpToDate>
  <CharactersWithSpaces>3597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橙子</cp:lastModifiedBy>
  <cp:lastPrinted>2024-07-05T04:41:44Z</cp:lastPrinted>
  <dcterms:modified xsi:type="dcterms:W3CDTF">2024-07-05T05:01:00Z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FF486D79928F4DBFA2F3FE8E3947F126_13</vt:lpwstr>
  </property>
</Properties>
</file>