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岳阳市君山区委统一战线工作部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岳阳市君山区委统一战线工作部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岳阳市君山区委统一战线工作部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部门（单位）基本情况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482"/>
        <w:jc w:val="both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1.贯彻执行中央、省委、市委关于统一战线的方针、政策，调查研究统一战线理论和重大方针政策，向区委反映情况，提出全区开展统战工作的意见和建议。</w:t>
      </w:r>
    </w:p>
    <w:p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负责联系各民主党派和无党派代表人士，及时通报情况，反映他们的意见和建议；研究、贯彻党领导的多党合作和政治协商制度及民主党派的方针、政策；落实党中央、省委、市委关于发挥民主党派参政议政和民主监督作用的指示与决定；支持和帮助各民主党派加强自身建设，选拔、培养新一代代表人物。</w:t>
      </w:r>
    </w:p>
    <w:p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3.负责调查研究、协调检查有关民族、宗教工作的重大方针、政策问题；联系少数民族和宗教界上层人士，协助有关部门做好少数民族干部的培养和举荐工作。</w:t>
      </w:r>
    </w:p>
    <w:p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4.开展以祖国统一为重点的海外统战工作；联系海外有关社团及代表人士。</w:t>
      </w:r>
    </w:p>
    <w:p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5.负责党外人士的政治安排，会同有关部门做好培养、考察、选拔、推荐党外人士担任政府及司法机关领导职务的工作；做好党外干部和新的代表人物队伍的建设工作。</w:t>
      </w:r>
    </w:p>
    <w:p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6.负责联系海内外工商界社团和代表人士；调查、研究并反映本区非公有制经济代表人物的情况，协调关系，提出政策建议。</w:t>
      </w:r>
    </w:p>
    <w:p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7.调查研究党外知识分子的情况，反映情况，协调关系，提出政策建议；联系并培养党外知识分子的代表人物。</w:t>
      </w:r>
    </w:p>
    <w:p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8.发展开展海内外统一战线的宣传工作。</w:t>
      </w:r>
    </w:p>
    <w:p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9.指导各镇（办事处）、场统战工作，协调政府各有关部门的统战工作；联系、指导统战部门归口单位的工作，领导和管理区台联等有关社会团体的工作。</w:t>
      </w:r>
    </w:p>
    <w:p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10.指导非公有制经济组织党的建设工作，提出非公有制经济组织党组织设置方案，推荐非公有制经济组织中的党组织领导成员和优秀代表人士。</w:t>
      </w:r>
    </w:p>
    <w:p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11.提出区“万企联村”工作方案，指导政府各有关部门、各镇（办事处）、场和各企业开展“万企联村”活动。</w:t>
      </w:r>
    </w:p>
    <w:p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12.完成区委交办的其他任务。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（二）机构设置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与人员情况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482"/>
        <w:jc w:val="both"/>
        <w:rPr>
          <w:rFonts w:hint="eastAsia" w:eastAsia="仿宋_GB2312"/>
          <w:kern w:val="2"/>
          <w:sz w:val="32"/>
          <w:szCs w:val="32"/>
        </w:rPr>
      </w:pPr>
      <w:r>
        <w:rPr>
          <w:rFonts w:hint="eastAsia" w:eastAsia="仿宋_GB2312"/>
          <w:kern w:val="2"/>
          <w:sz w:val="32"/>
          <w:szCs w:val="32"/>
          <w:lang w:eastAsia="zh-CN"/>
        </w:rPr>
        <w:t>君山区委统一战线工作部内设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5个股室，分别为办公室、非公经济办、民主党派办、民综办和区政府侨办，</w:t>
      </w:r>
      <w:r>
        <w:rPr>
          <w:rFonts w:hint="eastAsia" w:eastAsia="仿宋_GB2312"/>
          <w:kern w:val="2"/>
          <w:sz w:val="32"/>
          <w:szCs w:val="32"/>
          <w:lang w:eastAsia="zh-CN"/>
        </w:rPr>
        <w:t>二级机构为</w:t>
      </w:r>
      <w:r>
        <w:rPr>
          <w:rFonts w:eastAsia="仿宋_GB2312"/>
          <w:kern w:val="2"/>
          <w:sz w:val="32"/>
          <w:szCs w:val="32"/>
        </w:rPr>
        <w:t>区民族宗教事务中心</w:t>
      </w:r>
      <w:r>
        <w:rPr>
          <w:rFonts w:hint="eastAsia" w:eastAsia="仿宋_GB2312"/>
          <w:kern w:val="2"/>
          <w:sz w:val="32"/>
          <w:szCs w:val="32"/>
          <w:lang w:eastAsia="zh-CN"/>
        </w:rPr>
        <w:t>，</w:t>
      </w:r>
      <w:r>
        <w:rPr>
          <w:rFonts w:hint="eastAsia" w:eastAsia="仿宋_GB2312"/>
          <w:kern w:val="2"/>
          <w:sz w:val="32"/>
          <w:szCs w:val="32"/>
        </w:rPr>
        <w:t>本单位编制人数12人，实际在岗人数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12</w:t>
      </w:r>
      <w:r>
        <w:rPr>
          <w:rFonts w:hint="eastAsia" w:eastAsia="仿宋_GB2312"/>
          <w:kern w:val="2"/>
          <w:sz w:val="32"/>
          <w:szCs w:val="32"/>
        </w:rPr>
        <w:t>人。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（三）单位绩效目标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整体支出绩效目标：</w:t>
      </w:r>
      <w:r>
        <w:rPr>
          <w:rFonts w:hint="eastAsia" w:ascii="仿宋_GB2312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以铸牢中华民族共同体为主线，深入开展民族团结进步创建“七进”工作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持续开展民企大走访活动;加强民主党派自身建设，率先在岳阳高标准建设县（区）级“民主党派之家”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leftChars="228" w:right="0" w:righ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项目支出绩效目标：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2023年度本单位无项目支出。             </w:t>
      </w:r>
      <w:r>
        <w:rPr>
          <w:rFonts w:hint="eastAsia" w:ascii="仿宋_GB2312" w:hAnsi="仿宋_GB2312" w:eastAsia="仿宋_GB2312" w:cs="仿宋_GB2312"/>
          <w:color w:val="0000FF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                                                      一</w:t>
      </w:r>
      <w:r>
        <w:rPr>
          <w:rFonts w:hint="default" w:ascii="Times New Roman" w:hAnsi="Times New Roman" w:eastAsia="黑体" w:cs="Times New Roman"/>
          <w:sz w:val="32"/>
          <w:szCs w:val="32"/>
        </w:rPr>
        <w:t>般公共预算支出情况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2023年本部门预算资金409.93万元（基本支出409.93万元，项目支出177.6万元），全年实际支出409.93万元，其中基本支出232.33万元，项目支出177.6万元，预算执行率100%。　　　　　　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（一）基本支出情况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2023年度全年预算409.93万元（工资福利支出48.94万元、商品和服务支出33.48万元、对个人和家庭的补助18.69万元、资本性支出0万元），其中一般公共预算财政拨款406.93万元；单位其他资金3万元。本单位2023年度基本支出232.33万元（工资福利支出192.85万元、商品和服务支出30.49万元、对个人和家庭的补助8.99万元、资本性支出0万元）），其中人员经费201.84万元，公用经费30.5万元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是指为保障单位机构正常运转、完成日常工作任务而发生的各项支出，包括用于基本工资、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绩效工资、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津贴补贴、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社会保障缴费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等人员经费，办公费、印刷费、水电费、差旅费、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公务接待费、维修（护）费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等日常公用经费，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以及离退休费用等其他对个人和家庭的补助支出。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项目支出情况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本单位2023年度项目支出全年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预算0万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元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2023年本单位无此项支出。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2023年本单位无此项支出。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2023年本单位无此项支出。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</w:rPr>
        <w:t>部门整体支出绩效情况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严格执行预算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开支上，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厉行节约，从严控制，2023年度一般公共预算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款中“三公经费”年初预算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万元，实际支出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万元，为年初预算的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%。根据《部门整体支出绩效自评表》自评得分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分(详见附表2)，部门整体支出绩效为“优”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预算财务管理方面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1.严格执行预算管理制度，切实降低运行成本。2023年，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我社严格预算管理，科学安排支出，实时把握支出进度，不断提高资金使用效益，将过“紧日子”贯穿全年，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建立健全了收入、支出、政府采购、资产管理以及公务接待、差旅费等财务管理制度，对公务用车、公务租车、公务出差、公务接待、会议费等实行事前审批制度，严格控制各项支出，有效杜绝了资金浪费情况，确保了资金使用的规范性、安全性和有效性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预算执行率达到100%，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切实降低运行成本，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发挥了财政资金的最大效益。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加强资产管理，确保资产保值增值。根据政府采购和资产管理要求，建立了资产实物管理台账，根据各股室的需求制订了采购计划，按国有资产配置、政府采购和有关规定按程序在电子卖场进行采购活动。2023年底，本单位固定资产原值26.25万元，净值9.37万元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  <w:t>履职产出效益方面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牢牢把握新时代爱国统一战线的历史方位和重要使命，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区委下发了《关于加强新时代统一战线工作的责任分工》，明确了各级各单位抓统战工作的职责。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区委常委会传达学习全国、全省、全市统战部长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会议精神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共计5次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严格落实区委常委与党外代表人士交朋友和暑期谈心等制度，11名区委常委与44名党外代表人士结对子，全年共计开展面对面座谈、走访等活动100余次。区委召开统战工作领导小组会议，重点部署了长江、洞庭湖生态环境保护民主监督和基层商会建设等工作。深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入开展“五学两助”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“矢志不渝跟党走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携手奋进新时代”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主题教育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党的二十大精神“五进”宣讲活动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15场次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，组织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统战干部、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新阶联、民营经济人士、宗教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界等群体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学习党的二十大精神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和统战理论政策法规8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场次，人数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累计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达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1000多人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持续开展民企大走访活动，走访企业33家，成功举办“企业家沙龙”活动4期，收集困难与问题44个，协助解决用工、融资等问题28个。积极推进基层商会建设，完成广兴洲镇商会、柳林洲商会和钱粮湖镇商会的注册工作，推进良心堡镇、许市镇等2个镇（街道）商会筹备工作；积极指导长沙君山商会筹建工作，走访乡友企业15家，积极筹划召开长沙君山商会成立大会。高质量完成第三届岳商大会相关工作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（一）预算精准性有待进一步提高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由于预算编制具有不可预见性，年初安排预算时，对各项公用支出的分配安排缺乏统一的硬性标准，导致部分资金使用时需要进行指标调剂。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（二）预算绩效管理意识有待进一步加强，预算绩效管理的工作方法方式有待创新。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财务业务水平有待进一步提高。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八、下一步改进措施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对部门整体支出绩效自评在规定时间内公开至本单位门户网站，确保公开数据真实、完整、准确。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　　无。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6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7.69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2.39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7.69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2.39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30.5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30.5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26.17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5.83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5.83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0.82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92.63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92.63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409.93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409.93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：刘继军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13873030025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湛海清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6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岳阳市君山区委统一战线工作部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310.2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409.93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409.93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406.93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232.33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ind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1、强化政治引领，筑牢思想根基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ind w:righ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2、聚焦主责主业，彰显统战作为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3、服务中心大局，共谋发展大计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1.全年共计开展面对面座谈、走访等活动100余次</w:t>
            </w:r>
          </w:p>
          <w:p>
            <w:pPr>
              <w:widowControl/>
              <w:spacing w:line="24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2.以铸牢中华民族共同体为主线，深入开展民族团结进步创建“七进”工作，指导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许市镇黄金小学成功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创建省级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民族团结进步示范学校</w:t>
            </w:r>
          </w:p>
          <w:p>
            <w:pPr>
              <w:widowControl/>
              <w:spacing w:line="24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3.严格落实从严治党要求，切实履行党风廉政建设主体责任，有效防范和抵御各种风险，全面加强党的政治建设、思想建设、组织建设、作风建设、纪律建设。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开展“四个认同”主题教育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注册成立本区或驻外地君山商会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开展宗教领域专项工作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活动完成率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开展侨情调查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信息更新及时率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　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2023年12月20日前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本区经济社会稳定发展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促进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群众关系和谐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促进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环保意识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增强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无明显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可持续影响效益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无明显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可持续影响效益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无明显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可持续影响效益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民众满意度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6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98分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/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rtlGutter w:val="0"/>
      <w:docGrid w:type="lines" w:linePitch="3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E57AF"/>
    <w:multiLevelType w:val="singleLevel"/>
    <w:tmpl w:val="C19E57AF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MjdlZjQ5YjRhZjNkYTU5MWJjNTdiM2YyYzk4OWIifQ=="/>
  </w:docVars>
  <w:rsids>
    <w:rsidRoot w:val="5CC73AEB"/>
    <w:rsid w:val="04D06013"/>
    <w:rsid w:val="04D1736D"/>
    <w:rsid w:val="075449B1"/>
    <w:rsid w:val="07DC6755"/>
    <w:rsid w:val="08FD2E27"/>
    <w:rsid w:val="0A0A7F8B"/>
    <w:rsid w:val="0A371911"/>
    <w:rsid w:val="0BB45C32"/>
    <w:rsid w:val="0CEC52A6"/>
    <w:rsid w:val="10282537"/>
    <w:rsid w:val="156E60BC"/>
    <w:rsid w:val="15E11B06"/>
    <w:rsid w:val="16B23BE3"/>
    <w:rsid w:val="18DD19B3"/>
    <w:rsid w:val="1A4B69F3"/>
    <w:rsid w:val="1B761A86"/>
    <w:rsid w:val="1BC7354C"/>
    <w:rsid w:val="1D7D1305"/>
    <w:rsid w:val="20BE7648"/>
    <w:rsid w:val="20F65D78"/>
    <w:rsid w:val="217F0425"/>
    <w:rsid w:val="219E23A2"/>
    <w:rsid w:val="22586564"/>
    <w:rsid w:val="24D55897"/>
    <w:rsid w:val="28CF48F2"/>
    <w:rsid w:val="28F85103"/>
    <w:rsid w:val="2A9768ED"/>
    <w:rsid w:val="2BCF262C"/>
    <w:rsid w:val="2C7273BA"/>
    <w:rsid w:val="2E921798"/>
    <w:rsid w:val="2FF32042"/>
    <w:rsid w:val="33E67E90"/>
    <w:rsid w:val="361F652E"/>
    <w:rsid w:val="38B7797A"/>
    <w:rsid w:val="3AE10137"/>
    <w:rsid w:val="3DD671C7"/>
    <w:rsid w:val="3E4B54BF"/>
    <w:rsid w:val="401E2B47"/>
    <w:rsid w:val="40416C32"/>
    <w:rsid w:val="406A21FA"/>
    <w:rsid w:val="406A4374"/>
    <w:rsid w:val="40DB004A"/>
    <w:rsid w:val="47C4104B"/>
    <w:rsid w:val="48587156"/>
    <w:rsid w:val="4986331F"/>
    <w:rsid w:val="4D6C56FA"/>
    <w:rsid w:val="507857AA"/>
    <w:rsid w:val="55642FF8"/>
    <w:rsid w:val="561F12B3"/>
    <w:rsid w:val="58570C3F"/>
    <w:rsid w:val="58CC01A0"/>
    <w:rsid w:val="5C20569F"/>
    <w:rsid w:val="5C82434A"/>
    <w:rsid w:val="5CC73AEB"/>
    <w:rsid w:val="5DA402F0"/>
    <w:rsid w:val="60C3659A"/>
    <w:rsid w:val="660C4E9E"/>
    <w:rsid w:val="66BC66AA"/>
    <w:rsid w:val="689A76AB"/>
    <w:rsid w:val="6A94006A"/>
    <w:rsid w:val="6C823EF2"/>
    <w:rsid w:val="6DC13431"/>
    <w:rsid w:val="7590122F"/>
    <w:rsid w:val="78856ECF"/>
    <w:rsid w:val="7C83021D"/>
    <w:rsid w:val="7CB94E5D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NormalCharacter"/>
    <w:link w:val="10"/>
    <w:semiHidden/>
    <w:qFormat/>
    <w:uiPriority w:val="0"/>
  </w:style>
  <w:style w:type="paragraph" w:customStyle="1" w:styleId="10">
    <w:name w:val="UserStyle_6"/>
    <w:basedOn w:val="11"/>
    <w:link w:val="9"/>
    <w:qFormat/>
    <w:uiPriority w:val="0"/>
    <w:pPr>
      <w:shd w:val="clear" w:color="auto" w:fill="000080"/>
      <w:spacing w:line="436" w:lineRule="exact"/>
      <w:ind w:left="357"/>
      <w:jc w:val="left"/>
      <w:textAlignment w:val="baseline"/>
    </w:pPr>
  </w:style>
  <w:style w:type="paragraph" w:customStyle="1" w:styleId="11">
    <w:name w:val="NavPane"/>
    <w:basedOn w:val="1"/>
    <w:semiHidden/>
    <w:qFormat/>
    <w:uiPriority w:val="0"/>
    <w:pPr>
      <w:shd w:val="clear" w:color="auto" w:fill="00008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5798</Words>
  <Characters>6246</Characters>
  <Lines>0</Lines>
  <Paragraphs>0</Paragraphs>
  <TotalTime>3</TotalTime>
  <ScaleCrop>false</ScaleCrop>
  <LinksUpToDate>false</LinksUpToDate>
  <CharactersWithSpaces>6559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2024-06-19T00:45:00Z</dcterms:created>
  <dc:creator>郑云峰</dc:creator>
  <cp:lastModifiedBy>Administrator</cp:lastModifiedBy>
  <dcterms:modified xsi:type="dcterms:W3CDTF">2024-07-01T01:14:53Z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2B8978AAC72E46AFA882EF77546C136C_13</vt:lpwstr>
  </property>
</Properties>
</file>