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岳阳市君山区农业科学研究所</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单位整体支出绩效自评报告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spacing w:line="600" w:lineRule="exact"/>
        <w:ind w:firstLine="1920" w:firstLineChars="600"/>
        <w:jc w:val="both"/>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年  月  日</w:t>
      </w:r>
    </w:p>
    <w:p>
      <w:pPr>
        <w:jc w:val="center"/>
        <w:rPr>
          <w:rFonts w:hint="eastAsia" w:ascii="方正小标宋简体" w:hAnsi="方正小标宋简体" w:eastAsia="方正小标宋简体" w:cs="方正小标宋简体"/>
          <w:sz w:val="44"/>
          <w:szCs w:val="44"/>
          <w:highlight w:val="none"/>
          <w:lang w:val="en-US" w:eastAsia="zh-CN"/>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岳阳市君山区农业科学研究所</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单位整体支出绩效自评报告</w:t>
      </w:r>
    </w:p>
    <w:p>
      <w:pPr>
        <w:jc w:val="center"/>
        <w:rPr>
          <w:rFonts w:hint="eastAsia" w:ascii="方正小标宋简体" w:hAnsi="方正小标宋简体" w:eastAsia="方正小标宋简体" w:cs="方正小标宋简体"/>
          <w:sz w:val="44"/>
          <w:szCs w:val="44"/>
          <w:highlight w:val="none"/>
        </w:rPr>
      </w:pP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numPr>
          <w:ilvl w:val="0"/>
          <w:numId w:val="2"/>
        </w:numPr>
        <w:spacing w:line="560" w:lineRule="exact"/>
        <w:ind w:firstLine="643" w:firstLineChars="200"/>
        <w:rPr>
          <w:rFonts w:hint="eastAsia" w:ascii="仿宋_GB2312" w:hAnsi="仿宋_GB2312" w:eastAsia="仿宋_GB2312" w:cs="仿宋_GB2312"/>
          <w:b/>
          <w:bCs w:val="0"/>
          <w:sz w:val="32"/>
          <w:szCs w:val="32"/>
          <w:lang w:eastAsia="zh-CN"/>
        </w:rPr>
      </w:pPr>
      <w:r>
        <w:rPr>
          <w:rFonts w:hint="eastAsia" w:ascii="仿宋_GB2312" w:hAnsi="仿宋_GB2312" w:eastAsia="仿宋_GB2312" w:cs="仿宋_GB2312"/>
          <w:b/>
          <w:bCs w:val="0"/>
          <w:sz w:val="32"/>
          <w:szCs w:val="32"/>
        </w:rPr>
        <w:t>、</w:t>
      </w:r>
      <w:r>
        <w:rPr>
          <w:rFonts w:hint="eastAsia" w:ascii="仿宋_GB2312" w:hAnsi="仿宋_GB2312" w:eastAsia="仿宋_GB2312" w:cs="仿宋_GB2312"/>
          <w:b/>
          <w:bCs w:val="0"/>
          <w:sz w:val="32"/>
          <w:szCs w:val="32"/>
          <w:lang w:eastAsia="zh-CN"/>
        </w:rPr>
        <w:t>单位职能</w:t>
      </w:r>
    </w:p>
    <w:p>
      <w:pPr>
        <w:widowControl/>
        <w:spacing w:line="600" w:lineRule="exact"/>
        <w:ind w:firstLine="627" w:firstLineChars="196"/>
        <w:rPr>
          <w:rFonts w:hint="eastAsia" w:eastAsia="仿宋_GB2312"/>
          <w:sz w:val="32"/>
          <w:szCs w:val="32"/>
        </w:rPr>
      </w:pPr>
      <w:r>
        <w:rPr>
          <w:rFonts w:hint="eastAsia" w:eastAsia="仿宋_GB2312"/>
          <w:sz w:val="32"/>
          <w:szCs w:val="32"/>
          <w:lang w:val="en-US" w:eastAsia="zh-CN"/>
        </w:rPr>
        <w:t xml:space="preserve">  </w:t>
      </w:r>
      <w:r>
        <w:rPr>
          <w:rFonts w:hint="eastAsia" w:eastAsia="仿宋_GB2312"/>
          <w:sz w:val="32"/>
          <w:szCs w:val="32"/>
        </w:rPr>
        <w:t>1、管理农业科技，促进农业发展。</w:t>
      </w:r>
    </w:p>
    <w:p>
      <w:pPr>
        <w:widowControl/>
        <w:spacing w:line="600" w:lineRule="exact"/>
        <w:ind w:firstLine="627" w:firstLineChars="196"/>
        <w:rPr>
          <w:rFonts w:hint="eastAsia" w:ascii="仿宋_GB2312" w:hAnsi="仿宋_GB2312" w:eastAsia="仿宋_GB2312" w:cs="仿宋_GB2312"/>
          <w:b/>
          <w:bCs w:val="0"/>
          <w:sz w:val="32"/>
          <w:szCs w:val="32"/>
          <w:lang w:eastAsia="zh-CN"/>
        </w:rPr>
      </w:pPr>
      <w:r>
        <w:rPr>
          <w:rFonts w:hint="eastAsia" w:eastAsia="仿宋_GB2312"/>
          <w:sz w:val="32"/>
          <w:szCs w:val="32"/>
        </w:rPr>
        <w:t xml:space="preserve">  2、农业科技成果开发管理、农业植物新品种保护管理、农业质量和技术市场管理。</w:t>
      </w:r>
    </w:p>
    <w:p>
      <w:pPr>
        <w:spacing w:line="560" w:lineRule="exact"/>
        <w:ind w:firstLine="643" w:firstLineChars="200"/>
        <w:rPr>
          <w:rFonts w:hint="eastAsia" w:ascii="仿宋_GB2312" w:hAnsi="仿宋_GB2312" w:eastAsia="仿宋_GB2312" w:cs="仿宋_GB2312"/>
          <w:bCs/>
          <w:sz w:val="32"/>
          <w:szCs w:val="32"/>
        </w:rPr>
      </w:pPr>
      <w:r>
        <w:rPr>
          <w:rFonts w:hint="default" w:ascii="Times New Roman" w:hAnsi="Times New Roman" w:eastAsia="楷体_GB2312" w:cs="Times New Roman"/>
          <w:b/>
          <w:sz w:val="32"/>
          <w:szCs w:val="32"/>
          <w:highlight w:val="none"/>
        </w:rPr>
        <w:t>（</w:t>
      </w:r>
      <w:r>
        <w:rPr>
          <w:rFonts w:hint="eastAsia" w:ascii="Times New Roman" w:hAnsi="Times New Roman" w:eastAsia="楷体_GB2312" w:cs="Times New Roman"/>
          <w:b/>
          <w:sz w:val="32"/>
          <w:szCs w:val="32"/>
          <w:highlight w:val="none"/>
          <w:lang w:eastAsia="zh-CN"/>
        </w:rPr>
        <w:t>二</w:t>
      </w:r>
      <w:r>
        <w:rPr>
          <w:rFonts w:hint="default" w:ascii="Times New Roman" w:hAnsi="Times New Roman" w:eastAsia="楷体_GB2312" w:cs="Times New Roman"/>
          <w:b/>
          <w:sz w:val="32"/>
          <w:szCs w:val="32"/>
          <w:highlight w:val="none"/>
        </w:rPr>
        <w:t>）</w:t>
      </w:r>
      <w:r>
        <w:rPr>
          <w:rFonts w:hint="eastAsia" w:ascii="仿宋_GB2312" w:hAnsi="仿宋_GB2312" w:eastAsia="仿宋_GB2312" w:cs="仿宋_GB2312"/>
          <w:b/>
          <w:bCs w:val="0"/>
          <w:sz w:val="32"/>
          <w:szCs w:val="32"/>
        </w:rPr>
        <w:t>、机构设置</w:t>
      </w:r>
    </w:p>
    <w:p>
      <w:pPr>
        <w:widowControl/>
        <w:spacing w:line="600" w:lineRule="exact"/>
        <w:ind w:firstLine="960" w:firstLineChars="300"/>
        <w:rPr>
          <w:rFonts w:hint="eastAsia" w:eastAsia="仿宋_GB2312"/>
          <w:sz w:val="32"/>
          <w:szCs w:val="32"/>
        </w:rPr>
      </w:pPr>
      <w:r>
        <w:rPr>
          <w:rFonts w:hint="eastAsia" w:eastAsia="仿宋_GB2312"/>
          <w:sz w:val="32"/>
          <w:szCs w:val="32"/>
        </w:rPr>
        <w:t>岳阳市君山区农业科学研究室隶属于农业局二级机构。内设股室1个为综合办公室。</w:t>
      </w:r>
    </w:p>
    <w:p>
      <w:pPr>
        <w:widowControl/>
        <w:spacing w:line="600" w:lineRule="exact"/>
        <w:ind w:firstLine="627" w:firstLineChars="196"/>
        <w:rPr>
          <w:rFonts w:hint="eastAsia" w:eastAsia="仿宋_GB2312"/>
          <w:sz w:val="32"/>
          <w:szCs w:val="32"/>
        </w:rPr>
      </w:pPr>
      <w:r>
        <w:rPr>
          <w:rFonts w:hint="eastAsia" w:eastAsia="仿宋_GB2312"/>
          <w:sz w:val="32"/>
          <w:szCs w:val="32"/>
        </w:rPr>
        <w:t>本所有在职人员</w:t>
      </w:r>
      <w:r>
        <w:rPr>
          <w:rFonts w:hint="eastAsia" w:eastAsia="仿宋_GB2312"/>
          <w:sz w:val="32"/>
          <w:szCs w:val="32"/>
          <w:lang w:val="en-US" w:eastAsia="zh-CN"/>
        </w:rPr>
        <w:t>6</w:t>
      </w:r>
      <w:r>
        <w:rPr>
          <w:rFonts w:hint="eastAsia" w:eastAsia="仿宋_GB2312"/>
          <w:sz w:val="32"/>
          <w:szCs w:val="32"/>
        </w:rPr>
        <w:t>人，其中4人为在编人员，</w:t>
      </w:r>
      <w:r>
        <w:rPr>
          <w:rFonts w:hint="eastAsia" w:eastAsia="仿宋_GB2312"/>
          <w:sz w:val="32"/>
          <w:szCs w:val="32"/>
          <w:lang w:val="en-US" w:eastAsia="zh-CN"/>
        </w:rPr>
        <w:t>2</w:t>
      </w:r>
      <w:r>
        <w:rPr>
          <w:rFonts w:hint="eastAsia" w:eastAsia="仿宋_GB2312"/>
          <w:sz w:val="32"/>
          <w:szCs w:val="32"/>
        </w:rPr>
        <w:t>人为经费自理人员。退休人员共20人。</w:t>
      </w:r>
    </w:p>
    <w:p>
      <w:pPr>
        <w:keepNext w:val="0"/>
        <w:keepLines w:val="0"/>
        <w:pageBreakBefore w:val="0"/>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pStyle w:val="7"/>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7"/>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pStyle w:val="7"/>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Times New Roman" w:hAnsi="Times New Roman" w:eastAsia="楷体_GB2312" w:cs="Times New Roman"/>
          <w:b w:val="0"/>
          <w:bCs/>
          <w:sz w:val="32"/>
          <w:szCs w:val="32"/>
          <w:lang w:eastAsia="zh-CN"/>
        </w:rPr>
      </w:pPr>
      <w:r>
        <w:rPr>
          <w:rFonts w:hint="eastAsia" w:ascii="仿宋_GB2312" w:hAnsi="仿宋_GB2312" w:eastAsia="仿宋_GB2312" w:cs="仿宋_GB2312"/>
          <w:kern w:val="2"/>
          <w:sz w:val="32"/>
          <w:szCs w:val="32"/>
          <w:lang w:val="en-US" w:eastAsia="zh-CN" w:bidi="ar-SA"/>
        </w:rPr>
        <w:t>2023年本单位部门预算资金197.61万元（基本支出162.53万元，项目支出35.08万元），全年实际支出197.61万元，其中基本支出162.53万元，项目支出35.08万元，预算执行率100%。　　　　　　</w:t>
      </w:r>
    </w:p>
    <w:p>
      <w:pPr>
        <w:pStyle w:val="7"/>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本单位2023年度全年预算197.61万元（工资福利支出56.77万元、商品和服务支出55.66万元、对个人和家庭的补助85.18万元），其中一般公共预算财政拨款141.09万元。本单位2023年度基本支出197.61万元（工资福利支出56.77万元、商品和服务支出45.47万元、资本性支出0万元、对个人和家庭的补助60.28万元），其中人员经费117.05万元，公用经费45.47万元。</w:t>
      </w:r>
    </w:p>
    <w:p>
      <w:pPr>
        <w:pStyle w:val="7"/>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eastAsia="仿宋_GB2312" w:cs="仿宋_GB2312"/>
          <w:kern w:val="0"/>
          <w:sz w:val="32"/>
          <w:szCs w:val="32"/>
          <w:lang w:val="en-US" w:eastAsia="zh-CN"/>
        </w:rPr>
      </w:pPr>
      <w:r>
        <w:rPr>
          <w:rFonts w:hint="eastAsia" w:ascii="仿宋_GB2312" w:hAnsi="仿宋_GB2312" w:eastAsia="仿宋_GB2312" w:cs="仿宋_GB2312"/>
          <w:kern w:val="2"/>
          <w:sz w:val="32"/>
          <w:szCs w:val="32"/>
          <w:lang w:val="en-US" w:eastAsia="zh-CN" w:bidi="ar-SA"/>
        </w:rPr>
        <w:t>基本支出主要</w:t>
      </w:r>
      <w:r>
        <w:rPr>
          <w:rFonts w:hint="eastAsia" w:eastAsia="仿宋_GB2312" w:cs="仿宋_GB2312"/>
          <w:kern w:val="0"/>
          <w:sz w:val="32"/>
          <w:szCs w:val="32"/>
          <w:lang w:eastAsia="zh-CN"/>
        </w:rPr>
        <w:t>是指为保障单位机构正常运转、完成日常工作任务而发生的各项支出，包括用于基本工资、</w:t>
      </w:r>
      <w:r>
        <w:rPr>
          <w:rFonts w:hint="eastAsia" w:eastAsia="仿宋_GB2312" w:cs="仿宋_GB2312"/>
          <w:kern w:val="0"/>
          <w:sz w:val="32"/>
          <w:szCs w:val="32"/>
          <w:lang w:val="en-US" w:eastAsia="zh-CN"/>
        </w:rPr>
        <w:t>绩效工资、</w:t>
      </w:r>
      <w:r>
        <w:rPr>
          <w:rFonts w:hint="eastAsia" w:eastAsia="仿宋_GB2312" w:cs="仿宋_GB2312"/>
          <w:kern w:val="0"/>
          <w:sz w:val="32"/>
          <w:szCs w:val="32"/>
          <w:lang w:eastAsia="zh-CN"/>
        </w:rPr>
        <w:t>津贴补贴、</w:t>
      </w:r>
      <w:r>
        <w:rPr>
          <w:rFonts w:hint="eastAsia" w:eastAsia="仿宋_GB2312" w:cs="仿宋_GB2312"/>
          <w:kern w:val="0"/>
          <w:sz w:val="32"/>
          <w:szCs w:val="32"/>
          <w:lang w:val="en-US" w:eastAsia="zh-CN"/>
        </w:rPr>
        <w:t>社会保障缴费</w:t>
      </w:r>
      <w:r>
        <w:rPr>
          <w:rFonts w:hint="eastAsia" w:eastAsia="仿宋_GB2312" w:cs="仿宋_GB2312"/>
          <w:kern w:val="0"/>
          <w:sz w:val="32"/>
          <w:szCs w:val="32"/>
          <w:lang w:eastAsia="zh-CN"/>
        </w:rPr>
        <w:t>等人员经费，办公费、印刷费、水电费、差旅费、</w:t>
      </w:r>
      <w:r>
        <w:rPr>
          <w:rFonts w:hint="eastAsia" w:eastAsia="仿宋_GB2312" w:cs="仿宋_GB2312"/>
          <w:kern w:val="0"/>
          <w:sz w:val="32"/>
          <w:szCs w:val="32"/>
          <w:lang w:val="en-US" w:eastAsia="zh-CN"/>
        </w:rPr>
        <w:t>公务接待费、维修（护）费</w:t>
      </w:r>
      <w:r>
        <w:rPr>
          <w:rFonts w:hint="eastAsia" w:eastAsia="仿宋_GB2312" w:cs="仿宋_GB2312"/>
          <w:kern w:val="0"/>
          <w:sz w:val="32"/>
          <w:szCs w:val="32"/>
          <w:lang w:eastAsia="zh-CN"/>
        </w:rPr>
        <w:t>等日常公用经费，</w:t>
      </w:r>
      <w:r>
        <w:rPr>
          <w:rFonts w:hint="eastAsia" w:eastAsia="仿宋_GB2312" w:cs="仿宋_GB2312"/>
          <w:kern w:val="0"/>
          <w:sz w:val="32"/>
          <w:szCs w:val="32"/>
          <w:lang w:val="en-US" w:eastAsia="zh-CN"/>
        </w:rPr>
        <w:t>以及离退休费用等其他对个人和家庭的补助支出。</w:t>
      </w:r>
    </w:p>
    <w:p>
      <w:pPr>
        <w:pStyle w:val="7"/>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（二）项目支出情况</w:t>
      </w: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Chars="200" w:right="0" w:rightChars="0" w:firstLine="320" w:firstLineChars="1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2024年本单位项目支出35.08万元，主要是本单位为完成特定工作任务或事业发展目标而发生的支出，包括有关事业发展专项、专项业务费等。</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 xml:space="preserve"> 2023年本单位无此项支出。</w:t>
      </w:r>
    </w:p>
    <w:p>
      <w:pPr>
        <w:pStyle w:val="7"/>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黑体" w:cs="Times New Roman"/>
          <w:sz w:val="32"/>
          <w:szCs w:val="32"/>
          <w:highlight w:val="none"/>
          <w:lang w:val="en-US" w:eastAsia="zh-CN"/>
        </w:rPr>
        <w:t xml:space="preserve"> </w:t>
      </w:r>
      <w:r>
        <w:rPr>
          <w:rFonts w:hint="eastAsia" w:ascii="仿宋_GB2312" w:hAnsi="仿宋_GB2312" w:eastAsia="仿宋_GB2312" w:cs="仿宋_GB2312"/>
          <w:color w:val="000000"/>
          <w:kern w:val="2"/>
          <w:sz w:val="32"/>
          <w:szCs w:val="32"/>
          <w:shd w:val="clear" w:color="auto" w:fill="FFFFFF"/>
          <w:lang w:val="en-US" w:eastAsia="zh-CN" w:bidi="ar-SA"/>
        </w:rPr>
        <w:t>2023年本单位无此项支出。</w:t>
      </w:r>
    </w:p>
    <w:p>
      <w:pPr>
        <w:pStyle w:val="7"/>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 xml:space="preserve"> 2023年本单位无此项支出。</w:t>
      </w:r>
    </w:p>
    <w:p>
      <w:pPr>
        <w:pStyle w:val="7"/>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pPr>
        <w:pStyle w:val="7"/>
        <w:keepNext w:val="0"/>
        <w:keepLines w:val="0"/>
        <w:pageBreakBefore w:val="0"/>
        <w:widowControl/>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kern w:val="2"/>
          <w:sz w:val="32"/>
          <w:szCs w:val="32"/>
          <w:lang w:val="en-US" w:eastAsia="zh-CN" w:bidi="ar-SA"/>
        </w:rPr>
      </w:pPr>
      <w:r>
        <w:rPr>
          <w:rFonts w:hint="eastAsia" w:ascii="Times New Roman" w:hAnsi="Times New Roman" w:eastAsia="黑体" w:cs="Times New Roman"/>
          <w:sz w:val="32"/>
          <w:szCs w:val="32"/>
          <w:lang w:eastAsia="zh-CN"/>
        </w:rPr>
        <w:t>　</w:t>
      </w:r>
      <w:r>
        <w:rPr>
          <w:rFonts w:hint="default" w:ascii="仿宋_GB2312" w:hAnsi="仿宋_GB2312" w:eastAsia="仿宋_GB2312" w:cs="仿宋_GB2312"/>
          <w:kern w:val="2"/>
          <w:sz w:val="32"/>
          <w:szCs w:val="32"/>
          <w:lang w:val="en-US" w:eastAsia="zh-CN" w:bidi="ar-SA"/>
        </w:rPr>
        <w:t>2023年，</w:t>
      </w:r>
      <w:r>
        <w:rPr>
          <w:rFonts w:hint="eastAsia" w:ascii="仿宋_GB2312" w:hAnsi="仿宋_GB2312" w:eastAsia="仿宋_GB2312" w:cs="仿宋_GB2312"/>
          <w:kern w:val="2"/>
          <w:sz w:val="32"/>
          <w:szCs w:val="32"/>
          <w:lang w:val="en-US" w:eastAsia="zh-CN" w:bidi="ar-SA"/>
        </w:rPr>
        <w:t>本单位</w:t>
      </w:r>
      <w:r>
        <w:rPr>
          <w:rFonts w:hint="default" w:ascii="仿宋_GB2312" w:hAnsi="仿宋_GB2312" w:eastAsia="仿宋_GB2312" w:cs="仿宋_GB2312"/>
          <w:kern w:val="2"/>
          <w:sz w:val="32"/>
          <w:szCs w:val="32"/>
          <w:lang w:val="en-US" w:eastAsia="zh-CN" w:bidi="ar-SA"/>
        </w:rPr>
        <w:t>积极履职，资金管理规范，</w:t>
      </w:r>
      <w:r>
        <w:rPr>
          <w:rFonts w:hint="eastAsia" w:ascii="仿宋_GB2312" w:hAnsi="仿宋_GB2312" w:eastAsia="仿宋_GB2312" w:cs="仿宋_GB2312"/>
          <w:kern w:val="2"/>
          <w:sz w:val="32"/>
          <w:szCs w:val="32"/>
          <w:lang w:val="en-US" w:eastAsia="zh-CN" w:bidi="ar-SA"/>
        </w:rPr>
        <w:t>资产</w:t>
      </w:r>
      <w:r>
        <w:rPr>
          <w:rFonts w:hint="default" w:ascii="仿宋_GB2312" w:hAnsi="仿宋_GB2312" w:eastAsia="仿宋_GB2312" w:cs="仿宋_GB2312"/>
          <w:kern w:val="2"/>
          <w:sz w:val="32"/>
          <w:szCs w:val="32"/>
          <w:lang w:val="en-US" w:eastAsia="zh-CN" w:bidi="ar-SA"/>
        </w:rPr>
        <w:t>管理到位，政策执行有力，较好地完成了年度工作目标，有效发挥了财政资金的使用效率。在人员经费支出上</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严格执行上级的各项制度;在</w:t>
      </w:r>
      <w:r>
        <w:rPr>
          <w:rFonts w:hint="eastAsia" w:ascii="仿宋_GB2312" w:hAnsi="仿宋_GB2312" w:eastAsia="仿宋_GB2312" w:cs="仿宋_GB2312"/>
          <w:kern w:val="2"/>
          <w:sz w:val="32"/>
          <w:szCs w:val="32"/>
          <w:lang w:val="en-US" w:eastAsia="zh-CN" w:bidi="ar-SA"/>
        </w:rPr>
        <w:t>公用</w:t>
      </w:r>
      <w:r>
        <w:rPr>
          <w:rFonts w:hint="default" w:ascii="仿宋_GB2312" w:hAnsi="仿宋_GB2312" w:eastAsia="仿宋_GB2312" w:cs="仿宋_GB2312"/>
          <w:kern w:val="2"/>
          <w:sz w:val="32"/>
          <w:szCs w:val="32"/>
          <w:lang w:val="en-US" w:eastAsia="zh-CN" w:bidi="ar-SA"/>
        </w:rPr>
        <w:t>经费使用上，</w:t>
      </w:r>
      <w:r>
        <w:rPr>
          <w:rFonts w:hint="eastAsia" w:ascii="仿宋_GB2312" w:hAnsi="仿宋_GB2312" w:eastAsia="仿宋_GB2312" w:cs="仿宋_GB2312"/>
          <w:kern w:val="2"/>
          <w:sz w:val="32"/>
          <w:szCs w:val="32"/>
          <w:lang w:val="en-US" w:eastAsia="zh-CN" w:bidi="ar-SA"/>
        </w:rPr>
        <w:t>严格执行预算</w:t>
      </w:r>
      <w:r>
        <w:rPr>
          <w:rFonts w:hint="default"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zh-CN" w:bidi="ar-SA"/>
        </w:rPr>
        <w:t>在</w:t>
      </w:r>
      <w:r>
        <w:rPr>
          <w:rFonts w:hint="default" w:ascii="仿宋_GB2312" w:hAnsi="仿宋_GB2312" w:eastAsia="仿宋_GB2312" w:cs="仿宋_GB2312"/>
          <w:kern w:val="2"/>
          <w:sz w:val="32"/>
          <w:szCs w:val="32"/>
          <w:lang w:val="en-US" w:eastAsia="zh-CN" w:bidi="ar-SA"/>
        </w:rPr>
        <w:t>“三公”经费</w:t>
      </w:r>
      <w:r>
        <w:rPr>
          <w:rFonts w:hint="eastAsia" w:ascii="仿宋_GB2312" w:hAnsi="仿宋_GB2312" w:eastAsia="仿宋_GB2312" w:cs="仿宋_GB2312"/>
          <w:kern w:val="2"/>
          <w:sz w:val="32"/>
          <w:szCs w:val="32"/>
          <w:lang w:val="en-US" w:eastAsia="zh-CN" w:bidi="ar-SA"/>
        </w:rPr>
        <w:t>开支上，</w:t>
      </w:r>
      <w:r>
        <w:rPr>
          <w:rFonts w:hint="default" w:ascii="仿宋_GB2312" w:hAnsi="仿宋_GB2312" w:eastAsia="仿宋_GB2312" w:cs="仿宋_GB2312"/>
          <w:kern w:val="2"/>
          <w:sz w:val="32"/>
          <w:szCs w:val="32"/>
          <w:lang w:val="en-US" w:eastAsia="zh-CN" w:bidi="ar-SA"/>
        </w:rPr>
        <w:t>厉行节约，从严控制</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 xml:space="preserve">根据《部门整体支出绩效自评表》自评得分 </w:t>
      </w:r>
      <w:r>
        <w:rPr>
          <w:rFonts w:hint="eastAsia" w:ascii="仿宋_GB2312" w:hAnsi="仿宋_GB2312" w:eastAsia="仿宋_GB2312" w:cs="仿宋_GB2312"/>
          <w:kern w:val="2"/>
          <w:sz w:val="32"/>
          <w:szCs w:val="32"/>
          <w:lang w:val="en-US" w:eastAsia="zh-CN" w:bidi="ar-SA"/>
        </w:rPr>
        <w:t>98</w:t>
      </w:r>
      <w:r>
        <w:rPr>
          <w:rFonts w:hint="default" w:ascii="仿宋_GB2312" w:hAnsi="仿宋_GB2312" w:eastAsia="仿宋_GB2312" w:cs="仿宋_GB2312"/>
          <w:kern w:val="2"/>
          <w:sz w:val="32"/>
          <w:szCs w:val="32"/>
          <w:lang w:val="en-US" w:eastAsia="zh-CN" w:bidi="ar-SA"/>
        </w:rPr>
        <w:t>分(详见附表2)，部门整体支出绩效为“优”</w:t>
      </w:r>
    </w:p>
    <w:p>
      <w:pPr>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rPr>
        <w:t>（一）2023年部门整体支出绩效目标设置及完成情况</w:t>
      </w:r>
    </w:p>
    <w:p>
      <w:pPr>
        <w:numPr>
          <w:ilvl w:val="0"/>
          <w:numId w:val="0"/>
        </w:numPr>
        <w:rPr>
          <w:rFonts w:hint="eastAsia"/>
          <w:sz w:val="30"/>
          <w:szCs w:val="30"/>
        </w:rPr>
      </w:pPr>
      <w:r>
        <w:rPr>
          <w:rFonts w:hint="eastAsia"/>
          <w:b/>
          <w:bCs/>
          <w:sz w:val="30"/>
          <w:szCs w:val="30"/>
          <w:lang w:val="en-US" w:eastAsia="zh-CN"/>
        </w:rPr>
        <w:t>目标1：</w:t>
      </w:r>
      <w:r>
        <w:rPr>
          <w:rFonts w:hint="eastAsia"/>
          <w:sz w:val="30"/>
          <w:szCs w:val="30"/>
        </w:rPr>
        <w:t>加强党建工作，增强班子活动。</w:t>
      </w:r>
    </w:p>
    <w:p>
      <w:pPr>
        <w:rPr>
          <w:rFonts w:hint="eastAsia"/>
          <w:sz w:val="30"/>
          <w:szCs w:val="30"/>
        </w:rPr>
      </w:pPr>
      <w:r>
        <w:rPr>
          <w:rFonts w:hint="eastAsia"/>
          <w:b/>
          <w:bCs/>
          <w:sz w:val="30"/>
          <w:szCs w:val="30"/>
          <w:lang w:val="en-US" w:eastAsia="zh-CN"/>
        </w:rPr>
        <w:t>完成情况：</w:t>
      </w:r>
      <w:r>
        <w:rPr>
          <w:rFonts w:hint="eastAsia"/>
          <w:sz w:val="30"/>
          <w:szCs w:val="30"/>
        </w:rPr>
        <w:t>2023年农科所支部按照区组织部的会议精神指示和布署，农科所支部在年初制定了党支部工作计划，认真落实到位，所支部开展了系列业余活动，每月组织一次党员生活会，对党员每月的进行考评工作，每月交纳党费，做到了每项工作不漏缺。组织党员每月参加党员日活动,2023年是全面建成小康社会关键之年，是决战脱贫攻坚克难的关键一年，扎实的工作，创新思路。用实际行动保证脱贫攻坚任务圆满完成。</w:t>
      </w:r>
    </w:p>
    <w:p>
      <w:pPr>
        <w:rPr>
          <w:rFonts w:hint="eastAsia"/>
          <w:sz w:val="30"/>
          <w:szCs w:val="30"/>
        </w:rPr>
      </w:pPr>
      <w:r>
        <w:rPr>
          <w:rFonts w:hint="eastAsia"/>
          <w:b/>
          <w:bCs/>
          <w:sz w:val="30"/>
          <w:szCs w:val="30"/>
          <w:lang w:val="en-US" w:eastAsia="zh-CN"/>
        </w:rPr>
        <w:t>目标2：</w:t>
      </w:r>
      <w:r>
        <w:rPr>
          <w:rFonts w:hint="eastAsia"/>
          <w:sz w:val="30"/>
          <w:szCs w:val="30"/>
        </w:rPr>
        <w:t>三分场七队桥头至种猪场前路段改扩建工程。</w:t>
      </w:r>
    </w:p>
    <w:p>
      <w:pPr>
        <w:rPr>
          <w:rFonts w:hint="eastAsia" w:ascii="宋体" w:hAnsi="宋体" w:cs="宋体"/>
          <w:sz w:val="30"/>
          <w:szCs w:val="30"/>
        </w:rPr>
      </w:pPr>
      <w:r>
        <w:rPr>
          <w:rFonts w:hint="eastAsia"/>
          <w:b/>
          <w:bCs/>
          <w:sz w:val="30"/>
          <w:szCs w:val="30"/>
          <w:lang w:val="en-US" w:eastAsia="zh-CN"/>
        </w:rPr>
        <w:t>完成情况：</w:t>
      </w:r>
      <w:r>
        <w:rPr>
          <w:rFonts w:hint="eastAsia"/>
          <w:sz w:val="30"/>
          <w:szCs w:val="30"/>
        </w:rPr>
        <w:t>2023年农科所</w:t>
      </w:r>
      <w:r>
        <w:rPr>
          <w:rFonts w:hint="eastAsia"/>
          <w:b/>
          <w:bCs/>
          <w:sz w:val="30"/>
          <w:szCs w:val="30"/>
        </w:rPr>
        <w:t>三</w:t>
      </w:r>
      <w:r>
        <w:rPr>
          <w:rFonts w:hint="eastAsia"/>
          <w:sz w:val="30"/>
          <w:szCs w:val="30"/>
        </w:rPr>
        <w:t>分场七队桥头至种猪场前路段，经农科所积极扩建，由原先的破旧狭窄路段，变成焕然一新的宽敞路面，</w:t>
      </w:r>
      <w:r>
        <w:rPr>
          <w:rFonts w:hint="eastAsia" w:ascii="宋体" w:hAnsi="宋体" w:cs="宋体"/>
          <w:sz w:val="30"/>
          <w:szCs w:val="30"/>
        </w:rPr>
        <w:t>完善了农科所路面，拓展农民就业渠道，使农民群众真正成为农村发展的参与者、监督者和受益者，切实增强农民群众的获得感、幸福感。</w:t>
      </w:r>
    </w:p>
    <w:p>
      <w:pPr>
        <w:rPr>
          <w:rFonts w:hint="eastAsia" w:ascii="宋体" w:hAnsi="宋体" w:cs="宋体"/>
          <w:sz w:val="30"/>
          <w:szCs w:val="30"/>
        </w:rPr>
      </w:pPr>
      <w:r>
        <w:rPr>
          <w:rFonts w:hint="eastAsia"/>
          <w:b/>
          <w:bCs/>
          <w:sz w:val="30"/>
          <w:szCs w:val="30"/>
          <w:lang w:val="en-US" w:eastAsia="zh-CN"/>
        </w:rPr>
        <w:t>目标3：</w:t>
      </w:r>
      <w:r>
        <w:rPr>
          <w:rFonts w:hint="eastAsia" w:ascii="宋体" w:hAnsi="宋体" w:cs="宋体"/>
          <w:sz w:val="30"/>
          <w:szCs w:val="30"/>
        </w:rPr>
        <w:t>维护好社会稳定，保一方稳。</w:t>
      </w:r>
    </w:p>
    <w:p>
      <w:pPr>
        <w:rPr>
          <w:sz w:val="30"/>
          <w:szCs w:val="30"/>
        </w:rPr>
      </w:pPr>
      <w:r>
        <w:rPr>
          <w:rFonts w:hint="eastAsia"/>
          <w:b/>
          <w:bCs/>
          <w:sz w:val="30"/>
          <w:szCs w:val="30"/>
          <w:lang w:val="en-US" w:eastAsia="zh-CN"/>
        </w:rPr>
        <w:t>完成情况：</w:t>
      </w:r>
      <w:r>
        <w:rPr>
          <w:rFonts w:hint="eastAsia"/>
          <w:sz w:val="30"/>
          <w:szCs w:val="30"/>
        </w:rPr>
        <w:t>治安问题不仅关系到社会，关系到他人，也关系到我们自己。生活在这个社会环境中，如果没有一个良好的社会治安环境，我们的生命财产安全就无法得到保障，更谈不上安居乐业。2023年上半年间，农科所全体员工积极的帮助农科所附近人民排忧解难有需要帮助的积极处理，对于人民的诉求积极的反应作出相应的措施，对于人民的不当行为进行教育，并使其改正不当行为，在生活当中给与适当的帮助，能解决的问题积极帮忙解决，使人民在农科所的生活充满幸福感。</w:t>
      </w:r>
    </w:p>
    <w:p>
      <w:pPr>
        <w:ind w:firstLine="643" w:firstLineChars="200"/>
        <w:rPr>
          <w:rFonts w:ascii="微软雅黑" w:hAnsi="微软雅黑" w:eastAsia="微软雅黑" w:cs="微软雅黑"/>
          <w:i w:val="0"/>
          <w:iCs w:val="0"/>
          <w:caps w:val="0"/>
          <w:color w:val="333333"/>
          <w:spacing w:val="0"/>
          <w:sz w:val="24"/>
          <w:szCs w:val="24"/>
        </w:rPr>
      </w:pPr>
      <w:r>
        <w:rPr>
          <w:rFonts w:hint="eastAsia" w:ascii="楷体_GB2312" w:hAnsi="微软雅黑" w:eastAsia="楷体_GB2312" w:cs="楷体_GB2312"/>
          <w:b/>
          <w:bCs/>
          <w:i w:val="0"/>
          <w:iCs w:val="0"/>
          <w:caps w:val="0"/>
          <w:color w:val="000000"/>
          <w:spacing w:val="0"/>
          <w:kern w:val="0"/>
          <w:sz w:val="32"/>
          <w:szCs w:val="32"/>
          <w:shd w:val="clear" w:fill="FFFFFF"/>
          <w:lang w:val="en-US" w:eastAsia="zh-CN" w:bidi="ar"/>
        </w:rPr>
        <w:t>（二）</w:t>
      </w:r>
      <w:r>
        <w:rPr>
          <w:rFonts w:ascii="楷体_GB2312" w:hAnsi="微软雅黑" w:eastAsia="楷体_GB2312" w:cs="楷体_GB2312"/>
          <w:b/>
          <w:bCs/>
          <w:i w:val="0"/>
          <w:iCs w:val="0"/>
          <w:caps w:val="0"/>
          <w:color w:val="000000"/>
          <w:spacing w:val="0"/>
          <w:kern w:val="0"/>
          <w:sz w:val="32"/>
          <w:szCs w:val="32"/>
          <w:shd w:val="clear" w:fill="FFFFFF"/>
          <w:lang w:val="en-US" w:eastAsia="zh-CN" w:bidi="ar"/>
        </w:rPr>
        <w:t>单位资产管理和整体业务实施效果情况</w:t>
      </w:r>
    </w:p>
    <w:p>
      <w:pPr>
        <w:ind w:firstLine="600" w:firstLineChars="200"/>
        <w:rPr>
          <w:rFonts w:hint="eastAsia"/>
          <w:sz w:val="30"/>
          <w:szCs w:val="30"/>
          <w:lang w:val="en-US" w:eastAsia="zh-CN"/>
        </w:rPr>
      </w:pPr>
      <w:r>
        <w:rPr>
          <w:rFonts w:hint="default"/>
          <w:sz w:val="30"/>
          <w:szCs w:val="30"/>
          <w:lang w:val="en-US" w:eastAsia="zh-CN"/>
        </w:rPr>
        <w:t>本单位资产设有专</w:t>
      </w:r>
      <w:r>
        <w:rPr>
          <w:rFonts w:hint="eastAsia"/>
          <w:sz w:val="30"/>
          <w:szCs w:val="30"/>
          <w:lang w:val="en-US" w:eastAsia="zh-CN"/>
        </w:rPr>
        <w:t>门人员将单位所有资产全部录入固定资产信息系统</w:t>
      </w:r>
      <w:r>
        <w:rPr>
          <w:rFonts w:hint="default"/>
          <w:sz w:val="30"/>
          <w:szCs w:val="30"/>
          <w:lang w:val="en-US" w:eastAsia="zh-CN"/>
        </w:rPr>
        <w:t>,</w:t>
      </w:r>
      <w:r>
        <w:rPr>
          <w:rFonts w:hint="eastAsia"/>
          <w:sz w:val="30"/>
          <w:szCs w:val="30"/>
          <w:lang w:val="en-US" w:eastAsia="zh-CN"/>
        </w:rPr>
        <w:t>实行动态管理。资产配置严格按照规定程序报批，坚持资产配备与单位履行职能需要相适应，坚持资产管理与预算管理相结合。资产利用率高，资产配置基本合理，人均占有办公室使用面积、人均占有通用设备数量等指标均在正常范围。科学管理和使用国有资产</w:t>
      </w:r>
      <w:r>
        <w:rPr>
          <w:rFonts w:hint="default"/>
          <w:sz w:val="30"/>
          <w:szCs w:val="30"/>
          <w:lang w:val="en-US" w:eastAsia="zh-CN"/>
        </w:rPr>
        <w:t>,</w:t>
      </w:r>
      <w:r>
        <w:rPr>
          <w:rFonts w:hint="eastAsia"/>
          <w:sz w:val="30"/>
          <w:szCs w:val="30"/>
          <w:lang w:val="en-US" w:eastAsia="zh-CN"/>
        </w:rPr>
        <w:t>保障单位正常运转的同时，合理配备并有效使用资产，充分发挥了国有资产的使用效益和社会效益。</w:t>
      </w:r>
    </w:p>
    <w:p>
      <w:pPr>
        <w:rPr>
          <w:rFonts w:hint="eastAsia"/>
          <w:b/>
          <w:bCs/>
          <w:sz w:val="30"/>
          <w:szCs w:val="30"/>
        </w:rPr>
      </w:pPr>
    </w:p>
    <w:p>
      <w:pPr>
        <w:rPr>
          <w:rFonts w:hint="eastAsia" w:eastAsia="宋体"/>
          <w:sz w:val="30"/>
          <w:szCs w:val="30"/>
          <w:lang w:val="en-US" w:eastAsia="zh-CN"/>
        </w:rPr>
      </w:pPr>
    </w:p>
    <w:p>
      <w:pPr>
        <w:numPr>
          <w:ilvl w:val="0"/>
          <w:numId w:val="0"/>
        </w:numPr>
        <w:rPr>
          <w:rFonts w:hint="default" w:eastAsia="宋体"/>
          <w:b/>
          <w:bCs/>
          <w:sz w:val="30"/>
          <w:szCs w:val="30"/>
          <w:lang w:val="en-US" w:eastAsia="zh-CN"/>
        </w:rPr>
      </w:pPr>
    </w:p>
    <w:p>
      <w:pPr>
        <w:pStyle w:val="7"/>
        <w:keepNext w:val="0"/>
        <w:keepLines w:val="0"/>
        <w:pageBreakBefore w:val="0"/>
        <w:widowControl/>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kern w:val="2"/>
          <w:sz w:val="32"/>
          <w:szCs w:val="32"/>
          <w:lang w:val="en-US" w:eastAsia="zh-CN" w:bidi="ar-SA"/>
        </w:rPr>
      </w:pPr>
    </w:p>
    <w:p>
      <w:pPr>
        <w:pStyle w:val="7"/>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（一）预算精准性有待进一步提高</w:t>
      </w:r>
      <w:r>
        <w:rPr>
          <w:rFonts w:hint="eastAsia" w:ascii="Times New Roman" w:hAnsi="Times New Roman" w:eastAsia="楷体_GB2312" w:cs="Times New Roman"/>
          <w:b w:val="0"/>
          <w:bCs/>
          <w:kern w:val="0"/>
          <w:sz w:val="32"/>
          <w:szCs w:val="32"/>
          <w:lang w:val="en-US" w:eastAsia="zh-CN" w:bidi="ar-SA"/>
        </w:rPr>
        <w:t>。</w:t>
      </w:r>
      <w:r>
        <w:rPr>
          <w:rFonts w:hint="eastAsia" w:ascii="Times New Roman" w:hAnsi="Times New Roman" w:eastAsia="仿宋_GB2312" w:cs="Times New Roman"/>
          <w:sz w:val="32"/>
          <w:szCs w:val="32"/>
          <w:lang w:val="en-US" w:eastAsia="zh-CN"/>
        </w:rPr>
        <w:t>由于预算编制具有不可预见性，年初安排预算时，对各项公用支出的分配安排缺乏统一的硬性标准，导致部分资金使用时需要进行指标调剂。</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Chars="0" w:right="0" w:rightChars="0" w:firstLine="640" w:firstLineChars="200"/>
        <w:jc w:val="left"/>
        <w:textAlignment w:val="auto"/>
        <w:rPr>
          <w:rFonts w:hint="eastAsia"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（二）预算绩效管理意识有待进一步加强，预算绩效管理的工作方法方式有待创新。</w:t>
      </w:r>
      <w:r>
        <w:rPr>
          <w:rFonts w:hint="eastAsia" w:ascii="Times New Roman" w:hAnsi="Times New Roman" w:eastAsia="仿宋_GB2312" w:cs="Times New Roman"/>
          <w:sz w:val="32"/>
          <w:szCs w:val="32"/>
          <w:lang w:val="en-US" w:eastAsia="zh-CN"/>
        </w:rPr>
        <w:t>预算绩效管理工作贯穿全年，与各个业务股室息息相关，由于对预算绩效管理的全面性和重要性缺乏深入的了解，统揽全局的意识有所欠缺，导致预算绩效管理工作在推动过程中能够很好地完成各项工作任务，但工作质量难以实现质的飞跃。</w:t>
      </w:r>
    </w:p>
    <w:p>
      <w:pPr>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仿宋_GB2312" w:hAnsi="仿宋_GB2312" w:eastAsia="仿宋_GB2312" w:cs="仿宋_GB2312"/>
          <w:kern w:val="2"/>
          <w:sz w:val="32"/>
          <w:szCs w:val="32"/>
          <w:lang w:val="en-US" w:eastAsia="zh-CN" w:bidi="ar-SA"/>
        </w:rPr>
        <w:t>财务业务水平有待进一步提高。</w:t>
      </w:r>
      <w:r>
        <w:rPr>
          <w:rFonts w:hint="eastAsia" w:ascii="Times New Roman" w:hAnsi="Times New Roman" w:eastAsia="仿宋_GB2312" w:cs="Times New Roman"/>
          <w:sz w:val="32"/>
          <w:szCs w:val="32"/>
          <w:lang w:val="en-US" w:eastAsia="zh-CN"/>
        </w:rPr>
        <w:t>由于财务工作内容变化较大，各项制度、政策更新快，加之财务人员忙于琐碎的日常工作，对各项新知识、新业务的学习时间、精力有限，导致财务人员预算绩效管理工作水平一般，在将预算绩效管理转化成工作成果，更好地指导各项工作的开展方面有所欠缺。</w:t>
      </w:r>
    </w:p>
    <w:p>
      <w:pPr>
        <w:keepNext w:val="0"/>
        <w:keepLines w:val="0"/>
        <w:pageBreakBefore w:val="0"/>
        <w:widowControl/>
        <w:numPr>
          <w:ilvl w:val="0"/>
          <w:numId w:val="5"/>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（一）加强预算编制的前瞻性，提高预算编制水平</w:t>
      </w:r>
      <w:r>
        <w:rPr>
          <w:rFonts w:hint="eastAsia" w:ascii="楷体" w:hAnsi="楷体" w:eastAsia="楷体" w:cs="楷体"/>
          <w:sz w:val="32"/>
          <w:szCs w:val="32"/>
          <w:lang w:val="en-US" w:eastAsia="zh-CN"/>
        </w:rPr>
        <w:t>。</w:t>
      </w:r>
      <w:r>
        <w:rPr>
          <w:rFonts w:hint="eastAsia" w:ascii="Times New Roman" w:hAnsi="Times New Roman" w:eastAsia="仿宋_GB2312" w:cs="Times New Roman"/>
          <w:sz w:val="32"/>
          <w:szCs w:val="32"/>
          <w:lang w:val="en-US" w:eastAsia="zh-CN"/>
        </w:rPr>
        <w:t>进一步提高预算编制的科学性、合理性、严谨性和可控性，紧密结合上一年度预算执行情况和本年度预算收支变化因素，科学、合理地编制本年预算草案，避免出现预算支出与预算执行出现偏差较大的情况。落实预算执行分析，及时了解预算执行差异，合理调整、纠正预算执行偏差，切实提高部门预算收支管理水平。</w:t>
      </w:r>
    </w:p>
    <w:p>
      <w:pPr>
        <w:keepNext w:val="0"/>
        <w:keepLines w:val="0"/>
        <w:pageBreakBefore w:val="0"/>
        <w:widowControl/>
        <w:numPr>
          <w:ilvl w:val="0"/>
          <w:numId w:val="6"/>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牢固树立预算绩效管理贯穿全局的理念，进一步创新工作方式方法。切实做好预算绩效管理的上传下达工作，在全单位形成将预算绩效管理意识融入到业务工作中的意识，多向优秀典型案例学习，拓宽工作思路，多想办法，想好办法，自觉提高预算绩效管理能力。</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三）加大财务人员培训力度，提高财务人员从业水平。督促财务人员树立常学常新的理念，及时更新知识体系，通过加大对财务人员预算绩效管理理论水平和实操的培训，提高将预算绩效管理转化成生产力的能力，更好地提高本单位的管理水平，促进各项事业更好发展。</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keepNext w:val="0"/>
        <w:keepLines w:val="0"/>
        <w:pageBreakBefore w:val="0"/>
        <w:widowControl/>
        <w:numPr>
          <w:ilvl w:val="0"/>
          <w:numId w:val="5"/>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部门整体支出绩效自评结果拟应用和公开情况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单位2023年度部门整体支出绩效自评结果拟按湖南省财政厅关于印发《湖南省预算支出绩效评价管理办法》的通知（湘财绩〔2020〕7号）要求，在整体支出项目绩效目标编制申报时，根据项目实际情况和预期可达成的目标，设置更科学合理的指标。严格按规定内容、时限在君山区政务中心门户网站公开，接受社会监督。</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br w:type="page"/>
      </w:r>
      <w:r>
        <w:rPr>
          <w:rFonts w:hint="eastAsia" w:ascii="仿宋_GB2312" w:hAnsi="仿宋_GB2312" w:eastAsia="仿宋_GB2312" w:cs="仿宋_GB2312"/>
          <w:sz w:val="32"/>
          <w:szCs w:val="32"/>
          <w:highlight w:val="none"/>
        </w:rPr>
        <w:t>附件：</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lang w:eastAsia="zh-CN"/>
        </w:rPr>
        <w:t>部门整体支出绩效自评工作考核评分表</w:t>
      </w:r>
    </w:p>
    <w:p>
      <w:pPr>
        <w:spacing w:after="120" w:afterLines="50" w:line="600" w:lineRule="exact"/>
        <w:jc w:val="both"/>
        <w:rPr>
          <w:rFonts w:hint="eastAsia" w:ascii="方正小标宋简体" w:hAnsi="方正小标宋简体" w:eastAsia="方正小标宋简体" w:cs="方正小标宋简体"/>
          <w:sz w:val="36"/>
          <w:szCs w:val="36"/>
          <w:highlight w:val="none"/>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ind w:firstLine="1080" w:firstLineChars="300"/>
        <w:jc w:val="both"/>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4"/>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23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100%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21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107.34</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35.08</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35.08</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33.24</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14.99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14.99</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　　3、</w:t>
            </w:r>
            <w:r>
              <w:rPr>
                <w:rFonts w:hint="eastAsia" w:ascii="仿宋_GB2312" w:hAnsi="仿宋_GB2312" w:eastAsia="仿宋_GB2312" w:cs="仿宋_GB2312"/>
                <w:sz w:val="20"/>
                <w:szCs w:val="20"/>
                <w:highlight w:val="none"/>
              </w:rPr>
              <w:t>博达隆科技园新建大棚及配套设施工程款</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49.08</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10.01</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xml:space="preserve">    4、棚改三期</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25.02</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10.08</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90.29</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45.47</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45.47</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仿宋_GB2312" w:hAnsi="仿宋_GB2312" w:eastAsia="仿宋_GB2312" w:cs="仿宋_GB2312"/>
                <w:sz w:val="20"/>
                <w:szCs w:val="20"/>
                <w:highlight w:val="none"/>
                <w:lang w:val="en-US" w:eastAsia="zh-CN"/>
              </w:rPr>
              <w:t>2.87</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1.99</w:t>
            </w: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1.99</w:t>
            </w:r>
            <w:r>
              <w:rPr>
                <w:rFonts w:hint="eastAsia" w:ascii="仿宋_GB2312" w:hAnsi="仿宋_GB2312" w:eastAsia="仿宋_GB2312" w:cs="仿宋_GB2312"/>
                <w:color w:val="FF0000"/>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sz w:val="20"/>
                <w:szCs w:val="20"/>
                <w:highlight w:val="none"/>
                <w:lang w:val="en-US" w:eastAsia="zh-CN"/>
              </w:rPr>
              <w:t>9.57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0.19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0.19</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SA"/>
              </w:rPr>
            </w:pPr>
            <w:r>
              <w:rPr>
                <w:rFonts w:hint="eastAsia" w:ascii="宋体" w:hAnsi="宋体" w:cs="宋体"/>
                <w:i w:val="0"/>
                <w:iCs w:val="0"/>
                <w:color w:val="000000"/>
                <w:kern w:val="0"/>
                <w:sz w:val="22"/>
                <w:szCs w:val="22"/>
                <w:u w:val="none"/>
                <w:lang w:val="en-US" w:eastAsia="zh-CN" w:bidi="ar"/>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60.84</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60.84</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162.53</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162.53</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楼堂馆所控制情况</w:t>
            </w:r>
          </w:p>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lang w:eastAsia="zh-CN"/>
              </w:rPr>
            </w:pPr>
            <w:r>
              <w:rPr>
                <w:rFonts w:hint="eastAsia" w:ascii="仿宋_GB2312" w:hAnsi="仿宋_GB2312" w:eastAsia="仿宋_GB2312" w:cs="仿宋_GB2312"/>
                <w:bCs/>
                <w:sz w:val="20"/>
                <w:szCs w:val="20"/>
                <w:highlight w:val="none"/>
              </w:rPr>
              <w:t>批复规模</w:t>
            </w:r>
          </w:p>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18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lang w:val="en-US" w:eastAsia="zh-CN"/>
              </w:rPr>
              <w:t>深入贯彻落实中央八项规定及其实施细则特神，严格控制“三公”经费开支，严禁超范围、超标准开支，践行精细化管理理念，加强绩效化管理，推进绩效评价结果与预算挂钩，严防资金低效使用，确保财力有效转化为保障力。</w:t>
            </w: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w:t>
      </w:r>
      <w:r>
        <w:rPr>
          <w:rFonts w:hint="eastAsia" w:ascii="Times New Roman" w:hAnsi="Times New Roman" w:eastAsia="仿宋_GB2312" w:cs="Times New Roman"/>
          <w:sz w:val="22"/>
          <w:highlight w:val="none"/>
          <w:lang w:val="en-US" w:eastAsia="zh-CN"/>
        </w:rPr>
        <w:t>吴朝霞</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2024.6.19</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13873063680</w:t>
      </w:r>
      <w:r>
        <w:rPr>
          <w:rFonts w:hint="default" w:ascii="Times New Roman" w:hAnsi="Times New Roman" w:eastAsia="仿宋_GB2312" w:cs="Times New Roman"/>
          <w:sz w:val="22"/>
          <w:highlight w:val="none"/>
        </w:rPr>
        <w:t>单位负责人签字：</w:t>
      </w:r>
      <w:r>
        <w:rPr>
          <w:rFonts w:hint="eastAsia" w:ascii="Times New Roman" w:hAnsi="Times New Roman" w:eastAsia="仿宋_GB2312" w:cs="Times New Roman"/>
          <w:sz w:val="22"/>
          <w:highlight w:val="none"/>
          <w:lang w:val="en-US" w:eastAsia="zh-CN"/>
        </w:rPr>
        <w:t>李升兵</w:t>
      </w:r>
    </w:p>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p>
    <w:p>
      <w:pPr>
        <w:widowControl/>
        <w:spacing w:after="0" w:afterLines="0" w:line="400" w:lineRule="exact"/>
        <w:ind w:left="220" w:hanging="320" w:hangingChars="100"/>
        <w:jc w:val="left"/>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4"/>
        <w:tblW w:w="10079" w:type="dxa"/>
        <w:jc w:val="center"/>
        <w:tblLayout w:type="autofit"/>
        <w:tblCellMar>
          <w:top w:w="0" w:type="dxa"/>
          <w:left w:w="108" w:type="dxa"/>
          <w:bottom w:w="0" w:type="dxa"/>
          <w:right w:w="108" w:type="dxa"/>
        </w:tblCellMar>
      </w:tblPr>
      <w:tblGrid>
        <w:gridCol w:w="1080"/>
        <w:gridCol w:w="1080"/>
        <w:gridCol w:w="1034"/>
        <w:gridCol w:w="1270"/>
        <w:gridCol w:w="1311"/>
        <w:gridCol w:w="1269"/>
        <w:gridCol w:w="716"/>
        <w:gridCol w:w="873"/>
        <w:gridCol w:w="1446"/>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岳阳市君山区</w:t>
            </w:r>
            <w:r>
              <w:rPr>
                <w:rFonts w:hint="eastAsia" w:ascii="仿宋_GB2312" w:hAnsi="仿宋_GB2312" w:eastAsia="仿宋_GB2312" w:cs="仿宋_GB2312"/>
                <w:color w:val="000000"/>
                <w:sz w:val="20"/>
                <w:szCs w:val="20"/>
                <w:highlight w:val="none"/>
                <w:lang w:val="en-US" w:eastAsia="zh-CN"/>
              </w:rPr>
              <w:t>农业科学研究所</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算申请</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160.37</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197.61</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197.61</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sz w:val="20"/>
                <w:szCs w:val="20"/>
                <w:highlight w:val="none"/>
                <w:lang w:val="en-US" w:eastAsia="zh-CN"/>
              </w:rPr>
              <w:t>141.09</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sz w:val="20"/>
                <w:szCs w:val="20"/>
                <w:highlight w:val="none"/>
                <w:lang w:val="en-US" w:eastAsia="zh-CN"/>
              </w:rPr>
              <w:t>162.53</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政府性基金拨款：</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35.08</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140.37</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按照区委、政府、农业农村局、党委的具体要求，农科所支部齐心协力，克服困难，改进工作方法，转变工作作风，踏踏实实地完成了局党委交办的各项工作任务</w:t>
            </w:r>
            <w:r>
              <w:rPr>
                <w:rFonts w:hint="eastAsia" w:ascii="仿宋_GB2312" w:hAnsi="仿宋_GB2312" w:eastAsia="仿宋_GB2312" w:cs="仿宋_GB2312"/>
                <w:color w:val="000000"/>
                <w:sz w:val="20"/>
                <w:szCs w:val="20"/>
                <w:highlight w:val="none"/>
                <w:lang w:val="en-US" w:eastAsia="zh-CN"/>
              </w:rPr>
              <w:t>　</w:t>
            </w:r>
          </w:p>
        </w:tc>
        <w:tc>
          <w:tcPr>
            <w:tcW w:w="4304" w:type="dxa"/>
            <w:gridSpan w:val="4"/>
            <w:tcBorders>
              <w:top w:val="single" w:color="auto" w:sz="4" w:space="0"/>
              <w:left w:val="nil"/>
              <w:bottom w:val="single" w:color="auto" w:sz="4" w:space="0"/>
              <w:right w:val="single" w:color="auto" w:sz="4" w:space="0"/>
            </w:tcBorders>
            <w:noWrap w:val="0"/>
            <w:vAlign w:val="top"/>
          </w:tcPr>
          <w:p>
            <w:pPr>
              <w:pStyle w:val="3"/>
              <w:widowControl/>
              <w:spacing w:line="27" w:lineRule="atLeast"/>
              <w:ind w:firstLine="480" w:firstLineChars="240"/>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2023年农科所支部按照区组织部的会议精神指示和布署，农科所支部在年初制定了党支部工作计划，认真落实到位，所支部开展了系列业余活动，每月组织一次党员生活会，对党员每月的进行考评工作，每月交纳党费，做到了每项工作不漏缺。组织党员每月参加党员日活动,2023年是全面建成小康社会关键之年，是决战脱贫攻坚克难的关键一年，扎实的工作，创新思路。用实际行动保证脱贫攻坚任务圆满完成。2023年农科所三分场七队桥头至种猪场前路段，经农科所积极扩建，由原先的破旧狭窄路段，变成焕然一新的宽敞路面，完善了农科所路面，拓展农民就业渠道，使农民群众真正成为农村发展的参与者、监督者和受益者，切实增强农民群众的获得感、幸福感。</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每月组织一次党员生活会</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≥12次</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12次</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对党员每月的进行考评工作</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≥12次</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12次</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三分场七队桥头至种猪场前路段改扩建工程</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lang w:val="en-US" w:eastAsia="zh-CN"/>
              </w:rPr>
              <w:t>　　＝100%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品种试验到位率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r>
              <w:rPr>
                <w:rFonts w:hint="eastAsia" w:ascii="仿宋_GB2312" w:hAnsi="仿宋_GB2312" w:eastAsia="仿宋_GB2312" w:cs="仿宋_GB2312"/>
                <w:color w:val="000000"/>
                <w:sz w:val="20"/>
                <w:szCs w:val="20"/>
                <w:lang w:val="en-US" w:eastAsia="zh-CN"/>
              </w:rPr>
              <w:t>%</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lang w:val="en-US" w:eastAsia="zh-CN"/>
              </w:rPr>
              <w:t>98</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党员参与率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　＝</w:t>
            </w:r>
            <w:r>
              <w:rPr>
                <w:rFonts w:hint="eastAsia" w:ascii="仿宋_GB2312" w:hAnsi="仿宋_GB2312" w:eastAsia="仿宋_GB2312" w:cs="仿宋_GB2312"/>
                <w:color w:val="000000"/>
                <w:sz w:val="20"/>
                <w:szCs w:val="20"/>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2023年12月31日前</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2023年12月20日前</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预算控制率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完成试种任务</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有效推动</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有试种任务未完成</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保存种质资源</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有效提升</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rPr>
              <w:t>节能减碳，优化环境</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有效加强</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bookmarkStart w:id="0" w:name="_GoBack"/>
            <w:bookmarkEnd w:id="0"/>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single" w:color="auto" w:sz="4" w:space="0"/>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有利于可持续生产，提高农业效益</w:t>
            </w:r>
          </w:p>
        </w:tc>
        <w:tc>
          <w:tcPr>
            <w:tcW w:w="131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126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71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技术人员满意度</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w:t>
      </w:r>
      <w:r>
        <w:rPr>
          <w:rFonts w:hint="eastAsia" w:ascii="Times New Roman" w:hAnsi="Times New Roman" w:eastAsia="仿宋_GB2312" w:cs="Times New Roman"/>
          <w:sz w:val="22"/>
          <w:highlight w:val="none"/>
          <w:lang w:val="en-US" w:eastAsia="zh-CN"/>
        </w:rPr>
        <w:t>吴朝霞</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2024.6.19</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13873063680</w:t>
      </w:r>
      <w:r>
        <w:rPr>
          <w:rFonts w:hint="default" w:ascii="Times New Roman" w:hAnsi="Times New Roman" w:eastAsia="仿宋_GB2312" w:cs="Times New Roman"/>
          <w:sz w:val="22"/>
          <w:highlight w:val="none"/>
        </w:rPr>
        <w:t>单位负责人签字：</w:t>
      </w:r>
      <w:r>
        <w:rPr>
          <w:rFonts w:hint="eastAsia" w:ascii="Times New Roman" w:hAnsi="Times New Roman" w:eastAsia="仿宋_GB2312" w:cs="Times New Roman"/>
          <w:sz w:val="22"/>
          <w:highlight w:val="none"/>
          <w:lang w:val="en-US" w:eastAsia="zh-CN"/>
        </w:rPr>
        <w:t>李升兵</w:t>
      </w: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rPr>
          <w:rFonts w:hint="eastAsia" w:ascii="黑体" w:hAnsi="黑体" w:eastAsia="黑体" w:cs="黑体"/>
          <w:sz w:val="32"/>
          <w:szCs w:val="32"/>
          <w:highlight w:val="none"/>
        </w:rPr>
      </w:pPr>
    </w:p>
    <w:p>
      <w:pPr>
        <w:rPr>
          <w:rFonts w:hint="eastAsia" w:ascii="黑体" w:hAnsi="黑体" w:eastAsia="黑体" w:cs="黑体"/>
          <w:sz w:val="32"/>
          <w:szCs w:val="32"/>
          <w:highlight w:val="none"/>
        </w:rPr>
      </w:pPr>
    </w:p>
    <w:p>
      <w:pPr>
        <w:rPr>
          <w:rFonts w:hint="eastAsia" w:ascii="黑体" w:hAnsi="黑体" w:eastAsia="黑体" w:cs="黑体"/>
          <w:sz w:val="32"/>
          <w:szCs w:val="32"/>
          <w:highlight w:val="none"/>
        </w:rPr>
      </w:pPr>
    </w:p>
    <w:p>
      <w:pPr>
        <w:rPr>
          <w:rFonts w:hint="eastAsia" w:ascii="黑体" w:hAnsi="黑体" w:eastAsia="黑体" w:cs="黑体"/>
          <w:sz w:val="32"/>
          <w:szCs w:val="32"/>
          <w:highlight w:val="none"/>
        </w:rPr>
      </w:pPr>
    </w:p>
    <w:p>
      <w:pPr>
        <w:jc w:val="center"/>
        <w:rPr>
          <w:rFonts w:hint="default" w:ascii="Times New Roman" w:hAnsi="Times New Roman" w:eastAsia="方正小标宋_GBK" w:cs="Times New Roman"/>
          <w:sz w:val="52"/>
          <w:szCs w:val="52"/>
          <w:highlight w:val="none"/>
        </w:rPr>
      </w:pP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4"/>
        <w:tblW w:w="9941" w:type="dxa"/>
        <w:jc w:val="center"/>
        <w:tblLayout w:type="fixed"/>
        <w:tblCellMar>
          <w:top w:w="0" w:type="dxa"/>
          <w:left w:w="108" w:type="dxa"/>
          <w:bottom w:w="0" w:type="dxa"/>
          <w:right w:w="108" w:type="dxa"/>
        </w:tblCellMar>
      </w:tblPr>
      <w:tblGrid>
        <w:gridCol w:w="745"/>
        <w:gridCol w:w="1174"/>
        <w:gridCol w:w="5000"/>
        <w:gridCol w:w="3022"/>
      </w:tblGrid>
      <w:tr>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pPr>
              <w:numPr>
                <w:ilvl w:val="0"/>
                <w:numId w:val="7"/>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pPr>
              <w:numPr>
                <w:ilvl w:val="0"/>
                <w:numId w:val="7"/>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cs="Times New Roman"/>
                <w:highlight w:val="none"/>
              </w:rPr>
            </w:pP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lang w:val="en-US" w:eastAsia="zh-CN"/>
              </w:rPr>
            </w:pPr>
            <w:r>
              <w:rPr>
                <w:rFonts w:hint="default" w:ascii="Times New Roman" w:hAnsi="Times New Roman" w:eastAsia="仿宋_GB2312" w:cs="Times New Roman"/>
                <w:sz w:val="20"/>
                <w:szCs w:val="20"/>
                <w:highlight w:val="none"/>
              </w:rPr>
              <w:t>　</w:t>
            </w:r>
            <w:r>
              <w:rPr>
                <w:rFonts w:hint="eastAsia" w:ascii="Times New Roman" w:hAnsi="Times New Roman" w:eastAsia="仿宋_GB2312" w:cs="Times New Roman"/>
                <w:sz w:val="20"/>
                <w:szCs w:val="20"/>
                <w:highlight w:val="none"/>
                <w:lang w:val="en-US" w:eastAsia="zh-CN"/>
              </w:rPr>
              <w:t>98</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9E57AF"/>
    <w:multiLevelType w:val="singleLevel"/>
    <w:tmpl w:val="C19E57AF"/>
    <w:lvl w:ilvl="0" w:tentative="0">
      <w:start w:val="2"/>
      <w:numFmt w:val="chineseCounting"/>
      <w:suff w:val="nothing"/>
      <w:lvlText w:val="（%1）"/>
      <w:lvlJc w:val="left"/>
      <w:pPr>
        <w:ind w:left="-360"/>
      </w:pPr>
      <w:rPr>
        <w:rFonts w:hint="eastAsia" w:ascii="楷体" w:hAnsi="楷体" w:eastAsia="楷体" w:cs="楷体"/>
        <w:sz w:val="32"/>
        <w:szCs w:val="32"/>
      </w:rPr>
    </w:lvl>
  </w:abstractNum>
  <w:abstractNum w:abstractNumId="1">
    <w:nsid w:val="DA81C459"/>
    <w:multiLevelType w:val="singleLevel"/>
    <w:tmpl w:val="DA81C459"/>
    <w:lvl w:ilvl="0" w:tentative="0">
      <w:start w:val="2"/>
      <w:numFmt w:val="chineseCounting"/>
      <w:suff w:val="nothing"/>
      <w:lvlText w:val="（%1）"/>
      <w:lvlJc w:val="left"/>
      <w:rPr>
        <w:rFonts w:hint="eastAsia" w:ascii="楷体" w:hAnsi="楷体" w:eastAsia="楷体" w:cs="楷体"/>
        <w:sz w:val="32"/>
        <w:szCs w:val="32"/>
      </w:rPr>
    </w:lvl>
  </w:abstractNum>
  <w:abstractNum w:abstractNumId="2">
    <w:nsid w:val="1BCD131B"/>
    <w:multiLevelType w:val="singleLevel"/>
    <w:tmpl w:val="1BCD131B"/>
    <w:lvl w:ilvl="0" w:tentative="0">
      <w:start w:val="8"/>
      <w:numFmt w:val="chineseCounting"/>
      <w:suff w:val="nothing"/>
      <w:lvlText w:val="%1、"/>
      <w:lvlJc w:val="left"/>
      <w:rPr>
        <w:rFonts w:hint="eastAsia"/>
      </w:rPr>
    </w:lvl>
  </w:abstractNum>
  <w:abstractNum w:abstractNumId="3">
    <w:nsid w:val="1DD36296"/>
    <w:multiLevelType w:val="singleLevel"/>
    <w:tmpl w:val="1DD36296"/>
    <w:lvl w:ilvl="0" w:tentative="0">
      <w:start w:val="1"/>
      <w:numFmt w:val="chineseCounting"/>
      <w:suff w:val="nothing"/>
      <w:lvlText w:val="%1、"/>
      <w:lvlJc w:val="left"/>
      <w:rPr>
        <w:rFonts w:hint="eastAsia"/>
      </w:rPr>
    </w:lvl>
  </w:abstractNum>
  <w:abstractNum w:abstractNumId="4">
    <w:nsid w:val="59CC8B3D"/>
    <w:multiLevelType w:val="singleLevel"/>
    <w:tmpl w:val="59CC8B3D"/>
    <w:lvl w:ilvl="0" w:tentative="0">
      <w:start w:val="1"/>
      <w:numFmt w:val="chineseCounting"/>
      <w:suff w:val="nothing"/>
      <w:lvlText w:val="（%1）"/>
      <w:lvlJc w:val="left"/>
      <w:rPr>
        <w:rFonts w:hint="eastAsia"/>
      </w:rPr>
    </w:lvl>
  </w:abstractNum>
  <w:abstractNum w:abstractNumId="5">
    <w:nsid w:val="5DDF8822"/>
    <w:multiLevelType w:val="singleLevel"/>
    <w:tmpl w:val="5DDF8822"/>
    <w:lvl w:ilvl="0" w:tentative="0">
      <w:start w:val="1"/>
      <w:numFmt w:val="decimal"/>
      <w:suff w:val="nothing"/>
      <w:lvlText w:val="%1、"/>
      <w:lvlJc w:val="left"/>
    </w:lvl>
  </w:abstractNum>
  <w:abstractNum w:abstractNumId="6">
    <w:nsid w:val="72666873"/>
    <w:multiLevelType w:val="singleLevel"/>
    <w:tmpl w:val="72666873"/>
    <w:lvl w:ilvl="0" w:tentative="0">
      <w:start w:val="4"/>
      <w:numFmt w:val="chineseCounting"/>
      <w:suff w:val="nothing"/>
      <w:lvlText w:val="%1、"/>
      <w:lvlJc w:val="left"/>
      <w:rPr>
        <w:rFonts w:hint="eastAsia"/>
      </w:rPr>
    </w:lvl>
  </w:abstractNum>
  <w:num w:numId="1">
    <w:abstractNumId w:val="3"/>
  </w:num>
  <w:num w:numId="2">
    <w:abstractNumId w:val="4"/>
  </w:num>
  <w:num w:numId="3">
    <w:abstractNumId w:val="6"/>
  </w:num>
  <w:num w:numId="4">
    <w:abstractNumId w:val="0"/>
  </w:num>
  <w:num w:numId="5">
    <w:abstractNumId w:val="2"/>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wMmNkMDcwZjcwYzc0YmYxNGM2ODk0OTU4ZWM3ZDYifQ=="/>
  </w:docVars>
  <w:rsids>
    <w:rsidRoot w:val="59886344"/>
    <w:rsid w:val="0A467A21"/>
    <w:rsid w:val="0E710FB3"/>
    <w:rsid w:val="1356560D"/>
    <w:rsid w:val="1AD81A1B"/>
    <w:rsid w:val="1CB462C1"/>
    <w:rsid w:val="1F38206B"/>
    <w:rsid w:val="22220C72"/>
    <w:rsid w:val="274176DD"/>
    <w:rsid w:val="2CB52ADF"/>
    <w:rsid w:val="2D7A1A9E"/>
    <w:rsid w:val="2E114AFB"/>
    <w:rsid w:val="36C93C0A"/>
    <w:rsid w:val="3A0164D6"/>
    <w:rsid w:val="3CE26112"/>
    <w:rsid w:val="49C65963"/>
    <w:rsid w:val="4B5B6BCB"/>
    <w:rsid w:val="55004DFD"/>
    <w:rsid w:val="58670CF0"/>
    <w:rsid w:val="597B2CA5"/>
    <w:rsid w:val="59886344"/>
    <w:rsid w:val="5A5A0E47"/>
    <w:rsid w:val="5C5A0BD2"/>
    <w:rsid w:val="5CCD6BA5"/>
    <w:rsid w:val="5CF9234B"/>
    <w:rsid w:val="6516562F"/>
    <w:rsid w:val="66954A48"/>
    <w:rsid w:val="66D77B48"/>
    <w:rsid w:val="68193552"/>
    <w:rsid w:val="6AD037C8"/>
    <w:rsid w:val="6DD61D43"/>
    <w:rsid w:val="70C62A07"/>
    <w:rsid w:val="7A050594"/>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6">
    <w:name w:val="列出段落1"/>
    <w:basedOn w:val="1"/>
    <w:qFormat/>
    <w:uiPriority w:val="34"/>
    <w:pPr>
      <w:ind w:firstLine="420" w:firstLineChars="200"/>
    </w:pPr>
  </w:style>
  <w:style w:type="paragraph" w:styleId="7">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5135</Words>
  <Characters>5589</Characters>
  <Lines>0</Lines>
  <Paragraphs>0</Paragraphs>
  <TotalTime>0</TotalTime>
  <ScaleCrop>false</ScaleCrop>
  <LinksUpToDate>false</LinksUpToDate>
  <CharactersWithSpaces>5753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甜甜妈</cp:lastModifiedBy>
  <dcterms:modified xsi:type="dcterms:W3CDTF">2024-06-25T06:54:27Z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0BDAFD84E93F41E789BE8F60CD2B380B_13</vt:lpwstr>
  </property>
</Properties>
</file>