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岳阳市君山区乡村振兴服务中心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整体支出绩效自评报告</w:t>
      </w: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>岳阳市君山区乡村振兴服务中心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岳阳市君山区乡村振兴服务中心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整体支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部门（单位）基本情况</w:t>
      </w:r>
    </w:p>
    <w:p>
      <w:pPr>
        <w:spacing w:line="560" w:lineRule="exact"/>
        <w:ind w:firstLine="600"/>
        <w:rPr>
          <w:rFonts w:hint="eastAsia" w:ascii="楷体" w:hAnsi="楷体" w:eastAsia="楷体" w:cs="楷体"/>
          <w:kern w:val="0"/>
          <w:sz w:val="32"/>
          <w:szCs w:val="32"/>
          <w:lang w:val="en-US" w:eastAsia="zh-CN"/>
        </w:rPr>
      </w:pP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负责组织实施全区防返贫监测、衔接资金项目建设及管理、乡村振兴示范创建等工作；负责国扶系统（省平台）监测信息</w:t>
      </w:r>
      <w:r>
        <w:rPr>
          <w:rFonts w:hint="eastAsia" w:eastAsia="仿宋_GB2312" w:cstheme="minorBidi"/>
          <w:kern w:val="0"/>
          <w:sz w:val="32"/>
          <w:szCs w:val="32"/>
          <w:lang w:val="en-US" w:eastAsia="zh-CN" w:bidi="ar"/>
        </w:rPr>
        <w:t>的指导与</w:t>
      </w: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管理；协同开展全区乡村振兴督查考核、部门协调、驻村帮扶、信访舆情、问题整改等工作；完成上级部门交办的其他工作。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kern w:val="0"/>
          <w:sz w:val="32"/>
          <w:szCs w:val="32"/>
        </w:rPr>
        <w:t>（二）机构设置</w:t>
      </w:r>
      <w:r>
        <w:rPr>
          <w:rFonts w:hint="eastAsia" w:ascii="楷体" w:hAnsi="楷体" w:eastAsia="楷体" w:cs="楷体"/>
          <w:kern w:val="0"/>
          <w:sz w:val="32"/>
          <w:szCs w:val="32"/>
          <w:lang w:val="en-US" w:eastAsia="zh-CN"/>
        </w:rPr>
        <w:t>与人员情况</w:t>
      </w:r>
    </w:p>
    <w:p>
      <w:pPr>
        <w:widowControl/>
        <w:spacing w:line="600" w:lineRule="exact"/>
        <w:ind w:firstLine="640" w:firstLineChars="200"/>
        <w:jc w:val="left"/>
        <w:rPr>
          <w:rFonts w:hint="eastAsia" w:eastAsia="仿宋_GB2312" w:cs="仿宋_GB2312"/>
          <w:kern w:val="0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君山</w:t>
      </w:r>
      <w:r>
        <w:rPr>
          <w:rFonts w:hint="eastAsia" w:eastAsia="仿宋_GB2312"/>
          <w:sz w:val="32"/>
          <w:szCs w:val="32"/>
        </w:rPr>
        <w:t>区乡村振兴服务中心</w:t>
      </w:r>
      <w:r>
        <w:rPr>
          <w:rFonts w:hint="eastAsia" w:eastAsia="仿宋_GB2312"/>
          <w:sz w:val="32"/>
          <w:szCs w:val="32"/>
          <w:lang w:val="en-US" w:eastAsia="zh-CN"/>
        </w:rPr>
        <w:t>设主任1名、副主任2名；</w:t>
      </w:r>
      <w:r>
        <w:rPr>
          <w:rFonts w:hint="eastAsia" w:eastAsia="仿宋_GB2312" w:cs="仿宋_GB2312"/>
          <w:kern w:val="0"/>
          <w:sz w:val="32"/>
          <w:szCs w:val="32"/>
        </w:rPr>
        <w:t>内设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eastAsia="仿宋_GB2312" w:cs="仿宋_GB2312"/>
          <w:kern w:val="0"/>
          <w:sz w:val="32"/>
          <w:szCs w:val="32"/>
        </w:rPr>
        <w:t>个职能股室：</w:t>
      </w:r>
      <w:r>
        <w:rPr>
          <w:rFonts w:hint="eastAsia" w:eastAsia="仿宋_GB2312"/>
          <w:sz w:val="32"/>
          <w:szCs w:val="32"/>
          <w:lang w:val="en-US" w:eastAsia="zh-CN"/>
        </w:rPr>
        <w:t>综合办公室、防返贫监测股、乡村建设股</w:t>
      </w:r>
      <w:r>
        <w:rPr>
          <w:rFonts w:hint="eastAsia" w:eastAsia="仿宋_GB2312" w:cs="仿宋_GB2312"/>
          <w:kern w:val="0"/>
          <w:sz w:val="32"/>
          <w:szCs w:val="32"/>
        </w:rPr>
        <w:t>；核定全额拨款事业编制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9</w:t>
      </w:r>
      <w:r>
        <w:rPr>
          <w:rFonts w:hint="eastAsia" w:eastAsia="仿宋_GB2312" w:cs="仿宋_GB2312"/>
          <w:kern w:val="0"/>
          <w:sz w:val="32"/>
          <w:szCs w:val="32"/>
        </w:rPr>
        <w:t>名。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（三）单位绩效目标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整体支出绩效目标：</w:t>
      </w:r>
      <w:r>
        <w:rPr>
          <w:rFonts w:hint="eastAsia" w:ascii="仿宋_GB2312" w:eastAsia="仿宋_GB2312" w:cstheme="minorBidi"/>
          <w:b w:val="0"/>
          <w:bCs w:val="0"/>
          <w:kern w:val="2"/>
          <w:sz w:val="32"/>
          <w:szCs w:val="32"/>
          <w:lang w:val="en-US" w:eastAsia="zh-CN" w:bidi="ar-SA"/>
        </w:rPr>
        <w:t>强化内生动力，促进脱贫群众增加收入；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发展特色产业增加群众收入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通过龙头延链、补链、强链，不断提升农产品附加值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项目支出绩效目标：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支持鼓励脱贫群众外出务工就业，创造条件促进不能外出半劳动和弱劳动力就地就近就业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坚持常态化排查和集中排查一体推进，对有返贫致贫风险对象进行“一户一画像”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。             </w:t>
      </w:r>
      <w:r>
        <w:rPr>
          <w:rFonts w:hint="eastAsia" w:ascii="仿宋_GB2312" w:hAnsi="仿宋_GB2312" w:eastAsia="仿宋_GB2312" w:cs="仿宋_GB2312"/>
          <w:color w:val="0000FF"/>
          <w:kern w:val="2"/>
          <w:sz w:val="32"/>
          <w:szCs w:val="32"/>
          <w:lang w:val="en-US" w:eastAsia="zh-CN" w:bidi="ar-SA"/>
        </w:rPr>
        <w:t xml:space="preserve">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                                                                         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二、一般公共预算支出情况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2023年部门预算资金5066.26万元（基本支出235.58万元，项目支出4830.68万元），全年实际支出5066.26万元，其中基本支出235.58万元，项目支出4830.68万元，预算执行率100%。　　　　　　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（一）基本支出情况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5066.26万元（工资福利支出110.51万元、商品和服务支出4650.16万元、对个人和家庭的补助147.7万元、资本性支出45.48万元、对企业的补助112.4万元），其中一般公共预算财政拨款4991.59万元。本单位2023年度基本支出235.57万元（工资福利支出110.51万元、商品和服务支出120.84万元、资本性支出0万元、对个人和家庭的补助4.22万元），其中人员经费114.73万元，公用经费120.84万元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/>
          <w:sz w:val="32"/>
          <w:szCs w:val="32"/>
        </w:rPr>
      </w:pPr>
      <w:r>
        <w:rPr>
          <w:rFonts w:hint="eastAsia" w:ascii="楷体" w:hAnsi="楷体" w:eastAsia="楷体" w:cs="楷体"/>
          <w:b w:val="0"/>
          <w:bCs/>
          <w:sz w:val="32"/>
          <w:szCs w:val="32"/>
        </w:rPr>
        <w:t>项目支出情况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项目支出全年预算4830.68万元,主要是本单位为完成特定工作任务或事业发展目标而发生的支出，包括支持巩固拓展脱贫攻坚成果项目、业务工作经费等，主要用于培育和壮大农业特色优势产品，和补齐必要农村人居环境整治和小型公益性基础设施建设，以及支持巩固拓展脱贫攻坚成果等方面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</w:rPr>
        <w:t>政府性基金预算支出情况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</w:rPr>
        <w:t>国有资本经营预算支出情况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</w:rPr>
        <w:t>社会保险基金预算支出情况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无此项支出。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</w:rPr>
        <w:t>部门整体支出绩效情况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2023年，我社积极履职，资金管理规范，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厉行节约，从严控制，2023年度一般公共预算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款中“三公经费”年初预算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1.59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万元，实际支出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1.59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万元，为年初预算的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100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%。根据《部门整体支出绩效自评表》自评得分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95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预算财务管理方面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1.严格执行预算管理制度，切实降低运行成本。2023年，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我社严格预算管理，科学安排支出，实时把握支出进度，不断提高资金使用效益，将过“紧日子”贯穿全年，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建立健全了收入、支出、政府采购、资产管理以及公务接待、差旅费等财务管理制度，对公务用车、公务租车、公务出差、公务接待、会议费等实行事前审批制度，严格控制各项支出，有效杜绝了资金浪费情况，确保了资金使用的规范性、安全性和有效性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预算执行率达到100%，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切实降低运行成本，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发挥了财政资金的最大效益。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2.加强资产管理，确保资产保值增值。根据政府采购和资产管理要求，建立了资产实物管理台账，根据各股室的需求制订了采购计划，按国有资产配置、政府采购和有关规定按程序在电子卖场进行采购活动。2023年底，我社固定资产原值13.89万元，净值3.88万元，无形资产原值0万元，净值0万元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（二）</w:t>
      </w:r>
      <w:r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  <w:t>履职产出效益方面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1、2023年全区脱贫人口年人均纯收入20723元，较上年净增2513元，增幅13.8%，预计高于农村居民人均可支配收入6.3个百分点，1万元以下收入较低人口同比减少212户508人，不升反降减少30户76人，脱贫人口收入持续稳定增加，“两类群体”总量稳定减少；脱贫人口收入结构不断优化，工资性收入和生产经营性收入占脱贫人口收入总数的70.7%，内生发展动力不断增强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2、突出抓好纳入、帮扶、退出三个重点环节。纳入环节，坚持常态化排查和集中排查一体推进，对有返贫致贫风险对象进行“一户一画像”，今年新纳入监测对象39户119人。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Times New Roman" w:hAnsi="Times New Roman" w:eastAsia="黑体" w:cs="Times New Roman"/>
          <w:sz w:val="32"/>
          <w:szCs w:val="32"/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（一）预算精准性有待进一步提高</w:t>
      </w:r>
      <w:r>
        <w:rPr>
          <w:rFonts w:hint="eastAsia" w:ascii="Times New Roman" w:hAnsi="Times New Roman" w:eastAsia="楷体_GB2312" w:cs="Times New Roman"/>
          <w:b w:val="0"/>
          <w:bCs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（二）预算绩效管理意识有待进一步加强，预算绩效管理的工作方法方式有待创新。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财务业务水平有待进一步提高。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八、下一步改进措施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（一）加强预算编制的前瞻性，提高预算编制水平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照绩效自评结果，总结经验，发现问题，提出改进的方向和具体措施，促进工作的开展。逐步建立绩效评价与部门预算相结合的结果应用机制，实行绩效评价结果在部门预算编制和执行中的应用，促进财政资金的合理分配与有效使用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对部门整体支出绩效自评在规定时间内公开至本单位门户网站，确保公开数据真实、完整、准确。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　　无。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88.88%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1.59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1.59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4428.33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4830.68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4830.68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584.88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101.5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101.5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　3、巩固脱贫衔接乡村振兴专项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3843.45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4729.18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4729.18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74.9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11.89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13.55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13.55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2.99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16.21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16.21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5066.26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5066.26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岳阳市君山区乡村振兴服务中心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1636.45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5066.26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5066.26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4991.59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235.58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4830.68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74.67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强化内生动力，促进脱贫群众增加收入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坚持将产业帮扶作为稳定脱贫的根本之策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强化风险意识，全面处置各类问题隐患。加强监测帮扶，防止返贫致贫风险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4、强化工作统筹，有效衔接全面推进。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1、脱贫人口收入结构不断优化，工资性收入和生产经营性收入占脱贫人口收入总数的70.7%，内生发展动力不断增强。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2、脱贫群众务工总量保持稳定。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3、今年新纳入监测对象39户119人。</w:t>
            </w:r>
          </w:p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4、展村集体经济“提升壮大”攻坚行动。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提供公益性岗位个数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730个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730个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引导脱贫户发展高质量庭院经济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240户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240户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农村厕所信息采集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50000户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50000户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农村户用厕所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项目合格率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优化脱贫人口收入结构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bookmarkStart w:id="0" w:name="_GoBack"/>
            <w:bookmarkEnd w:id="0"/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特色产业带动增加脱贫人口(监测湖户）收入（总收入）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1.4万元/户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1.4万元/户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补齐各乡镇乡村振兴发展领域短板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加强监测帮扶，防止返贫致贫风险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为农服务农民满意度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7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支持巩固拓展脱贫攻坚成果项目资金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岳阳市君山区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农业农村局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岳阳市君山区乡村振兴服务中心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1475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高效完成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年度农村厕所革命任务建设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改善各乡镇人居环境　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开发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公益岗位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完成202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年度农村厕所革命任务建设；改善各乡镇人居环境；开发保洁、护路等公益岗位730人，为全区脱贫人口和监测户提供就地就近就业机会，增加其工资性收入，确保稳定增收。补齐各乡镇乡村振兴发展领域短板。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提供公益性岗位个数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730个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730个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农村居民人均可支配收入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百分比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5个点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5个点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厕所革命工程质量合格率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脱贫群众务工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就业率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  <w:r>
              <w:commentReference w:id="0"/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特色产业助推乡村振兴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脱贫人口收入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有所提高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有所提高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无显著生态效益成果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加强监测帮扶，防止返贫致贫风险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稳步提升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受益脱贫（监测）人口满意度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6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/>
    <w:sectPr>
      <w:footerReference r:id="rId5" w:type="default"/>
      <w:pgSz w:w="11906" w:h="16838"/>
      <w:pgMar w:top="1587" w:right="1587" w:bottom="1587" w:left="1587" w:header="851" w:footer="992" w:gutter="0"/>
      <w:pgNumType w:fmt="decimal"/>
      <w:cols w:space="720" w:num="1"/>
      <w:rtlGutter w:val="0"/>
      <w:docGrid w:type="lines" w:linePitch="390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WPS_1688795813" w:date="2024-06-25T16:29:17Z" w:initials="">
    <w:p w14:paraId="6A612A7F">
      <w:pPr>
        <w:pStyle w:val="4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效益指标为定性指标，建议填写有所提高或稳步提高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6A612A7F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4"/>
                              <w:szCs w:val="24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4"/>
                        <w:szCs w:val="24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9E57AF"/>
    <w:multiLevelType w:val="singleLevel"/>
    <w:tmpl w:val="C19E57AF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1">
    <w:nsid w:val="DA81C459"/>
    <w:multiLevelType w:val="singleLevel"/>
    <w:tmpl w:val="DA81C459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2">
    <w:nsid w:val="1113A4A2"/>
    <w:multiLevelType w:val="singleLevel"/>
    <w:tmpl w:val="1113A4A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169225C5"/>
    <w:multiLevelType w:val="singleLevel"/>
    <w:tmpl w:val="169225C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2D643DA0"/>
    <w:multiLevelType w:val="singleLevel"/>
    <w:tmpl w:val="2D643DA0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WPS_1688795813">
    <w15:presenceInfo w15:providerId="WPS Office" w15:userId="645768190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hMjdlZjQ5YjRhZjNkYTU5MWJjNTdiM2YyYzk4OWIifQ=="/>
  </w:docVars>
  <w:rsids>
    <w:rsidRoot w:val="00172A27"/>
    <w:rsid w:val="04D06013"/>
    <w:rsid w:val="04D1736D"/>
    <w:rsid w:val="075449B1"/>
    <w:rsid w:val="07DC6755"/>
    <w:rsid w:val="08FD2E27"/>
    <w:rsid w:val="0A0A7F8B"/>
    <w:rsid w:val="0A371911"/>
    <w:rsid w:val="0CEC52A6"/>
    <w:rsid w:val="10282537"/>
    <w:rsid w:val="119500A0"/>
    <w:rsid w:val="134C71FF"/>
    <w:rsid w:val="156E60BC"/>
    <w:rsid w:val="15E11B06"/>
    <w:rsid w:val="16B23BE3"/>
    <w:rsid w:val="18DD19B3"/>
    <w:rsid w:val="1A4B69F3"/>
    <w:rsid w:val="1BC7354C"/>
    <w:rsid w:val="20BE7648"/>
    <w:rsid w:val="20F65D78"/>
    <w:rsid w:val="217F0425"/>
    <w:rsid w:val="219E23A2"/>
    <w:rsid w:val="22586564"/>
    <w:rsid w:val="24D55897"/>
    <w:rsid w:val="27721F31"/>
    <w:rsid w:val="28CF48F2"/>
    <w:rsid w:val="28D56F0D"/>
    <w:rsid w:val="28F85103"/>
    <w:rsid w:val="2A9768ED"/>
    <w:rsid w:val="2BCF262C"/>
    <w:rsid w:val="2C7273BA"/>
    <w:rsid w:val="2E921798"/>
    <w:rsid w:val="31EC3CAA"/>
    <w:rsid w:val="33E67E90"/>
    <w:rsid w:val="361F652E"/>
    <w:rsid w:val="36806E5D"/>
    <w:rsid w:val="36A467B7"/>
    <w:rsid w:val="38B7797A"/>
    <w:rsid w:val="3AE10137"/>
    <w:rsid w:val="3DD671C7"/>
    <w:rsid w:val="3E4B54BF"/>
    <w:rsid w:val="401E2B47"/>
    <w:rsid w:val="406A21FA"/>
    <w:rsid w:val="40DB004A"/>
    <w:rsid w:val="48587156"/>
    <w:rsid w:val="4986331F"/>
    <w:rsid w:val="4D6C56FA"/>
    <w:rsid w:val="561F12B3"/>
    <w:rsid w:val="58570C3F"/>
    <w:rsid w:val="58CC01A0"/>
    <w:rsid w:val="5C20569F"/>
    <w:rsid w:val="5C82434A"/>
    <w:rsid w:val="5CC73AEB"/>
    <w:rsid w:val="5DA402F0"/>
    <w:rsid w:val="60600E46"/>
    <w:rsid w:val="60C3659A"/>
    <w:rsid w:val="660C4E9E"/>
    <w:rsid w:val="66BC66AA"/>
    <w:rsid w:val="689A76AB"/>
    <w:rsid w:val="6A94006A"/>
    <w:rsid w:val="6C823EF2"/>
    <w:rsid w:val="6CF60C2F"/>
    <w:rsid w:val="6D543E10"/>
    <w:rsid w:val="6DC13431"/>
    <w:rsid w:val="71227D77"/>
    <w:rsid w:val="7590122F"/>
    <w:rsid w:val="78856ECF"/>
    <w:rsid w:val="7C83021D"/>
    <w:rsid w:val="7CB94E5D"/>
    <w:rsid w:val="7F604567"/>
    <w:rsid w:val="7FFFB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unhideWhenUsed/>
    <w:qFormat/>
    <w:uiPriority w:val="99"/>
    <w:pPr>
      <w:ind w:firstLine="420" w:firstLineChars="200"/>
    </w:pPr>
  </w:style>
  <w:style w:type="paragraph" w:styleId="3">
    <w:name w:val="index 5"/>
    <w:basedOn w:val="1"/>
    <w:next w:val="1"/>
    <w:autoRedefine/>
    <w:qFormat/>
    <w:uiPriority w:val="0"/>
    <w:pPr>
      <w:ind w:left="1680"/>
    </w:pPr>
    <w:rPr>
      <w:rFonts w:ascii="Times New Roman" w:hAnsi="Times New Roman" w:eastAsia="宋体" w:cs="Times New Roman"/>
    </w:rPr>
  </w:style>
  <w:style w:type="paragraph" w:styleId="4">
    <w:name w:val="annotation text"/>
    <w:basedOn w:val="1"/>
    <w:uiPriority w:val="0"/>
    <w:pPr>
      <w:jc w:val="left"/>
    </w:pPr>
  </w:style>
  <w:style w:type="paragraph" w:styleId="5">
    <w:name w:val="footer"/>
    <w:basedOn w:val="1"/>
    <w:next w:val="3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0" Type="http://schemas.microsoft.com/office/2011/relationships/people" Target="peop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5831</Words>
  <Characters>6457</Characters>
  <Lines>0</Lines>
  <Paragraphs>0</Paragraphs>
  <TotalTime>1</TotalTime>
  <ScaleCrop>false</ScaleCrop>
  <LinksUpToDate>false</LinksUpToDate>
  <CharactersWithSpaces>6887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2024-06-19T08:45:00Z</dcterms:created>
  <dc:creator>郑云峰</dc:creator>
  <cp:lastModifiedBy>Administrator</cp:lastModifiedBy>
  <dcterms:modified xsi:type="dcterms:W3CDTF">2024-06-27T06:24:38Z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FCA65469461C4E8D8C42BE7D831E4587_13</vt:lpwstr>
  </property>
</Properties>
</file>