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rPr>
      </w:pP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单位名称：</w:t>
      </w:r>
      <w:r>
        <w:rPr>
          <w:rFonts w:hint="eastAsia" w:ascii="Times New Roman" w:hAnsi="Times New Roman" w:eastAsia="仿宋_GB2312" w:cs="Times New Roman"/>
          <w:sz w:val="32"/>
          <w:szCs w:val="32"/>
          <w:highlight w:val="none"/>
          <w:lang w:val="en-US" w:eastAsia="zh-CN"/>
        </w:rPr>
        <w:t>岳阳市君山区农业农村局</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pStyle w:val="6"/>
        <w:jc w:val="left"/>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岳阳市君山区农业农村局（岳阳市君山区乡村振兴局）是区人民政府工作部门，为正科级。区委农村工作领导小组办公室设在区农业农村局，接受区委农村工作领导小组的直接领导，承担区委农村工作领导小组具体工作。区农业农村局的内设机构根据工作需要承担区委农村工作领导小组办公室相关工作，接受区委农村工作领导小组办公室的统筹协调。</w:t>
      </w:r>
      <w:bookmarkStart w:id="0" w:name="ORG_SET"/>
      <w:r>
        <w:rPr>
          <w:rFonts w:hint="eastAsia" w:ascii="仿宋_GB2312" w:hAnsi="仿宋_GB2312" w:eastAsia="仿宋_GB2312" w:cs="仿宋_GB2312"/>
          <w:bCs/>
          <w:kern w:val="2"/>
          <w:sz w:val="28"/>
          <w:szCs w:val="28"/>
          <w:lang w:val="en-US" w:eastAsia="zh-CN"/>
        </w:rPr>
        <w:t>内设股室分别是：办公室（党建办、区委农办秘书室、行政审批股）；乡村振兴局；政策法规股（农机管理股、加挂定点屠宰管理办公室牌子）；发展规划和计划财务股；农村社会事业促进股（乡村产业发展股）；农业资源保护与利用股（农业投资与农田建设股）；农产品质量安全监管股（市场信息化股）；种植业管理股（科技教育和农药管理股）；畜牧兽医和渔业渔政管理股。所属事业单位分别是：区农业机械服务中心、区生态能源服务中心、区乡村振兴服务中心、区动物卫生监督所、区农业科学研究所、区渔政管理站、区农产品质量安全检验检测站、区农业技术推广中心、区植保植检站、区农业综合行政执法大队、区农业农村局财务结算中心</w:t>
      </w:r>
      <w:bookmarkEnd w:id="0"/>
      <w:r>
        <w:rPr>
          <w:rFonts w:hint="eastAsia" w:ascii="仿宋_GB2312" w:hAnsi="仿宋_GB2312" w:eastAsia="仿宋_GB2312" w:cs="仿宋_GB2312"/>
          <w:bCs/>
          <w:kern w:val="2"/>
          <w:sz w:val="28"/>
          <w:szCs w:val="28"/>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560" w:firstLineChars="200"/>
        <w:jc w:val="both"/>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2.机构职能：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（1）统筹研究和组织实施“三农”工作的发展中长期规划、重大政策；组织起草农业农村有关规范性文件，指导农业综合执法；参与涉农的财税、价格、收储、金融保险、进出口等政策制定。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（2）统筹推动发展农村社会事业、农村公共服务、农村文化、农村基础设施和乡村治理；牵头组织改善农村人居环境；指导农村精神文明和优秀农耕文化建设。指导农业行业安全生产工作。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负责种植业、畜牧业、渔业、农垦、农业机械化等农业各产业的监督管理；指导粮食、油料、畜禽、水产等农产品生产；组织构建现代农业产业体系、生产体系、经营体系，指导农业标准化生产；负责渔政渔港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负责农产品质量安全监督管理。组织开展农产品质量安全监测、追溯、风险评估，发布农产品质量安全有关信息；贯彻执行农产品质量安全国家标准，参与制定农产品质量安全地方标准并会同有关部门组织实施；指导农业检验检测体系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（6）指导农产品产地环境管理和农业清洁生产；指导设施农业、生态循环农业、节水农业发展以及农村可再生能源综合开发利用、农业生物质产业发展；牵头管理外来物种；配合做好农业资源区划工作。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7）负责有关农业生产资料和农业投入品的监督管理。配合做好农业生产资料市场体系建设；贯彻执行农业生产资料、兽药质量、兽药残留限量和残留检测方法国家标准并监督实施；组织兽医医政、兽药药政药检工作，负责执业兽医和畜禽屠宰行业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（8）负责农业防灾减灾、农作物重大病虫害防治工作。指导动植物防疫检疫体系建设，负责动植物防疫检疫工作，发布疫情并组织扑灭；配合有关部门制定血吸虫病防治工作计划并组织实施。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（9）负责农业投资管理。编制农业投资项目建设规划，提出农业投资规模和方向、扶持农业农村发展财政项目的建设，按规定权限审批农业投资项目，负责农业投资项目资金安排和监督管理。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10）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（11）指导农业农村人才工作。拟订农业农村人才队伍建设规划并组织实施，指导农业教育和农业职业技能开发，指导新型职业农民培育、农业科技人才培养和农村实用人才培训工作。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（12）负责全区巩固拓展脱贫攻坚成果同乡村振兴有效衔接工作。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（13）完成区委、区政府交办的其他任务。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bidi="ar-SA"/>
        </w:rPr>
        <w:t>（14）职能转变。1.统筹实施乡村振兴战略，深化农业供给侧结构性改革，提升农业发展质量，牵头组织农村人居环境整治工作，扎实推进美丽乡村建设，推动农业全面升级、农村全面进步、农民全面发展，加快实现农业农村现代化。2.加强农产品质量安全和相关农业生产资料、农业投入品的监督管理，坚持最严谨的标准、最严格的监管、最严厉的处罚、最严肃的问责，严防、严管、严控质量安全风险，让人民群众吃得放心、安心。3.深入推进简政放权，加强对行业内交叉重复以及性质相同、用途相近的农业投资项目的统筹整合，最大限度缩小项目审批范围，进一步下放审批权限，加强事中事后监管，切实提升国家支农政策效果和资金使用效益。</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楷体_GB2312" w:cs="Times New Roman"/>
          <w:b/>
          <w:sz w:val="28"/>
          <w:szCs w:val="28"/>
          <w:highlight w:val="none"/>
        </w:rPr>
      </w:pPr>
      <w:r>
        <w:rPr>
          <w:rFonts w:hint="eastAsia" w:ascii="仿宋_GB2312" w:hAnsi="仿宋_GB2312" w:eastAsia="仿宋_GB2312" w:cs="仿宋_GB2312"/>
          <w:bCs/>
          <w:kern w:val="2"/>
          <w:sz w:val="28"/>
          <w:szCs w:val="28"/>
          <w:lang w:val="en-US" w:eastAsia="zh-CN" w:bidi="ar"/>
        </w:rPr>
        <w:t>2023年区农业农村局基本支出共计2128.01万元，主要用于人员支出1436.08万元，主要包括基本工资162.87万元，津补贴53.73万元，奖金370.29万元，绩效工资104.32万元，机关基本养老保险102.13万元，职业年金缴费16.06万元，基本医疗保险47.68万元，住房公积金157.21万元，退休费130.83万元等；公用支出611.07万元，主要包括办公费24.81万元，印刷费46.50万元，咨询费2.00万元，水电费32.03万元，差旅费8.17万元，维修费8.13万元，公务接待费6.04万元，专用材料费1.00万元，劳务费175.32万元，委托业务费52.57万元，工会经费41.23万元，公务用车运行维护费8.42万元，其他交通费28.01万元等。公用支出中“三公”经费合计14.46万元，其中公务接待费6.04万元，公务用车运行维护8.42万元等。</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楷体_GB2312" w:cs="Times New Roman"/>
          <w:b/>
          <w:sz w:val="32"/>
          <w:szCs w:val="32"/>
          <w:highlight w:val="none"/>
          <w:lang w:val="en-US" w:eastAsia="zh-CN"/>
        </w:rPr>
      </w:pPr>
      <w:r>
        <w:rPr>
          <w:rFonts w:hint="eastAsia" w:ascii="仿宋_GB2312" w:hAnsi="仿宋_GB2312" w:eastAsia="仿宋_GB2312" w:cs="仿宋_GB2312"/>
          <w:bCs/>
          <w:kern w:val="2"/>
          <w:sz w:val="28"/>
          <w:szCs w:val="28"/>
          <w:lang w:val="en-US" w:eastAsia="zh-CN" w:bidi="ar"/>
        </w:rPr>
        <w:t>2023年各级财政安排区农业农村局专项资金共21950.66万元。其中：农田建设专项2787.86万元、棉花价格补贴专项512.05万元、农业生产发展专项5071.75万元、农业结构调整补贴专项740.50万元、农产品质量安全专项25.33万元、防灾救灾专项170.00万元、农村社会事业专项338.18万元、巩固脱贫衔接乡村振兴专项5075.34万元、科技推广专项101.63万元、病虫害控制专项154.10万元、其他专项6973.92万元。以上资金的使用做到了专款专用、专账管理，进入了“一卡通”目录的项目，如耕地地力保护补贴资金、实际种粮农民一次性补贴资金、农机购置补贴等，均通过“一卡通”“阳光审批系统”打卡发放。</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本单位无政府性基金预算支出</w:t>
      </w:r>
    </w:p>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bCs/>
          <w:kern w:val="2"/>
          <w:sz w:val="28"/>
          <w:szCs w:val="28"/>
          <w:lang w:val="en-US" w:eastAsia="zh-CN" w:bidi="ar-SA"/>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bCs/>
          <w:kern w:val="2"/>
          <w:sz w:val="28"/>
          <w:szCs w:val="28"/>
          <w:lang w:val="en-US" w:eastAsia="zh-CN" w:bidi="ar"/>
        </w:rPr>
        <w:t xml:space="preserve">   本单位无国有资本经营预算支出</w:t>
      </w:r>
    </w:p>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本单位无社会保险基金预算支出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10"/>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bCs/>
          <w:kern w:val="2"/>
          <w:sz w:val="28"/>
          <w:szCs w:val="28"/>
          <w:lang w:val="en-US" w:eastAsia="zh-CN" w:bidi="ar"/>
        </w:rPr>
        <w:t>一、全力保障粮食安全。</w:t>
      </w:r>
      <w:r>
        <w:rPr>
          <w:rFonts w:hint="eastAsia" w:ascii="仿宋_GB2312" w:hAnsi="仿宋_GB2312" w:eastAsia="仿宋_GB2312" w:cs="仿宋_GB2312"/>
          <w:i w:val="0"/>
          <w:caps w:val="0"/>
          <w:color w:val="000000"/>
          <w:spacing w:val="-6"/>
          <w:sz w:val="28"/>
          <w:szCs w:val="28"/>
          <w:shd w:val="clear" w:color="auto" w:fill="FFFFFF"/>
          <w:lang w:eastAsia="zh-CN"/>
        </w:rPr>
        <w:t>202</w:t>
      </w:r>
      <w:r>
        <w:rPr>
          <w:rFonts w:hint="eastAsia" w:ascii="仿宋_GB2312" w:hAnsi="仿宋_GB2312" w:eastAsia="仿宋_GB2312" w:cs="仿宋_GB2312"/>
          <w:i w:val="0"/>
          <w:caps w:val="0"/>
          <w:color w:val="000000"/>
          <w:spacing w:val="-6"/>
          <w:sz w:val="28"/>
          <w:szCs w:val="28"/>
          <w:shd w:val="clear" w:color="auto" w:fill="FFFFFF"/>
          <w:lang w:val="en-US" w:eastAsia="zh-CN"/>
        </w:rPr>
        <w:t>3</w:t>
      </w:r>
      <w:r>
        <w:rPr>
          <w:rFonts w:hint="eastAsia" w:ascii="仿宋_GB2312" w:hAnsi="仿宋_GB2312" w:eastAsia="仿宋_GB2312" w:cs="仿宋_GB2312"/>
          <w:i w:val="0"/>
          <w:caps w:val="0"/>
          <w:color w:val="000000"/>
          <w:spacing w:val="-6"/>
          <w:sz w:val="28"/>
          <w:szCs w:val="28"/>
          <w:shd w:val="clear" w:color="auto" w:fill="FFFFFF"/>
          <w:lang w:eastAsia="zh-CN"/>
        </w:rPr>
        <w:t>年岳阳市下达君山区粮食生产任务播种面积39</w:t>
      </w:r>
      <w:r>
        <w:rPr>
          <w:rFonts w:hint="eastAsia" w:ascii="仿宋_GB2312" w:hAnsi="仿宋_GB2312" w:eastAsia="仿宋_GB2312" w:cs="仿宋_GB2312"/>
          <w:i w:val="0"/>
          <w:caps w:val="0"/>
          <w:color w:val="000000"/>
          <w:spacing w:val="-6"/>
          <w:sz w:val="28"/>
          <w:szCs w:val="28"/>
          <w:shd w:val="clear" w:color="auto" w:fill="FFFFFF"/>
          <w:lang w:val="en-US" w:eastAsia="zh-CN"/>
        </w:rPr>
        <w:t>.7</w:t>
      </w:r>
      <w:r>
        <w:rPr>
          <w:rFonts w:hint="eastAsia" w:ascii="仿宋_GB2312" w:hAnsi="仿宋_GB2312" w:eastAsia="仿宋_GB2312" w:cs="仿宋_GB2312"/>
          <w:i w:val="0"/>
          <w:caps w:val="0"/>
          <w:color w:val="000000"/>
          <w:spacing w:val="-6"/>
          <w:sz w:val="28"/>
          <w:szCs w:val="28"/>
          <w:shd w:val="clear" w:color="auto" w:fill="FFFFFF"/>
          <w:lang w:eastAsia="zh-CN"/>
        </w:rPr>
        <w:t>万亩，粮食总产量任务14.</w:t>
      </w:r>
      <w:r>
        <w:rPr>
          <w:rFonts w:hint="eastAsia" w:ascii="仿宋_GB2312" w:hAnsi="仿宋_GB2312" w:eastAsia="仿宋_GB2312" w:cs="仿宋_GB2312"/>
          <w:i w:val="0"/>
          <w:caps w:val="0"/>
          <w:color w:val="000000"/>
          <w:spacing w:val="-6"/>
          <w:sz w:val="28"/>
          <w:szCs w:val="28"/>
          <w:shd w:val="clear" w:color="auto" w:fill="FFFFFF"/>
          <w:lang w:val="en-US" w:eastAsia="zh-CN"/>
        </w:rPr>
        <w:t>8</w:t>
      </w:r>
      <w:r>
        <w:rPr>
          <w:rFonts w:hint="eastAsia" w:ascii="仿宋_GB2312" w:hAnsi="仿宋_GB2312" w:eastAsia="仿宋_GB2312" w:cs="仿宋_GB2312"/>
          <w:i w:val="0"/>
          <w:caps w:val="0"/>
          <w:color w:val="000000"/>
          <w:spacing w:val="-6"/>
          <w:sz w:val="28"/>
          <w:szCs w:val="28"/>
          <w:shd w:val="clear" w:color="auto" w:fill="FFFFFF"/>
          <w:lang w:eastAsia="zh-CN"/>
        </w:rPr>
        <w:t>万吨</w:t>
      </w:r>
      <w:r>
        <w:rPr>
          <w:rFonts w:hint="eastAsia" w:ascii="仿宋_GB2312" w:hAnsi="仿宋_GB2312" w:eastAsia="仿宋_GB2312" w:cs="仿宋_GB2312"/>
          <w:i w:val="0"/>
          <w:caps w:val="0"/>
          <w:color w:val="000000"/>
          <w:spacing w:val="-6"/>
          <w:sz w:val="28"/>
          <w:szCs w:val="28"/>
          <w:shd w:val="clear" w:color="auto" w:fill="FFFFFF"/>
          <w:lang w:val="en-US" w:eastAsia="zh-CN"/>
        </w:rPr>
        <w:t>。</w:t>
      </w:r>
      <w:r>
        <w:rPr>
          <w:rFonts w:hint="eastAsia" w:ascii="仿宋_GB2312" w:hAnsi="仿宋_GB2312" w:eastAsia="仿宋_GB2312" w:cs="仿宋_GB2312"/>
          <w:i w:val="0"/>
          <w:caps w:val="0"/>
          <w:color w:val="000000"/>
          <w:spacing w:val="-6"/>
          <w:sz w:val="28"/>
          <w:szCs w:val="28"/>
          <w:shd w:val="clear" w:color="auto" w:fill="FFFFFF"/>
          <w:lang w:eastAsia="zh-CN"/>
        </w:rPr>
        <w:t>目前全区已完成粮食播种面积45.</w:t>
      </w:r>
      <w:r>
        <w:rPr>
          <w:rFonts w:hint="eastAsia" w:ascii="仿宋_GB2312" w:hAnsi="仿宋_GB2312" w:eastAsia="仿宋_GB2312" w:cs="仿宋_GB2312"/>
          <w:i w:val="0"/>
          <w:caps w:val="0"/>
          <w:color w:val="000000"/>
          <w:spacing w:val="-6"/>
          <w:sz w:val="28"/>
          <w:szCs w:val="28"/>
          <w:shd w:val="clear" w:color="auto" w:fill="FFFFFF"/>
          <w:lang w:val="en-US" w:eastAsia="zh-CN"/>
        </w:rPr>
        <w:t>56</w:t>
      </w:r>
      <w:r>
        <w:rPr>
          <w:rFonts w:hint="eastAsia" w:ascii="仿宋_GB2312" w:hAnsi="仿宋_GB2312" w:eastAsia="仿宋_GB2312" w:cs="仿宋_GB2312"/>
          <w:i w:val="0"/>
          <w:caps w:val="0"/>
          <w:color w:val="000000"/>
          <w:spacing w:val="-6"/>
          <w:sz w:val="28"/>
          <w:szCs w:val="28"/>
          <w:shd w:val="clear" w:color="auto" w:fill="FFFFFF"/>
          <w:lang w:eastAsia="zh-CN"/>
        </w:rPr>
        <w:t>万亩、粮食总产</w:t>
      </w:r>
      <w:r>
        <w:rPr>
          <w:rFonts w:hint="eastAsia" w:ascii="仿宋_GB2312" w:hAnsi="仿宋_GB2312" w:eastAsia="仿宋_GB2312" w:cs="仿宋_GB2312"/>
          <w:i w:val="0"/>
          <w:caps w:val="0"/>
          <w:color w:val="000000"/>
          <w:spacing w:val="-6"/>
          <w:sz w:val="28"/>
          <w:szCs w:val="28"/>
          <w:shd w:val="clear" w:color="auto" w:fill="FFFFFF"/>
          <w:lang w:val="en-US" w:eastAsia="zh-CN"/>
        </w:rPr>
        <w:t>22.4</w:t>
      </w:r>
      <w:r>
        <w:rPr>
          <w:rFonts w:hint="eastAsia" w:ascii="仿宋_GB2312" w:hAnsi="仿宋_GB2312" w:eastAsia="仿宋_GB2312" w:cs="仿宋_GB2312"/>
          <w:i w:val="0"/>
          <w:caps w:val="0"/>
          <w:color w:val="000000"/>
          <w:spacing w:val="-6"/>
          <w:sz w:val="28"/>
          <w:szCs w:val="28"/>
          <w:shd w:val="clear" w:color="auto" w:fill="FFFFFF"/>
          <w:lang w:eastAsia="zh-CN"/>
        </w:rPr>
        <w:t>万吨，</w:t>
      </w:r>
      <w:r>
        <w:rPr>
          <w:rFonts w:hint="eastAsia" w:ascii="仿宋_GB2312" w:hAnsi="仿宋_GB2312" w:eastAsia="仿宋_GB2312" w:cs="仿宋_GB2312"/>
          <w:i w:val="0"/>
          <w:caps w:val="0"/>
          <w:color w:val="000000"/>
          <w:spacing w:val="-6"/>
          <w:sz w:val="28"/>
          <w:szCs w:val="28"/>
          <w:shd w:val="clear" w:color="auto" w:fill="FFFFFF"/>
          <w:lang w:val="en-US" w:eastAsia="zh-CN"/>
        </w:rPr>
        <w:t>全区粮食生产呈现</w:t>
      </w:r>
      <w:r>
        <w:rPr>
          <w:rFonts w:hint="eastAsia" w:ascii="仿宋_GB2312" w:hAnsi="仿宋_GB2312" w:eastAsia="仿宋_GB2312" w:cs="仿宋_GB2312"/>
          <w:i w:val="0"/>
          <w:caps w:val="0"/>
          <w:color w:val="000000"/>
          <w:spacing w:val="-6"/>
          <w:sz w:val="28"/>
          <w:szCs w:val="28"/>
          <w:shd w:val="clear" w:color="auto" w:fill="FFFFFF"/>
          <w:lang w:eastAsia="zh-CN"/>
        </w:rPr>
        <w:t>稳中求进</w:t>
      </w:r>
      <w:r>
        <w:rPr>
          <w:rFonts w:hint="eastAsia" w:ascii="仿宋_GB2312" w:hAnsi="仿宋_GB2312" w:eastAsia="仿宋_GB2312" w:cs="仿宋_GB2312"/>
          <w:i w:val="0"/>
          <w:caps w:val="0"/>
          <w:color w:val="000000"/>
          <w:spacing w:val="-6"/>
          <w:sz w:val="28"/>
          <w:szCs w:val="28"/>
          <w:shd w:val="clear" w:color="auto" w:fill="FFFFFF"/>
          <w:lang w:val="en-US" w:eastAsia="zh-CN"/>
        </w:rPr>
        <w:t>的态势。</w:t>
      </w:r>
    </w:p>
    <w:p>
      <w:pPr>
        <w:pStyle w:val="10"/>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二、强化农产品稳产保供。开展农产品质量安全监管：对我区各大生产基地、种植户上市蔬菜开展例行监测，共抽检蔬果样品260多个，未检出超标样品；在良心堡油菜花节、濠河草莓节等节会期间，针对周边时令农产品开展检测、芥菜采收季节，针对芥菜种植面积较大的乡镇开展随机抽样，均未检出超标样品；在用药高峰期，针对当季果蔬加大力度抽检，特别是豇豆专项治理方面，检测站在豇豆种植基地采取随机采样，共抽取样品30余个，未发现超标情况。开展动物疫病防控：全年共完成禽流感免疫152.8万羽、家畜口蹄疫免疫5.3万头、羊小反刍兽疫免疫0.15万只、猪瘟免疫5.1万头、鸡新城疫免疫137.48万羽，国家强制免疫病种常年免疫密度达92%以上，春秋集中免疫应免动物免疫率达100%，病死畜禽收集率100%，病死畜禽收集转运工作监管率100%。</w:t>
      </w:r>
    </w:p>
    <w:p>
      <w:pPr>
        <w:pStyle w:val="10"/>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三、深化农业绿色发展。扎实推进化肥农药减量增效，今年已完成测土配方施肥面积74.47万亩、全区绿肥生产任务3万亩播种面积、有机肥施用达1.099万吨、全区水肥一体化应用面积3.12万亩，秸秆还田面积45.31万亩。推进“长江十年禁渔”，巩固退捕渔民保障措施，拓宽退捕渔民就业渠道，常态化开展联合执法行动，保持严管严打的高压态势。</w:t>
      </w:r>
    </w:p>
    <w:p>
      <w:pPr>
        <w:pStyle w:val="10"/>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四、大力培育乡村产业。全力发展农产品加工业，全区农产品加工企业298家，其中，市级以上农业产业化龙头企业28家（市级20家，省级8家）。到四季度，农产品加工业总产值163.8亿元，同比增长4.7%，其中规模以上农产品加工业产值105.8亿元，增长6.6%。获评农产品产地冷链设施项目全省优秀单位。国泰食品“叶芥菜”、建新蔬菜专业合作社“大白菜”“结球甘蓝”“辣椒”“南瓜”被中国绿色食品发展中心认定为绿色食品A级产品；今年，第二十四届中国中部（湖南）农业博览会上，我区2个企业（湖南口水娃食品有限公司和岳阳嘉联生态农业股份有限公司）获金奖，我局获先进个人表彰1人。培育休闲农业及龙头企业，全区共有星级休闲农庄11个（其中五星级农庄4个、四星级农庄3个、三星级农庄4个），休闲农业总产值10.89亿元，同比增长6.1%。9月，天井山逸馨农庄通过农业休闲庄园省级评定,11月成功申报五星级休闲农业庄园。协助湖南国泰食品有限公司作为湖南重点农业龙头企业争创农业产业化国家重点龙头企业。</w:t>
      </w:r>
    </w:p>
    <w:p>
      <w:pPr>
        <w:pStyle w:val="10"/>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default"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五、加快建设和美乡村。强化动态监测帮扶。今年新纳入监测对象39户119人。2023年全区脱贫人口年人均纯收入20723元，较上年净增2513元，增幅13.8%，预计高于农村居民人均可支配收入6.3个百分点，脱贫人口收入持续稳定增加，“两类群体”总量稳定减少。乡村建设方面，完成乡村建设信息采集32240户113765人，村（社区）94个。六类对象（监测户、脱贫户、低保户、特困供养户、重残户、低保边缘户）参保率100%；五类人群（监测户、低保户、特困供养户、重残户、低保边缘户）医保参保资助全覆盖。确保有序退出，建立了由农户主动申请、部门信息比对、干部走访排查三种动态监测机制，经12个行业部门、23类数据比对生成疑似返贫致贫风险点，我区消除各类风险预警信息尽388条。扎实推进稳岗就业，12月底，我区脱贫人口务工数2645人，外出务工累计6个月以上2498人，均超省定考核计划数，近两年脱贫家庭高校毕业生88人，就业率90 %，“雨露计划”毕业生99人，就业率89.9%。脱贫群众务工总量保持稳定，就业收入成为脱贫群众最主要收入来源。加强反馈问题整改，对照2022年度中央和省市考核评估反馈问题整改方案，制定整改方案，梳理了责任落实、政策落实等四个方面14个问题，倒排工期，限期整改。针对省级考核评估反馈我区的6个具体问题，做到一个问题一个清单、一个整改方案、一套整改措施，压实责任，高位推动，现已全部整改销号。推进资金项目管理，2023年，全区四级财政衔接资金4706万元，其中区级资金1470万元，同比增长6.37%；共实施项目129个，项目安排率100%，中央资金用于产业发展的占比为67.19%；中央、省级和区级资金拨付率100%。后续管护方面，2020年以前扶贫项目资产共确权1060个9237万元，确权2021－2022年帮扶资产129个2495万元。所有资产全部落实监管主体责任，经营性资产收益及时分配到位，不存在侵占、挪用、骗取、套取项目资产等违法违规行为。扎实开展“厕所革命”，我区2023年改厕任务1065户全部分解落实到各镇（街道）场，现已全部完成，并完成区级核查验收。组织对全区2013年以来政府组织实施新建、改造的农村户厕17815户和农村公厕41座进行全面摸排、彻底整改。摸排发现共计问题厕所2037户，已整改完成1862户，因拆迁、拆房重建等原因无法整改的144户，因未建厕屋等原因列入长期整改计划的31户。推进人居环境整治，今年来我区共组织明查、暗访36次，印发督查通报23期，发现问题900余个。截至目前，新建户厕1065个，新建公厕3座，拆除露天垃圾池426处，购置垃圾桶约5000个，沟渠疏浚472公里，绿化植树6万余株，制作门前“三包”责任牌5.4万块，卫生评比栏670块，整治农户房前乱堆乱放4800处，整治残垣断壁98处。目前共设置沟渠实名制监督公示牌168块，开展实地督查76次。我区申报中央资金2000万元人居环境整治项目，主要用于农村生活垃圾与生活污水处理，项目前期工作已完成。</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1、预算编制有待更严格执行，预算编制与实际支出项目有的存在差异，专项支出有待进一步加强。</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2、绩效管理理念有待进一步增强。虽然对绩效的理念有了一定的了解，但长期以来形成的“重安排，轻监督；重使用，轻绩效”的思想短期内还存在，认为只要资金使用合法合规就行，忽视了财政资金的使用绩效。</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2、树立绩效管理理念。强化责任主体绩效意识，形成财政资金充分、有效使用的良性循环。建立覆盖所有绩效管理对象、覆盖预算管理全过程的结果运用机制，将预算绩效管理各项措施落到实处、发挥实效。</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附件：</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3.项目支出绩效自评表（一个一级项目支出一张表）</w:t>
      </w: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方正小标宋简体" w:hAnsi="方正小标宋简体" w:eastAsia="方正小标宋简体" w:cs="方正小标宋简体"/>
          <w:sz w:val="24"/>
          <w:highlight w:val="none"/>
        </w:rPr>
      </w:pPr>
      <w:r>
        <w:rPr>
          <w:rFonts w:hint="eastAsia" w:ascii="黑体" w:hAnsi="黑体" w:eastAsia="黑体" w:cs="黑体"/>
          <w:sz w:val="32"/>
          <w:szCs w:val="32"/>
          <w:highlight w:val="none"/>
          <w:lang w:val="en-US" w:eastAsia="zh-CN"/>
        </w:rPr>
        <w:t>附件1：</w:t>
      </w: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814"/>
        <w:gridCol w:w="729"/>
        <w:gridCol w:w="849"/>
        <w:gridCol w:w="1129"/>
        <w:gridCol w:w="1479"/>
        <w:gridCol w:w="713"/>
        <w:gridCol w:w="960"/>
      </w:tblGrid>
      <w:tr>
        <w:tblPrEx>
          <w:tblCellMar>
            <w:top w:w="0" w:type="dxa"/>
            <w:left w:w="108" w:type="dxa"/>
            <w:bottom w:w="0" w:type="dxa"/>
            <w:right w:w="108" w:type="dxa"/>
          </w:tblCellMar>
        </w:tblPrEx>
        <w:trPr>
          <w:trHeight w:val="0" w:hRule="atLeast"/>
          <w:jc w:val="center"/>
        </w:trPr>
        <w:tc>
          <w:tcPr>
            <w:tcW w:w="38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57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60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167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8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57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72</w:t>
            </w:r>
          </w:p>
        </w:tc>
        <w:tc>
          <w:tcPr>
            <w:tcW w:w="260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63</w:t>
            </w:r>
          </w:p>
        </w:tc>
        <w:tc>
          <w:tcPr>
            <w:tcW w:w="1673"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87.5%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12.55</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16.19</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14.47</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10.60</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9.60</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8.43</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10.60</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9.60</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8.43</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1.95</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800" w:firstLineChars="4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6.59</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6.04</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24649.05</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21950.65</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21950.65</w:t>
            </w:r>
          </w:p>
        </w:tc>
      </w:tr>
      <w:tr>
        <w:tblPrEx>
          <w:tblCellMar>
            <w:top w:w="0" w:type="dxa"/>
            <w:left w:w="108" w:type="dxa"/>
            <w:bottom w:w="0" w:type="dxa"/>
            <w:right w:w="108" w:type="dxa"/>
          </w:tblCellMar>
        </w:tblPrEx>
        <w:trPr>
          <w:trHeight w:val="333"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2162.72</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808.06</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808.06</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2、博达隆科技园新建大棚及配套设施工程款</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49.08</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10.01</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10.01</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tabs>
                <w:tab w:val="left" w:pos="638"/>
                <w:tab w:val="center" w:pos="1629"/>
              </w:tabs>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t>3</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val="en-US" w:eastAsia="zh-CN"/>
              </w:rPr>
              <w:t>科技推广专项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50.54</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101.63</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101.63</w:t>
            </w:r>
          </w:p>
        </w:tc>
      </w:tr>
      <w:tr>
        <w:tblPrEx>
          <w:tblCellMar>
            <w:top w:w="0" w:type="dxa"/>
            <w:left w:w="108" w:type="dxa"/>
            <w:bottom w:w="0" w:type="dxa"/>
            <w:right w:w="108" w:type="dxa"/>
          </w:tblCellMar>
        </w:tblPrEx>
        <w:trPr>
          <w:trHeight w:val="9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val="en-US" w:eastAsia="zh-CN"/>
              </w:rPr>
              <w:t>病虫害控制专项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73.00</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154.10</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154.10</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5、农产品质量安全专项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112.61</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25.33</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25.33</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6、防灾救灾专项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216.00</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170.00</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170.00</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7、农业结构调整补贴专项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540.14</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740.50</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740.50</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8、农业生产发展专项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210.30</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4432.69</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4432.69</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9、农村社会事业专项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120.00</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338.18</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338.18</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10、农业资源保护专项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557.97</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265.14</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265.14</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11、农田建设专项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1842.96</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2787.86</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2787.86</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12、巩固脱贫衔接乡村振兴专项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5321.45</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5096.32</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5096.32</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13、棉花价格补贴专项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502.94</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512.05</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512.05</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14、棚改三期</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25.02</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10.08</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10.08</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15、其他专项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12864.33</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6498.70</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6498.70</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718.86</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644.69</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644.69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480.63</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391.35</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391.35</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29.79</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34.93</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34.93</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2.99</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16.64</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16.64</w:t>
            </w:r>
          </w:p>
        </w:tc>
      </w:tr>
      <w:tr>
        <w:tblPrEx>
          <w:tblCellMar>
            <w:top w:w="0" w:type="dxa"/>
            <w:left w:w="108" w:type="dxa"/>
            <w:bottom w:w="0" w:type="dxa"/>
            <w:right w:w="108" w:type="dxa"/>
          </w:tblCellMar>
        </w:tblPrEx>
        <w:trPr>
          <w:trHeight w:val="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157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60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1938.22</w:t>
            </w:r>
            <w:r>
              <w:rPr>
                <w:rFonts w:hint="eastAsia" w:ascii="仿宋_GB2312" w:hAnsi="仿宋_GB2312" w:eastAsia="仿宋_GB2312" w:cs="仿宋_GB2312"/>
                <w:sz w:val="20"/>
                <w:szCs w:val="20"/>
                <w:highlight w:val="none"/>
              </w:rPr>
              <w:t>　</w:t>
            </w:r>
          </w:p>
        </w:tc>
        <w:tc>
          <w:tcPr>
            <w:tcW w:w="167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1938.22</w:t>
            </w:r>
          </w:p>
        </w:tc>
      </w:tr>
      <w:tr>
        <w:tblPrEx>
          <w:tblCellMar>
            <w:top w:w="0" w:type="dxa"/>
            <w:left w:w="108" w:type="dxa"/>
            <w:bottom w:w="0" w:type="dxa"/>
            <w:right w:w="108" w:type="dxa"/>
          </w:tblCellMar>
        </w:tblPrEx>
        <w:trPr>
          <w:trHeight w:val="0" w:hRule="atLeast"/>
          <w:jc w:val="center"/>
        </w:trPr>
        <w:tc>
          <w:tcPr>
            <w:tcW w:w="381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7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47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71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81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7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47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71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250" w:hRule="atLeast"/>
          <w:jc w:val="center"/>
        </w:trPr>
        <w:tc>
          <w:tcPr>
            <w:tcW w:w="38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585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严控办公经费，及时关闭办公设备电源，做到人走灯灭等。</w:t>
            </w:r>
            <w:r>
              <w:rPr>
                <w:rFonts w:hint="eastAsia" w:ascii="仿宋_GB2312" w:hAnsi="仿宋_GB2312" w:eastAsia="仿宋_GB2312" w:cs="仿宋_GB2312"/>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highlight w:val="none"/>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eastAsia" w:ascii="黑体" w:hAnsi="黑体" w:eastAsia="黑体" w:cs="黑体"/>
          <w:sz w:val="32"/>
          <w:szCs w:val="32"/>
          <w:highlight w:val="none"/>
          <w:lang w:val="en-US" w:eastAsia="zh-CN"/>
        </w:rPr>
      </w:pPr>
    </w:p>
    <w:p>
      <w:pPr>
        <w:spacing w:after="120" w:afterLines="50" w:line="600" w:lineRule="exact"/>
        <w:jc w:val="both"/>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附件2</w:t>
      </w:r>
      <w:r>
        <w:rPr>
          <w:rFonts w:hint="eastAsia" w:ascii="仿宋_GB2312" w:hAnsi="仿宋_GB2312" w:eastAsia="仿宋_GB2312" w:cs="仿宋_GB2312"/>
          <w:sz w:val="32"/>
          <w:szCs w:val="32"/>
          <w:highlight w:val="none"/>
          <w:lang w:val="en-US" w:eastAsia="zh-CN"/>
        </w:rPr>
        <w:t>：</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岳阳市君山区农业农村局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3383.48</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24078.67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24078.67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21026.70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2128.01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21950.66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1576.77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1、不断推进乡村振兴、建设美丽乡村，完成各项“三农”工作。</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2、加强农产品质量安全监管，完成各项检测任务。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3、做好动物防疫、病死畜禽收集转运及无害化处理工作。</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4、毫不松懈抓好禁捕退捕。</w:t>
            </w:r>
          </w:p>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lang w:eastAsia="zh-CN"/>
              </w:rPr>
              <w:t>强化风险意识，全面处置各类问题隐患。加强监测帮扶，防止返贫致贫风险。</w:t>
            </w:r>
          </w:p>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6、规范实施农机购置补贴惠农政策，优化农机装备结构。</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圆满完成总体目标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粮食播种面积</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≥39万亩</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45.56万亩</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提供公益性岗位个数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730个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730个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高标准农田建设项目合格率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品种试验到位率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r>
              <w:rPr>
                <w:rFonts w:hint="eastAsia" w:ascii="仿宋_GB2312" w:hAnsi="仿宋_GB2312" w:eastAsia="仿宋_GB2312" w:cs="仿宋_GB2312"/>
                <w:color w:val="000000"/>
                <w:sz w:val="20"/>
                <w:szCs w:val="20"/>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任务完成时效</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本年内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资金使用成本不超过预算</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不超支</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不超支</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特色产业带动增加脱贫人口(监测湖户）收入（总收入）</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1.4万元/户</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1.4万元/户</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受益农户和农机服务组织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≥200户</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280户</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农药包装废弃物处置率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推进人居环境整治</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84" w:hRule="atLeast"/>
          <w:jc w:val="center"/>
        </w:trPr>
        <w:tc>
          <w:tcPr>
            <w:tcW w:w="108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6"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p>
    <w:p>
      <w:pPr>
        <w:pStyle w:val="6"/>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040"/>
        <w:gridCol w:w="1228"/>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化肥减量增效专项资金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2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岳阳市君山区农业农村局</w:t>
            </w:r>
          </w:p>
        </w:tc>
        <w:tc>
          <w:tcPr>
            <w:tcW w:w="122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农业资源保护与利用股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2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2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ascii="仿宋_GB2312" w:hAnsi="仿宋_GB2312" w:eastAsia="仿宋_GB2312" w:cs="仿宋_GB2312"/>
                <w:color w:val="000000"/>
                <w:sz w:val="20"/>
                <w:szCs w:val="20"/>
                <w:highlight w:val="none"/>
                <w:lang w:val="en-US" w:eastAsia="zh-CN"/>
              </w:rPr>
              <w:t>完成300个取土化验，推广1000吨专用配方肥，完成受污染耕地安全利用治理面积1600亩，稻谷抽检30个。</w:t>
            </w:r>
          </w:p>
        </w:tc>
        <w:tc>
          <w:tcPr>
            <w:tcW w:w="434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完成了300个取土化验，推广了1000吨专用配方肥，完成了受污染耕地安全利用治理面积1600亩，稻谷抽检30个。</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取土化验</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300个</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推广配方肥</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1000吨</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受污染耕地安全利用治理</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1600亩</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稻谷抽检</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30个</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稻谷检测</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全部合格</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节本增效</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节约种植成本</w:t>
            </w:r>
            <w:r>
              <w:rPr>
                <w:rFonts w:hint="eastAsia" w:ascii="仿宋_GB2312" w:hAnsi="仿宋_GB2312" w:eastAsia="仿宋_GB2312" w:cs="仿宋_GB2312"/>
                <w:color w:val="000000"/>
                <w:sz w:val="20"/>
                <w:szCs w:val="20"/>
                <w:highlight w:val="none"/>
                <w:lang w:val="en-US" w:eastAsia="zh-CN"/>
              </w:rPr>
              <w:t>100元/亩</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摸清土壤质量</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土壤质量状况分析</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提供施肥指导建议</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测土配方施肥建议卡</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保护生态</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化肥用量减少</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耕地保护地理提升</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持续推进</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满意度</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100%满意</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pStyle w:val="6"/>
        <w:rPr>
          <w:rFonts w:hint="default" w:ascii="黑体" w:hAnsi="黑体" w:eastAsia="黑体" w:cs="黑体"/>
          <w:sz w:val="32"/>
          <w:szCs w:val="32"/>
          <w:highlight w:val="none"/>
          <w:lang w:val="en-US" w:eastAsia="zh-CN"/>
        </w:rPr>
      </w:pPr>
    </w:p>
    <w:p>
      <w:pPr>
        <w:widowControl/>
        <w:spacing w:line="600" w:lineRule="exact"/>
        <w:jc w:val="left"/>
        <w:rPr>
          <w:rFonts w:hint="eastAsia" w:ascii="Times New Roman" w:hAnsi="Times New Roman" w:eastAsia="黑体" w:cs="Times New Roman"/>
          <w:sz w:val="32"/>
          <w:szCs w:val="32"/>
          <w:highlight w:val="none"/>
          <w:lang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80"/>
        <w:gridCol w:w="1086"/>
        <w:gridCol w:w="1074"/>
        <w:gridCol w:w="1776"/>
        <w:gridCol w:w="1020"/>
        <w:gridCol w:w="1140"/>
        <w:gridCol w:w="720"/>
        <w:gridCol w:w="705"/>
        <w:gridCol w:w="125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禁捕退捕专项经费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95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4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67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岳阳市君山区渔政管理站</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5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95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目标1：强化组织领导，确保各方责任“扛得牢”</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目标2：强化转产就业，确保退捕渔民“退得出”</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目标3：强化联防联控，确保非法捕捞“禁得了”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目标4：强化长效机制，确保十年禁渔“稳得住”　　</w:t>
            </w:r>
          </w:p>
        </w:tc>
        <w:tc>
          <w:tcPr>
            <w:tcW w:w="38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君山区管理江湖河岸线148.4公里，公共水域25万亩。区委区政府把落实好长江重点水域禁捕退捕，作为扛牢“守护好一江碧水”首倡地责任的关键举措，坚持从细、从实、从严推进“禁捕‘攻坚战’、退捕‘系统战’、十年禁渔‘持久战’”，全区禁捕退捕工作取得阶段性成效。</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禁捕警示牌、印发宣传资料</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10000份</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10035份</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联合执法次数</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40次以上</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45次</w:t>
            </w:r>
            <w:r>
              <w:rPr>
                <w:rFonts w:hint="eastAsia" w:ascii="仿宋_GB2312" w:hAnsi="仿宋_GB2312" w:eastAsia="仿宋_GB2312" w:cs="仿宋_GB2312"/>
                <w:color w:val="000000"/>
                <w:sz w:val="20"/>
                <w:szCs w:val="20"/>
                <w:highlight w:val="none"/>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水生生物资源养护</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渔政执法能力</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项目按时完成率</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禁捕退捕运行保障</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100万元</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100万元</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多部门联合执法</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8次以上</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9次</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解决就业情况</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30人以上</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50个</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违规捕捞行为</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明显减少</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明显减少</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保护水生生物效果</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促年增加</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促年增加</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促进长江流域重点水域生态环境修复</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促进本区域生态环境健康发展</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渔业生产经营主体合规经营意识</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市民对水生生物资源的保护意识</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渔业执法当事人满意度</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≥98%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97%</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加大保护区禁钓宣传力度，争取市民理解 </w:t>
            </w:r>
          </w:p>
        </w:tc>
      </w:tr>
      <w:tr>
        <w:tblPrEx>
          <w:tblCellMar>
            <w:top w:w="0" w:type="dxa"/>
            <w:left w:w="108" w:type="dxa"/>
            <w:bottom w:w="0" w:type="dxa"/>
            <w:right w:w="108" w:type="dxa"/>
          </w:tblCellMar>
        </w:tblPrEx>
        <w:trPr>
          <w:jc w:val="center"/>
        </w:trPr>
        <w:tc>
          <w:tcPr>
            <w:tcW w:w="7176"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eastAsia" w:ascii="仿宋_GB2312" w:hAnsi="仿宋_GB2312" w:eastAsia="仿宋_GB2312" w:cs="仿宋_GB2312"/>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pStyle w:val="6"/>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87"/>
        <w:gridCol w:w="1081"/>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2023年农田建设项目区级配套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岳阳市君山区农业农村局</w:t>
            </w:r>
          </w:p>
        </w:tc>
        <w:tc>
          <w:tcPr>
            <w:tcW w:w="10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区农业农村局农田建设股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7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7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ascii="仿宋_GB2312" w:hAnsi="仿宋_GB2312" w:eastAsia="仿宋_GB2312" w:cs="仿宋_GB2312"/>
                <w:color w:val="000000"/>
                <w:sz w:val="20"/>
                <w:szCs w:val="20"/>
                <w:highlight w:val="none"/>
                <w:lang w:val="en-US" w:eastAsia="zh-CN"/>
              </w:rPr>
              <w:t>对2023年柳林洲街道办事处、钱粮湖镇、许市镇、广兴洲镇、良心堡镇农田基本建设补短板。</w:t>
            </w:r>
          </w:p>
        </w:tc>
        <w:tc>
          <w:tcPr>
            <w:tcW w:w="42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全部完成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农田补短板</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覆盖所有街道、乡镇</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质量等级</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合格</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资金使用成本不超过预算</w:t>
            </w:r>
          </w:p>
        </w:tc>
        <w:tc>
          <w:tcPr>
            <w:tcW w:w="118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不超支</w:t>
            </w:r>
          </w:p>
        </w:tc>
        <w:tc>
          <w:tcPr>
            <w:tcW w:w="10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推动</w:t>
            </w:r>
            <w:r>
              <w:rPr>
                <w:rFonts w:hint="eastAsia" w:eastAsia="仿宋_GB2312"/>
                <w:sz w:val="20"/>
                <w:szCs w:val="20"/>
              </w:rPr>
              <w:t>农民增收</w:t>
            </w:r>
          </w:p>
        </w:tc>
        <w:tc>
          <w:tcPr>
            <w:tcW w:w="118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rPr>
              <w:t>补齐农业生产短板，减灾增效</w:t>
            </w:r>
          </w:p>
        </w:tc>
        <w:tc>
          <w:tcPr>
            <w:tcW w:w="118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rPr>
              <w:t>受灾减少</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eastAsia="仿宋_GB2312"/>
                <w:sz w:val="20"/>
                <w:szCs w:val="20"/>
              </w:rPr>
              <w:t>受灾面积比上年减少</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推动</w:t>
            </w:r>
            <w:r>
              <w:rPr>
                <w:rFonts w:hint="eastAsia" w:eastAsia="仿宋_GB2312"/>
                <w:sz w:val="20"/>
                <w:szCs w:val="20"/>
              </w:rPr>
              <w:t>改善环境</w:t>
            </w:r>
          </w:p>
        </w:tc>
        <w:tc>
          <w:tcPr>
            <w:tcW w:w="118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eastAsia="仿宋_GB2312"/>
                <w:sz w:val="20"/>
                <w:szCs w:val="20"/>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耕地保护提升</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持续推进</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群众满意度</w:t>
            </w:r>
          </w:p>
        </w:tc>
        <w:tc>
          <w:tcPr>
            <w:tcW w:w="118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0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仿宋_GB2312" w:cs="Times New Roman"/>
          <w:sz w:val="18"/>
          <w:szCs w:val="18"/>
          <w:highlight w:val="none"/>
          <w:lang w:eastAsia="zh-CN"/>
        </w:rPr>
        <w:sectPr>
          <w:pgSz w:w="11906" w:h="16838"/>
          <w:pgMar w:top="1440" w:right="1800" w:bottom="1440" w:left="1800" w:header="851" w:footer="992" w:gutter="0"/>
          <w:cols w:space="425" w:num="1"/>
          <w:docGrid w:type="lines" w:linePitch="312" w:charSpace="0"/>
        </w:sect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支持巩固拓展脱贫攻坚成果项目资金</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岳阳市君山区</w:t>
            </w:r>
            <w:r>
              <w:rPr>
                <w:rFonts w:hint="eastAsia" w:ascii="仿宋_GB2312" w:hAnsi="仿宋_GB2312" w:eastAsia="仿宋_GB2312" w:cs="仿宋_GB2312"/>
                <w:color w:val="000000"/>
                <w:sz w:val="20"/>
                <w:szCs w:val="20"/>
                <w:highlight w:val="none"/>
                <w:lang w:val="en-US" w:eastAsia="zh-CN"/>
              </w:rPr>
              <w:t>农业农村局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岳阳市君山区乡村振兴服务中心</w:t>
            </w:r>
          </w:p>
        </w:tc>
      </w:tr>
      <w:tr>
        <w:tblPrEx>
          <w:tblCellMar>
            <w:top w:w="0" w:type="dxa"/>
            <w:left w:w="108" w:type="dxa"/>
            <w:bottom w:w="0" w:type="dxa"/>
            <w:right w:w="108" w:type="dxa"/>
          </w:tblCellMar>
        </w:tblPrEx>
        <w:trPr>
          <w:trHeight w:val="50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1475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1475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4"/>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高效完成</w:t>
            </w: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年度农村厕所革命任务建设</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改善各乡镇人居环境　</w:t>
            </w:r>
          </w:p>
          <w:p>
            <w:pPr>
              <w:keepNext w:val="0"/>
              <w:keepLines w:val="0"/>
              <w:pageBreakBefore w:val="0"/>
              <w:widowControl/>
              <w:numPr>
                <w:ilvl w:val="0"/>
                <w:numId w:val="4"/>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开发</w:t>
            </w:r>
            <w:r>
              <w:rPr>
                <w:rFonts w:hint="eastAsia" w:ascii="仿宋_GB2312" w:hAnsi="仿宋_GB2312" w:eastAsia="仿宋_GB2312" w:cs="仿宋_GB2312"/>
                <w:color w:val="000000"/>
                <w:sz w:val="20"/>
                <w:szCs w:val="20"/>
                <w:highlight w:val="none"/>
              </w:rPr>
              <w:t>公益岗位</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完成202</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年度农村厕所革命任务建设；改善各乡镇人居环境；开发保洁、护路等公益岗位730人，为全区脱贫人口和监测户提供就地就近就业机会，增加其工资性收入，确保稳定增收。补齐各乡镇乡村振兴发展领域短板。</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提供公益性岗位个数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730个</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730个</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w:t>
            </w:r>
            <w:r>
              <w:rPr>
                <w:rFonts w:hint="eastAsia" w:ascii="仿宋_GB2312" w:hAnsi="仿宋_GB2312" w:eastAsia="仿宋_GB2312" w:cs="仿宋_GB2312"/>
                <w:color w:val="000000"/>
                <w:sz w:val="20"/>
                <w:szCs w:val="20"/>
                <w:highlight w:val="none"/>
              </w:rPr>
              <w:t>农村居民人均可支配收入</w:t>
            </w:r>
            <w:r>
              <w:rPr>
                <w:rFonts w:hint="eastAsia" w:ascii="仿宋_GB2312" w:hAnsi="仿宋_GB2312" w:eastAsia="仿宋_GB2312" w:cs="仿宋_GB2312"/>
                <w:color w:val="000000"/>
                <w:sz w:val="20"/>
                <w:szCs w:val="20"/>
                <w:highlight w:val="none"/>
                <w:lang w:val="en-US" w:eastAsia="zh-CN"/>
              </w:rPr>
              <w:t>百分比</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5个点</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5个点</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厕所革命工程质量合格率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w:t>
            </w:r>
            <w:r>
              <w:rPr>
                <w:rFonts w:hint="eastAsia" w:ascii="仿宋_GB2312" w:hAnsi="仿宋_GB2312" w:eastAsia="仿宋_GB2312" w:cs="仿宋_GB2312"/>
                <w:color w:val="000000"/>
                <w:sz w:val="20"/>
                <w:szCs w:val="20"/>
                <w:highlight w:val="none"/>
              </w:rPr>
              <w:t>脱贫群众务工</w:t>
            </w:r>
            <w:r>
              <w:rPr>
                <w:rFonts w:hint="eastAsia" w:ascii="仿宋_GB2312" w:hAnsi="仿宋_GB2312" w:eastAsia="仿宋_GB2312" w:cs="仿宋_GB2312"/>
                <w:color w:val="000000"/>
                <w:sz w:val="20"/>
                <w:szCs w:val="20"/>
                <w:highlight w:val="none"/>
                <w:lang w:val="en-US" w:eastAsia="zh-CN"/>
              </w:rPr>
              <w:t>就业率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年度各项任务完成期限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2023年12月20日前</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特色产业助推乡村振兴</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w:t>
            </w:r>
            <w:r>
              <w:rPr>
                <w:rFonts w:hint="eastAsia" w:ascii="仿宋_GB2312" w:hAnsi="仿宋_GB2312" w:eastAsia="仿宋_GB2312" w:cs="仿宋_GB2312"/>
                <w:color w:val="000000"/>
                <w:sz w:val="20"/>
                <w:szCs w:val="20"/>
                <w:highlight w:val="none"/>
              </w:rPr>
              <w:t>脱贫人口收入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有所提高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有所提高</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无显著生态效益成果</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无显著生态效益成果</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无显著生态效益成果</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加强监测帮扶，防止返贫致贫风险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稳步提升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稳步提升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受益脱贫（监测）人口满意度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95</w:t>
            </w:r>
            <w:r>
              <w:rPr>
                <w:rFonts w:hint="eastAsia" w:ascii="仿宋_GB2312" w:hAnsi="仿宋_GB2312" w:eastAsia="仿宋_GB2312" w:cs="仿宋_GB2312"/>
                <w:color w:val="000000"/>
                <w:sz w:val="20"/>
                <w:szCs w:val="20"/>
                <w:highlight w:val="none"/>
                <w:lang w:val="en-US" w:eastAsia="zh-CN"/>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95</w:t>
            </w:r>
            <w:r>
              <w:rPr>
                <w:rFonts w:hint="eastAsia" w:ascii="仿宋_GB2312" w:hAnsi="仿宋_GB2312" w:eastAsia="仿宋_GB2312" w:cs="仿宋_GB2312"/>
                <w:color w:val="000000"/>
                <w:sz w:val="20"/>
                <w:szCs w:val="20"/>
                <w:highlight w:val="none"/>
                <w:lang w:val="en-US" w:eastAsia="zh-CN"/>
              </w:rPr>
              <w:t>%</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仿宋_GB2312" w:cs="Times New Roman"/>
          <w:sz w:val="18"/>
          <w:szCs w:val="18"/>
          <w:highlight w:val="none"/>
          <w:lang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仿宋_GB2312" w:cs="Times New Roman"/>
          <w:sz w:val="18"/>
          <w:szCs w:val="18"/>
          <w:highlight w:val="none"/>
          <w:lang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53"/>
        <w:gridCol w:w="1081"/>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机插机抛秧作业补贴和农机安全网络建设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岳阳市君山区</w:t>
            </w:r>
            <w:r>
              <w:rPr>
                <w:rFonts w:hint="eastAsia" w:ascii="仿宋_GB2312" w:hAnsi="仿宋_GB2312" w:eastAsia="仿宋_GB2312" w:cs="仿宋_GB2312"/>
                <w:color w:val="000000"/>
                <w:sz w:val="20"/>
                <w:szCs w:val="20"/>
                <w:highlight w:val="none"/>
                <w:lang w:val="en-US" w:eastAsia="zh-CN"/>
              </w:rPr>
              <w:t>农业农村局</w:t>
            </w:r>
          </w:p>
        </w:tc>
        <w:tc>
          <w:tcPr>
            <w:tcW w:w="1134"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岳阳市君山区农业机械服务中心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default"/>
                <w:lang w:val="en-US" w:eastAsia="zh-CN"/>
              </w:rPr>
            </w:pPr>
            <w:r>
              <w:rPr>
                <w:rFonts w:hint="eastAsia" w:ascii="仿宋_GB2312" w:hAnsi="仿宋_GB2312" w:eastAsia="仿宋_GB2312" w:cs="仿宋_GB2312"/>
                <w:color w:val="000000"/>
                <w:sz w:val="20"/>
                <w:szCs w:val="20"/>
                <w:highlight w:val="none"/>
                <w:lang w:val="en-US" w:eastAsia="zh-CN"/>
              </w:rPr>
              <w:t>1.规范实施农机购置补贴惠农政策，优化农机装备结构；2.推进农机新技术，新机具推广应用；3.积极开展“春耕”“三夏”“三秋”农机化工作；4.加强源头管控，确保农机安全生产；5.培育农机服务主体，提升农机服务能力　　</w:t>
            </w:r>
          </w:p>
        </w:tc>
        <w:tc>
          <w:tcPr>
            <w:tcW w:w="425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全年共新增高速插秧机2台、有序抛秧机1台、无人植保飞机51架、北斗监测终端8台，建设育秧大棚40736㎡，完成水稻机插机抛秧社会化服务作业面积1.3243万亩，其中：机插面积0.6646万亩，机抛面积0.6597万亩，水稻耕种收机械化水平较上年明显提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水稻机插机抛面积完成情况</w:t>
            </w:r>
          </w:p>
        </w:tc>
        <w:tc>
          <w:tcPr>
            <w:tcW w:w="11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1.33万亩</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1.33万亩</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加强源头管控，确保农机安全生产</w:t>
            </w:r>
          </w:p>
        </w:tc>
        <w:tc>
          <w:tcPr>
            <w:tcW w:w="11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w:t>
            </w:r>
          </w:p>
        </w:tc>
        <w:tc>
          <w:tcPr>
            <w:tcW w:w="11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资金使用成本不超过预算</w:t>
            </w:r>
          </w:p>
        </w:tc>
        <w:tc>
          <w:tcPr>
            <w:tcW w:w="11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不超支</w:t>
            </w:r>
          </w:p>
        </w:tc>
        <w:tc>
          <w:tcPr>
            <w:tcW w:w="10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是否带动农民增收</w:t>
            </w:r>
          </w:p>
        </w:tc>
        <w:tc>
          <w:tcPr>
            <w:tcW w:w="118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rPr>
              <w:t>推进农机新技术，新机具推广应用</w:t>
            </w:r>
          </w:p>
        </w:tc>
        <w:tc>
          <w:tcPr>
            <w:tcW w:w="118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eastAsia="仿宋_GB2312"/>
                <w:sz w:val="20"/>
                <w:szCs w:val="20"/>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开展“春耕”“三夏”</w:t>
            </w:r>
          </w:p>
        </w:tc>
        <w:tc>
          <w:tcPr>
            <w:tcW w:w="118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eastAsia="仿宋_GB2312"/>
                <w:sz w:val="20"/>
                <w:szCs w:val="20"/>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优化农机装备结构</w:t>
            </w:r>
          </w:p>
        </w:tc>
        <w:tc>
          <w:tcPr>
            <w:tcW w:w="11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持续推进</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群众满意度</w:t>
            </w:r>
          </w:p>
        </w:tc>
        <w:tc>
          <w:tcPr>
            <w:tcW w:w="11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0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7" w:hRule="atLeast"/>
          <w:jc w:val="center"/>
        </w:trPr>
        <w:tc>
          <w:tcPr>
            <w:tcW w:w="6732"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eastAsia" w:ascii="Times New Roman" w:hAnsi="Times New Roman" w:eastAsia="仿宋_GB2312" w:cs="Times New Roman"/>
          <w:sz w:val="18"/>
          <w:szCs w:val="18"/>
          <w:highlight w:val="none"/>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仿宋_GB2312" w:hAnsi="仿宋_GB2312" w:eastAsia="仿宋_GB2312" w:cs="仿宋_GB2312"/>
          <w:sz w:val="22"/>
          <w:szCs w:val="22"/>
          <w:highlight w:val="none"/>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803F"/>
    <w:multiLevelType w:val="singleLevel"/>
    <w:tmpl w:val="834C803F"/>
    <w:lvl w:ilvl="0" w:tentative="0">
      <w:start w:val="1"/>
      <w:numFmt w:val="chineseCounting"/>
      <w:suff w:val="nothing"/>
      <w:lvlText w:val="%1、"/>
      <w:lvlJc w:val="left"/>
      <w:rPr>
        <w:rFonts w:hint="eastAsia"/>
      </w:rPr>
    </w:lvl>
  </w:abstractNum>
  <w:abstractNum w:abstractNumId="1">
    <w:nsid w:val="B93151B9"/>
    <w:multiLevelType w:val="singleLevel"/>
    <w:tmpl w:val="B93151B9"/>
    <w:lvl w:ilvl="0" w:tentative="0">
      <w:start w:val="4"/>
      <w:numFmt w:val="chineseCounting"/>
      <w:suff w:val="nothing"/>
      <w:lvlText w:val="%1、"/>
      <w:lvlJc w:val="left"/>
      <w:rPr>
        <w:rFonts w:hint="eastAsia"/>
      </w:rPr>
    </w:lvl>
  </w:abstractNum>
  <w:abstractNum w:abstractNumId="2">
    <w:nsid w:val="FC8471E3"/>
    <w:multiLevelType w:val="singleLevel"/>
    <w:tmpl w:val="FC8471E3"/>
    <w:lvl w:ilvl="0" w:tentative="0">
      <w:start w:val="2"/>
      <w:numFmt w:val="chineseCounting"/>
      <w:suff w:val="nothing"/>
      <w:lvlText w:val="（%1）"/>
      <w:lvlJc w:val="left"/>
      <w:rPr>
        <w:rFonts w:hint="eastAsia"/>
      </w:rPr>
    </w:lvl>
  </w:abstractNum>
  <w:abstractNum w:abstractNumId="3">
    <w:nsid w:val="2D643DA0"/>
    <w:multiLevelType w:val="singleLevel"/>
    <w:tmpl w:val="2D643DA0"/>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GVmOWRjMWM1NmYyNjhiZGY0MjE0MmZlNjMzYTcifQ=="/>
  </w:docVars>
  <w:rsids>
    <w:rsidRoot w:val="59886344"/>
    <w:rsid w:val="044B19BA"/>
    <w:rsid w:val="08D57A2A"/>
    <w:rsid w:val="099703E5"/>
    <w:rsid w:val="0CF55810"/>
    <w:rsid w:val="0DC4646F"/>
    <w:rsid w:val="0F295DB7"/>
    <w:rsid w:val="10B501AC"/>
    <w:rsid w:val="12534488"/>
    <w:rsid w:val="14A269C7"/>
    <w:rsid w:val="15A206DD"/>
    <w:rsid w:val="16C50173"/>
    <w:rsid w:val="16C75CA0"/>
    <w:rsid w:val="17991A30"/>
    <w:rsid w:val="17DF5EC9"/>
    <w:rsid w:val="1F2A6EBE"/>
    <w:rsid w:val="204C58AF"/>
    <w:rsid w:val="231A15C5"/>
    <w:rsid w:val="26CF68CA"/>
    <w:rsid w:val="2B3318B3"/>
    <w:rsid w:val="30D42A97"/>
    <w:rsid w:val="3106646D"/>
    <w:rsid w:val="345224E6"/>
    <w:rsid w:val="354563B8"/>
    <w:rsid w:val="38AA34F3"/>
    <w:rsid w:val="3AFF10AC"/>
    <w:rsid w:val="3B7663F4"/>
    <w:rsid w:val="3CAE4D5C"/>
    <w:rsid w:val="3F570121"/>
    <w:rsid w:val="4600554C"/>
    <w:rsid w:val="46716462"/>
    <w:rsid w:val="493F0161"/>
    <w:rsid w:val="4A414B3D"/>
    <w:rsid w:val="4B675A44"/>
    <w:rsid w:val="51630581"/>
    <w:rsid w:val="51981FF4"/>
    <w:rsid w:val="524569C0"/>
    <w:rsid w:val="541637A9"/>
    <w:rsid w:val="54AC24B7"/>
    <w:rsid w:val="553201EA"/>
    <w:rsid w:val="55BA1F7A"/>
    <w:rsid w:val="56972ED2"/>
    <w:rsid w:val="58147697"/>
    <w:rsid w:val="59886344"/>
    <w:rsid w:val="5A161D76"/>
    <w:rsid w:val="5A590E25"/>
    <w:rsid w:val="5CE43605"/>
    <w:rsid w:val="5FDD1366"/>
    <w:rsid w:val="608D56CD"/>
    <w:rsid w:val="63FC2C37"/>
    <w:rsid w:val="6A095395"/>
    <w:rsid w:val="6EF03AB5"/>
    <w:rsid w:val="6F5917CA"/>
    <w:rsid w:val="70986E39"/>
    <w:rsid w:val="719974E5"/>
    <w:rsid w:val="73A70210"/>
    <w:rsid w:val="76FA3D9F"/>
    <w:rsid w:val="77A460F8"/>
    <w:rsid w:val="77A959CF"/>
    <w:rsid w:val="78006790"/>
    <w:rsid w:val="78F910FB"/>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autoRedefine/>
    <w:semiHidden/>
    <w:qFormat/>
    <w:uiPriority w:val="0"/>
    <w:rPr>
      <w:rFonts w:ascii="仿宋" w:hAnsi="仿宋" w:eastAsia="仿宋" w:cs="仿宋"/>
      <w:sz w:val="31"/>
      <w:szCs w:val="31"/>
      <w:lang w:val="en-US" w:eastAsia="en-US" w:bidi="ar-SA"/>
    </w:rPr>
  </w:style>
  <w:style w:type="paragraph" w:styleId="4">
    <w:name w:val="toc 5"/>
    <w:basedOn w:val="1"/>
    <w:next w:val="1"/>
    <w:autoRedefine/>
    <w:qFormat/>
    <w:uiPriority w:val="0"/>
    <w:pPr>
      <w:ind w:left="1680" w:leftChars="8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qFormat/>
    <w:uiPriority w:val="0"/>
    <w:pPr>
      <w:spacing w:after="0"/>
      <w:ind w:firstLine="200" w:firstLineChars="200"/>
    </w:pPr>
    <w:rPr>
      <w:sz w:val="24"/>
    </w:rPr>
  </w:style>
  <w:style w:type="paragraph" w:customStyle="1" w:styleId="9">
    <w:name w:val="列出段落1"/>
    <w:basedOn w:val="1"/>
    <w:autoRedefine/>
    <w:qFormat/>
    <w:uiPriority w:val="34"/>
    <w:pPr>
      <w:ind w:firstLine="420" w:firstLineChars="200"/>
    </w:pPr>
  </w:style>
  <w:style w:type="paragraph" w:styleId="10">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2024-09-18T08:57:00Z</cp:lastPrinted>
  <dcterms:modified xsi:type="dcterms:W3CDTF">2024-09-20T02:25:44Z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855AE094E97B4E84875E636606AE14E1_13</vt:lpwstr>
  </property>
</Properties>
</file>