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年度中共岳阳市君山区委政法委员会整体支出绩效自评报告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中共岳阳市君山区委政法委员会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（单位）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中共岳阳市君山区委政法委员会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（以下简称区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区委的办事机构，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其职能职责为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>
      <w:pPr>
        <w:bidi w:val="0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1、深入贯彻习近平新时代中国特色社会主义思想，贯彻落实党的路线方针政策和决策部署，统一政法各部门思想和行动，坚持党对政法工作的绝对领导，坚决维护党中央权威和集中统一领导。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深入贯彻党中央决定和省委、市委、区委决策，对全区政法工作研究提出全局性部署，推进平安君山、法治君山、过硬队伍、智能化建设，坚决维护国家政治安全、确保社会大局稳定，促进社会公平正义、保障人民安居乐业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了解掌握和分析研判政法工作情况动态，分析社会稳定形势，创新完善多部门参与的综治维稳工作机制，协调推动预防、化解影响稳定的社会矛盾和风险，协调应对和处置重大突发事件，牵头开展涉疆服务管理工作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4、加强对政法工作对督查，统筹协调社会治安综合治理、维护社会稳定、反邪教有关法律法规政策的实施工作。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5、组织开展政法领域的调查研究，研究拟定政法工作的重要措施，及时向区委提出建议。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6、掌握分析政法舆情动态，指导协调政法部门媒体网络宣传工作，指导政法部门做好涉及政法工作的重大宣传工作。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7、监督和支持政法各部门依法行使职权，指导和协调政法各部门密切配合，研究和协调重大、疑难案件，推进严格执法、公正司法。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8、组织研究政法改革中带有方向性、倾向性和普遍性的重大问题，深化政法改革。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9、指导推动政法系统党的建设和政法队伍建设，代管区法学会。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10、完成区委交办的其他任务。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（二）机构设置与人员情况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内设机构6个，分别为：办公室（政策研究室）、政工室（宣传教育室）、维稳指导室（政治安全室）、综治督导室（基层社会治理室）、反邪教协调室、执法监督室（涉法涉诉信访室、法治室）。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员24人，其中：在职人员11人，离退休人员13人。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单位绩效目标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整体支出绩效目标：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积极推行预算绩效管理，强化对资金使用情况的预算约束和监督，瞄准部门职责，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紧紧围绕区委中心大局，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坚持把政治建设摆在首位，以党建为引领，认真贯彻全面从严治党要求，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扎实推进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维护社会稳定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、平安建设、社会治理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现代化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、政法队伍建设等工作，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实现了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全区没有发生重大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群体性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事件，没有发生重大刑事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治安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案件，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连续15年保持了省平安县市区称号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提高财政资金使用绩效，促进管理效能提升。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项目支出绩效目标：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1、主动作为，落实措施，确保全区社会大局稳定。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2、主动出击，打防并举，确保防邪工作“三个零”指标。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3、主动担责，多措并举，确保综治工作目标实现。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4、主动履职，严格监督，确保执法监督和涉法涉诉信访问题处理公平公正。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5、主动落实，认领任务，确保区委交办的其它中心工作顺利完成。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6、 加强对政法各单位的领导、指导和协调。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预算资金734.38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316.71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项目支出417.67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。全年实际支出734.38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316.71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项目支出417.67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。。预算执行率100%。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316.71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万元，其中人员经费277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20万元，公用经费39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51万元。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区政法委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项目支出417.67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主要是本部门为完成特定工作任务或事业发展目标而发生的支出，包括有关事业发展专项、专项业务费、基本建设支出等，含业务工作经费、政法专项等项目支出。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政法委严格执行预算，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财务管理规范，各项工作任务全面完成，单位行政运行稳定有序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部门整体支出绩效自评得分98分。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（二）履职产出效益方面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政法委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认真履行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部门职责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履职情况如下：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FangSong_GB2312" w:hAnsi="FangSong_GB2312" w:eastAsia="KaiTi_GB2312" w:cs="FangSong_GB2312"/>
          <w:b/>
          <w:sz w:val="32"/>
          <w:szCs w:val="32"/>
          <w:lang w:val="en-US" w:eastAsia="zh-CN"/>
        </w:rPr>
      </w:pPr>
      <w:r>
        <w:rPr>
          <w:rFonts w:hint="eastAsia" w:ascii="KaiTi_GB2312" w:hAnsi="KaiTi_GB2312" w:eastAsia="KaiTi_GB2312" w:cs="KaiTi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lang w:eastAsia="zh-CN"/>
        </w:rPr>
        <w:t>、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</w:rPr>
        <w:t>维护稳定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lang w:val="en-US" w:eastAsia="zh-CN"/>
        </w:rPr>
        <w:t>卓有成效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  <w:lang w:val="en-US" w:eastAsia="zh-CN"/>
        </w:rPr>
        <w:t>（1）扛牢维护政治安全大旗。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涉政重点人员稳控，组织公安机关对3名涉政人员落实“五包一”责任，压实属地、责任单位、主控单位和包保责任人责任。发挥政法委牵头统筹协调工作，推动刘某出境逾期不归事件应对处置工作，共召开15次专班调度会。全区列管防范恐怖袭击重点目标71个，开展专项排查及督导3轮次，反恐行政执法11起，整治涉恐问题隐患90余处、组织综合演练2场次、专项宣传4场次、专业培训3场次，织密了社会面整体反恐防范网。全面完成了石油石化系统14个三级重点目标达标验收工作。</w:t>
      </w:r>
    </w:p>
    <w:p>
      <w:pPr>
        <w:spacing w:line="560" w:lineRule="exact"/>
        <w:ind w:firstLine="643" w:firstLineChars="200"/>
        <w:jc w:val="both"/>
        <w:rPr>
          <w:rFonts w:hint="eastAsia" w:ascii="FangSong_GB2312" w:hAnsi="FangSong_GB2312" w:eastAsia="FangSong_GB2312" w:cs="FangSong_GB2312"/>
          <w:sz w:val="32"/>
          <w:szCs w:val="32"/>
          <w:u w:val="none"/>
          <w:lang w:eastAsia="zh-CN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  <w:lang w:val="en-US" w:eastAsia="zh-CN"/>
        </w:rPr>
        <w:t>（2）</w:t>
      </w: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反邪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lang w:val="en-US" w:eastAsia="zh-CN"/>
        </w:rPr>
        <w:t>防邪深入人心</w:t>
      </w:r>
      <w:r>
        <w:rPr>
          <w:rFonts w:hint="eastAsia" w:ascii="FangSong_GB2312" w:hAnsi="FangSong_GB2312" w:eastAsia="FangSong_GB2312" w:cs="FangSong_GB2312"/>
          <w:b/>
          <w:sz w:val="32"/>
          <w:szCs w:val="32"/>
        </w:rPr>
        <w:t>。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与区委统战部协作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对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全区38个宗教场所进行全面清查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，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有效防范宗教渗透。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持续开展反邪教宣传教育，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组织开展了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</w:rPr>
        <w:t>以“齐心协力反邪教、携手奋进新征程”为主题的全区2023年防范邪教宣传月活动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</w:rPr>
        <w:t>共发放各类宣传资料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  <w:lang w:val="en-US" w:eastAsia="zh-CN"/>
        </w:rPr>
        <w:t>8000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</w:rPr>
        <w:t>余份，解答咨询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  <w:lang w:val="en-US" w:eastAsia="zh-CN"/>
        </w:rPr>
        <w:t>300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</w:rPr>
        <w:t>余人次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u w:val="none"/>
          <w:shd w:val="clear" w:fill="FFFFFF"/>
          <w:lang w:val="en-US" w:eastAsia="zh-CN"/>
        </w:rPr>
        <w:t>悬挂横幅500余条，电子显示屏宣传375余块；对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邪教重点人员严格落实对“五包一”“人盯人”防控措施，加强信息预控、重点稳控、舆情管控和社会面巡查防控，实现了无邪教人员进京赴省到市聚集滋事，确保了没有发生涉邪政治影响案事件、涉邪群体性事件等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eastAsia="zh-CN"/>
        </w:rPr>
        <w:t>。</w:t>
      </w:r>
    </w:p>
    <w:p>
      <w:pPr>
        <w:spacing w:line="560" w:lineRule="exact"/>
        <w:ind w:firstLine="643" w:firstLineChars="200"/>
        <w:jc w:val="both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val="en-US" w:eastAsia="zh-CN"/>
        </w:rPr>
        <w:t>（3）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</w:rPr>
        <w:t>排查化解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val="en-US" w:eastAsia="zh-CN"/>
        </w:rPr>
        <w:t>常态长效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</w:rPr>
        <w:t>。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eastAsia="zh-CN"/>
        </w:rPr>
        <w:t>持续开展矛盾纠纷大走访大排查大化解“三大”行动。努力将矛盾纠纷化解在基层，解决在萌芽状态，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坚持风险隐患排查月排查委会商和特护期重报告制度，全年开展了14次矛盾纠纷大排查，对排查出的问题按照“五包一”落实工作措施。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受理涉法涉诉信访案件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 xml:space="preserve"> 44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件，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排查出</w:t>
      </w: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  <w:t>楼盘业主维权</w:t>
      </w:r>
      <w:r>
        <w:rPr>
          <w:rFonts w:hint="eastAsia" w:ascii="仿宋_GB2312" w:hAnsi="Tahoma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u w:val="none"/>
          <w:lang w:val="en-US" w:eastAsia="zh-CN"/>
        </w:rPr>
        <w:t>等18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" w:eastAsia="仿宋_GB2312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信访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重点问题和23名重点人员，其中涉法涉诉信访有进京可能的人员9人，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都按照“三到位一处理”要求处理到位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进行司法救助30案30人，共35.2万元，均签订了息访息诉协议。开展涉稳风险评估，接受6家风险评估公司报备审查，组织开展了7次涉稳风险评估，涉稳风险评估实现了规范化，从源头降低涉稳风险。</w:t>
      </w:r>
    </w:p>
    <w:p>
      <w:pPr>
        <w:spacing w:line="560" w:lineRule="exact"/>
        <w:ind w:firstLine="643" w:firstLineChars="200"/>
        <w:jc w:val="both"/>
        <w:rPr>
          <w:rFonts w:hint="default" w:ascii="FangSong_GB2312" w:hAnsi="FangSong_GB2312" w:eastAsia="仿宋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val="en-US" w:eastAsia="zh-CN"/>
        </w:rPr>
        <w:t>（4）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</w:rPr>
        <w:t>服务民生扎实有效。</w:t>
      </w:r>
      <w:r>
        <w:rPr>
          <w:rFonts w:hint="eastAsia" w:ascii="仿宋_GB2312" w:hAnsi="楷体_GB2312" w:eastAsia="仿宋_GB2312" w:cs="楷体_GB2312"/>
          <w:spacing w:val="0"/>
          <w:sz w:val="32"/>
          <w:szCs w:val="32"/>
        </w:rPr>
        <w:t>针对执行难等群众关注的问题，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探索推进执法办案和执行工作“侦审执”一体化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成效明显，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得到了市委政法委的充分肯定。督促法院加强对生效判决案件的执行工作，对涉岳阳监狱系列案件开展了3个月执行攻坚行动，收到了良好的效果；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开展了“执行攻坚2023”专项行动，执结各类案件683件，结案率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88.5%，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全市领先</w:t>
      </w:r>
      <w:r>
        <w:rPr>
          <w:rFonts w:hint="eastAsia" w:ascii="仿宋_GB2312" w:hAnsi="楷体_GB2312" w:eastAsia="仿宋_GB2312" w:cs="楷体_GB2312"/>
          <w:spacing w:val="0"/>
          <w:sz w:val="32"/>
          <w:szCs w:val="32"/>
        </w:rPr>
        <w:t>。</w:t>
      </w:r>
      <w:r>
        <w:rPr>
          <w:rFonts w:hint="eastAsia" w:ascii="仿宋_GB2312" w:hAnsi="楷体_GB2312" w:eastAsia="仿宋_GB2312" w:cs="楷体_GB2312"/>
          <w:spacing w:val="0"/>
          <w:sz w:val="32"/>
          <w:szCs w:val="32"/>
          <w:lang w:val="en-US" w:eastAsia="zh-CN"/>
        </w:rPr>
        <w:t>以法律为准绳，倾情</w:t>
      </w:r>
      <w:r>
        <w:rPr>
          <w:rFonts w:hint="eastAsia" w:ascii="仿宋_GB2312" w:hAnsi="楷体_GB2312" w:eastAsia="仿宋_GB2312" w:cs="楷体_GB2312"/>
          <w:spacing w:val="0"/>
          <w:sz w:val="32"/>
          <w:szCs w:val="32"/>
        </w:rPr>
        <w:t>化解涉法涉诉案件26起，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涉法涉诉问题下降24.8%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开展民调反馈问题集中解决行动，积极向区委主要领导汇报，争取重视，对2022年度省市民调反馈我区问题和区领导集中走访收集的问题，由区平安办进行交办督办，共解决35个具体问题，群众反响很好。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29"/>
        <w:textAlignment w:val="auto"/>
        <w:rPr>
          <w:rFonts w:hint="eastAsia" w:ascii="KaiTi_GB2312" w:hAnsi="KaiTi_GB2312" w:eastAsia="KaiTi_GB2312" w:cs="KaiTi_GB2312"/>
          <w:b/>
          <w:bCs/>
          <w:sz w:val="32"/>
          <w:szCs w:val="32"/>
          <w:lang w:val="en-US" w:eastAsia="zh-CN"/>
        </w:rPr>
      </w:pPr>
      <w:r>
        <w:rPr>
          <w:rFonts w:hint="eastAsia" w:ascii="KaiTi_GB2312" w:hAnsi="KaiTi_GB2312" w:eastAsia="KaiTi_GB2312" w:cs="KaiTi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lang w:eastAsia="zh-CN"/>
        </w:rPr>
        <w:t>、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</w:rPr>
        <w:t>平安建设工作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lang w:val="en-US" w:eastAsia="zh-CN"/>
        </w:rPr>
        <w:t>扎实有效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736" w:firstLineChars="229"/>
        <w:textAlignment w:val="auto"/>
        <w:rPr>
          <w:rFonts w:hint="default" w:ascii="仿宋_GB2312" w:hAnsi="新宋体" w:eastAsia="仿宋_GB2312"/>
          <w:color w:val="000000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val="en-US" w:eastAsia="zh-CN"/>
        </w:rPr>
        <w:t>（1）齐</w:t>
      </w:r>
      <w:r>
        <w:rPr>
          <w:rFonts w:hint="eastAsia" w:ascii="FangSong_GB2312" w:hAnsi="FangSong_GB2312" w:eastAsia="FangSong_GB2312" w:cs="FangSong_GB2312"/>
          <w:b/>
          <w:bCs w:val="0"/>
          <w:sz w:val="32"/>
          <w:szCs w:val="32"/>
          <w:u w:val="none"/>
          <w:lang w:val="en-US" w:eastAsia="zh-CN"/>
        </w:rPr>
        <w:t>心协力抓公众安全感测评。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制定出台了《进一步提升全区公众安全感测评成绩的方案》《区“四大家”班子成员及相关区级领导巡逻督查日程安排》的通知等文件，开展了区级领导带班巡逻督查，对每次巡逻发现的问题形成交办函发至相关责任单位，督促相关职能部门及时高效进行整改，形成发现问题-交办问题-整改问题-反馈问题的机制，让群众看得到“平安”。以区级领导联乡镇（街道）、区直部门联村（社区）、各乡镇（街道)联村组、村组包干联户的模式引导群众积极参与，确保“四知”（知号码、知时间、知内容、知成效）、“四会”（会宣传、会走访、会引导、会回访）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2023年我区平安建设省民调得分94.07分，相比去年提高了0.13分，在全市七区排名第一。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_GB2312" w:hAnsi="新宋体" w:eastAsia="仿宋_GB2312"/>
          <w:color w:val="000000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 w:val="0"/>
          <w:kern w:val="2"/>
          <w:sz w:val="32"/>
          <w:szCs w:val="32"/>
          <w:u w:val="none"/>
          <w:lang w:val="en-US" w:eastAsia="zh-CN" w:bidi="ar-SA"/>
        </w:rPr>
        <w:t>（2）有序推进平安建设考评。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对照市平安办下发的考评细则，制定《2023年度君山区平安建设考评工作任务分解表》，将平安建设考评指标任务逐一梳理，逐项逐分明确考评责任单位、责任人和具体目标，并与单位的年终平安建设考评、绩效考核挂钩。从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12月开始，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由区委政法委副书记带队下到各镇（街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道）场和区直单位就政法重点工作开展情况进行走访，收集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当前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政法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工作中存在的主要问题及来年工作意见和建议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u w:val="none"/>
        </w:rPr>
      </w:pPr>
      <w:r>
        <w:rPr>
          <w:rFonts w:hint="eastAsia" w:ascii="FangSong_GB2312" w:hAnsi="FangSong_GB2312" w:eastAsia="FangSong_GB2312" w:cs="FangSong_GB2312"/>
          <w:b/>
          <w:kern w:val="2"/>
          <w:sz w:val="32"/>
          <w:szCs w:val="32"/>
          <w:u w:val="none"/>
          <w:lang w:val="en-US" w:eastAsia="zh-CN" w:bidi="ar-SA"/>
        </w:rPr>
        <w:t>（3）尽职尽责做好安保。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今年来，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圆满完成了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观鸟节、油菜花节、马拉松赛事、龙虾节、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荷花节、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全国及省市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“两会”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等重要安保任务，在每次安保任务前召开调度会，制定详细维稳安保方案，组织各部门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>勘测现场、线路、驻地，确保交通秩序良好，做到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了人员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>安全，保卫精准，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 w:cs="仿宋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KaiTi_GB2312" w:hAnsi="KaiTi_GB2312" w:eastAsia="KaiTi_GB2312" w:cs="KaiTi_GB2312"/>
          <w:b/>
          <w:bCs/>
          <w:sz w:val="32"/>
          <w:szCs w:val="32"/>
          <w:u w:val="none"/>
          <w:lang w:val="en-US" w:eastAsia="zh-CN"/>
        </w:rPr>
        <w:t>（4）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val="en-US" w:eastAsia="zh-CN"/>
        </w:rPr>
        <w:t>着力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eastAsia="zh-CN"/>
        </w:rPr>
        <w:t>防范化解社会治安风险。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成立涉险公共区域安全防护工作专班，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出台了《君山区涉险公共区域安全防护工作方案》，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组织全区各单位各部门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开展防溺水、防性侵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为重点的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安全教育活动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全力防范学生溺水事故、性侵案事件的发生。加强社会治安防范，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全面落实“打防管控建”措施，保持了报警、发案下降，破案、打击犯罪上升的“两降两升”的良好局面。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FangSong_GB2312" w:hAnsi="FangSong_GB2312" w:eastAsia="KaiTi_GB2312" w:cs="FangSong_GB2312"/>
          <w:b/>
          <w:sz w:val="32"/>
          <w:szCs w:val="32"/>
          <w:u w:val="none"/>
          <w:lang w:val="en-US" w:eastAsia="zh-CN"/>
        </w:rPr>
      </w:pPr>
      <w:r>
        <w:rPr>
          <w:rFonts w:hint="eastAsia" w:ascii="KaiTi_GB2312" w:hAnsi="KaiTi_GB2312" w:eastAsia="KaiTi_GB2312" w:cs="KaiTi_GB2312"/>
          <w:b/>
          <w:bCs/>
          <w:sz w:val="32"/>
          <w:szCs w:val="32"/>
          <w:u w:val="none"/>
          <w:lang w:val="en-US" w:eastAsia="zh-CN"/>
        </w:rPr>
        <w:t>3、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u w:val="none"/>
        </w:rPr>
        <w:t>社会治理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u w:val="none"/>
          <w:lang w:val="en-US" w:eastAsia="zh-CN"/>
        </w:rPr>
        <w:t>现代化试点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u w:val="none"/>
        </w:rPr>
        <w:t>工作</w:t>
      </w:r>
      <w:r>
        <w:rPr>
          <w:rFonts w:hint="eastAsia" w:ascii="KaiTi_GB2312" w:hAnsi="KaiTi_GB2312" w:eastAsia="KaiTi_GB2312" w:cs="KaiTi_GB2312"/>
          <w:b/>
          <w:bCs/>
          <w:sz w:val="32"/>
          <w:szCs w:val="32"/>
          <w:u w:val="none"/>
          <w:lang w:val="en-US" w:eastAsia="zh-CN"/>
        </w:rPr>
        <w:t>顺利验收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FangSong_GB2312" w:hAnsi="FangSong_GB2312" w:eastAsia="FangSong_GB2312" w:cs="FangSong_GB2312"/>
          <w:sz w:val="32"/>
          <w:szCs w:val="32"/>
          <w:u w:val="none"/>
        </w:rPr>
      </w:pP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b/>
          <w:sz w:val="32"/>
          <w:szCs w:val="32"/>
          <w:u w:val="none"/>
          <w:lang w:eastAsia="zh-CN"/>
        </w:rPr>
        <w:t>）发挥线上平台作用。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充分发挥“三调联动”平台作用，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聚力打造专业智能化平台，将各部门政务系统资源集中向网格化平台整合，实现全区社会管理治理事件的统一上报、集中分析、分类处置，今年来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在省综治信息系统平台上，上传了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1005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条社会治理创新工作情况内容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eastAsia="zh-CN"/>
        </w:rPr>
        <w:t>，包括部署推动、文件制定、调研简报、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媒体推介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eastAsia="zh-CN"/>
        </w:rPr>
        <w:t>等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  <w:lang w:val="en-US" w:eastAsia="zh-CN"/>
        </w:rPr>
        <w:t>各类信息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FangSong_GB2312" w:hAnsi="KaiTi_GB2312" w:eastAsia="FangSong_GB2312" w:cs="KaiTi_GB2312"/>
          <w:b/>
          <w:bCs/>
          <w:sz w:val="32"/>
          <w:szCs w:val="32"/>
          <w:u w:val="none"/>
          <w:lang w:val="en-US" w:eastAsia="zh-CN"/>
        </w:rPr>
        <w:t>（2）高效推进“群英断是非”工作法。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推进“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群英断是非”“政法微周刊”工作，大力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督促区直单位全部下到村（社区）指导开展“群英断是非”工作，成立了区、镇、村三级“群英”队伍，将78名老党员、158名群众、55名调解能手纳入“群英库”，夯实队伍基础；</w:t>
      </w:r>
      <w:r>
        <w:rPr>
          <w:rFonts w:ascii="仿宋" w:hAnsi="仿宋" w:eastAsia="仿宋"/>
          <w:sz w:val="32"/>
          <w:szCs w:val="32"/>
          <w:u w:val="none"/>
        </w:rPr>
        <w:t>用活“群英断是非”工作法，深入推进诉源治理工作，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化解各类矛盾纠纷347件。同时，落实片组邻“三长制”，推行“邻里说事”等机制，抓实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许市镇的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屋场恳谈会、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广兴洲镇的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沿江夜话、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柳林洲街道的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濠河夜谈和邻里共治乡村治理新模式，激活了基层社会治理的“一池春水”。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default" w:ascii="KaiTi_GB2312" w:hAnsi="KaiTi_GB2312" w:eastAsia="KaiTi_GB2312" w:cs="KaiTi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KaiTi_GB2312" w:hAnsi="KaiTi_GB2312" w:eastAsia="KaiTi_GB2312" w:cs="KaiTi_GB2312"/>
          <w:b/>
          <w:bCs/>
          <w:kern w:val="2"/>
          <w:sz w:val="32"/>
          <w:szCs w:val="32"/>
          <w:u w:val="none"/>
          <w:lang w:val="en-US" w:eastAsia="zh-CN" w:bidi="ar-SA"/>
        </w:rPr>
        <w:t>4、走访调研走深走实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KaiTi_GB2312" w:eastAsia="FangSong_GB2312" w:cs="KaiTi_GB2312"/>
          <w:b/>
          <w:bCs/>
          <w:sz w:val="32"/>
          <w:szCs w:val="32"/>
          <w:u w:val="none"/>
          <w:lang w:val="en-US" w:eastAsia="zh-CN"/>
        </w:rPr>
        <w:t>（1）充分调动乡镇政法委员作用，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按照“1+1+2”（即一名副书记联一乡镇、两个基层政法单位）的模式，定期到所联单位开展政法工作走访，及时指出工作中存在的问题，同时收集基层单位反映的问题，既做到上下互通有无，也推动乡镇政法委员积极履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KaiTi_GB2312" w:eastAsia="FangSong_GB2312" w:cs="KaiTi_GB2312"/>
          <w:b/>
          <w:bCs/>
          <w:sz w:val="32"/>
          <w:szCs w:val="32"/>
          <w:u w:val="none"/>
          <w:lang w:val="en-US" w:eastAsia="zh-CN"/>
        </w:rPr>
        <w:t>（2）定期开展政法工作形势分析，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每季度组织镇（街道）、区平安建设领导小组成员单位召开形势分析会，通过认真研判目前存在的突出问题，提出针对性的解决方案，并每季度向区委主要领导和常委会汇报工作情况和形势研判，使全区形成上下“一盘棋”，确保全区政法工作有序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KaiTi_GB2312" w:eastAsia="FangSong_GB2312" w:cs="KaiTi_GB2312"/>
          <w:b/>
          <w:bCs/>
          <w:sz w:val="32"/>
          <w:szCs w:val="32"/>
          <w:u w:val="none"/>
          <w:lang w:val="en-US" w:eastAsia="zh-CN"/>
        </w:rPr>
        <w:t>（3）加强对政法机关的统筹协调，①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组织开展政治轮训、推进平安建设、常态化扫黑除恶、社会治理现代化、重点案件协调等工作。②以《政法工作条例》为指导，统筹协调政法各单位以政法委为中心，确保君山政法队伍建设成为一支信念坚定、执法为民、敢于担当、清正廉洁的新时代政法队伍。2023年共开展“1+1+2”走访调研活动12次108人次，收集问题22件，已全部推动解决；共召开政法工作形势分析会3次，向区委主要领导和常委会汇报6次；政法单位向政法委报告各类事项69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因部分工作不可预见性，有些支出无法纳入预算，导致预算执行存在偏差。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2、部门预算的精细准有待进一步完善。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对预算绩效管理知识的学习存在局限性，预算绩效管理的合理性、科学性还需加强。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、提高对预算绩效管理的认识，充分理解财政绩效评价指标体系，注重绩效目标、评价指标的关联性，依据部门职责和年度工作重点，更加科学合理地确定部门绩效目标和评价目标。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、强化全过程预算绩效管理理念，强化部门项目选择与部门职责的相关性。按财政管理要求进一步建立完善项目库和内部项目选择机制，完善项目管理制度，实施项目事加强领导重视，合理设定绩效目标，强化管理措施，科学编制预算,认真组织绩效考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3、建立科学合理的项目预算效果考核机制，依据预设的绩效数量、质量指标全面衡量预算实施效果，既重“绩”，更重“效”。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4、注重考核的全面性和客观性，对预设指标之外的项目同样纳入考核评价报告。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100.6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337.67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337.67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政法专项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208.86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17.46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73"/>
        <w:gridCol w:w="1718"/>
        <w:gridCol w:w="1312"/>
        <w:gridCol w:w="1350"/>
        <w:gridCol w:w="660"/>
        <w:gridCol w:w="705"/>
        <w:gridCol w:w="1101"/>
      </w:tblGrid>
      <w:tr>
        <w:trPr>
          <w:trHeight w:val="5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中共岳阳市君山区委政法委员会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461.28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734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734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734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38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其中：基本支出：316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项目支出：417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推行预算绩效管理，强化对资金使用情况的预算约束和监督，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瞄准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部门职责，积极推动各项工作任务的落实见效，提高财政资金的作用效能，促进管理效能的大力提升。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扎实推进维护社会稳定、平安建设，社会治理现代化、政法队伍建设等工作，实现了全区没有发生重大群体性事件，没有发生重大刑事治安案件，连续15年保持了省平安县市区称号。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FangSong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发放反邪防邪宣传资料、对重点人员实施监控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8000份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8500份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大走访大排查大化解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开展平安考评及公众安全感测评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2个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涉邪事件发案率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1%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排查矛盾处置率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计划时间完成任务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任务支出不超过预算批复金额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734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734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维护社会公平正义，确保社会平安稳定，助推经济发展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全体人民感受到幸福快乐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确保社会平安稳定，推进生态环境改善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推进平安、法治君山建设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101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8"/>
        <w:gridCol w:w="1038"/>
        <w:gridCol w:w="1476"/>
        <w:gridCol w:w="1222"/>
        <w:gridCol w:w="1253"/>
        <w:gridCol w:w="675"/>
        <w:gridCol w:w="825"/>
        <w:gridCol w:w="1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9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政法专项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中共岳阳市君山区委政法委员会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中共岳阳市君山区委政法委员会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加强重点人员监控，维护社会稳定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资金拨付到位，稳控工作已完成，我区连续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15年保持了省平安县市区称号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加强涉政重点人员稳控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防范恐怖袭击，对重点目标排查督导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3轮次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3轮次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反邪防邪，对宗教场所进行全面清查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38个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38个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稳控率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事故率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清查率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在计划时间里完成任务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2023.12.31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2023.12.31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80万元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80万元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平安社会建设，服务经济发展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平安社会建设，营造和谐社会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平安社会建设，确保生态环境改善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平安社会建设，助推经济发展，社会和谐，环境改善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157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55167"/>
    <w:multiLevelType w:val="singleLevel"/>
    <w:tmpl w:val="A5E5516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5036FE"/>
    <w:multiLevelType w:val="singleLevel"/>
    <w:tmpl w:val="425036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0490DB"/>
    <w:multiLevelType w:val="singleLevel"/>
    <w:tmpl w:val="7F049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F66692C"/>
    <w:multiLevelType w:val="singleLevel"/>
    <w:tmpl w:val="7F6669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WIzYzk1MWM3N2I3MjEzZjQ5NzNmYzQ5ZWNlZGYifQ=="/>
  </w:docVars>
  <w:rsids>
    <w:rsidRoot w:val="59886344"/>
    <w:rsid w:val="005C088A"/>
    <w:rsid w:val="0061443A"/>
    <w:rsid w:val="00864D8D"/>
    <w:rsid w:val="00E71A01"/>
    <w:rsid w:val="00F57038"/>
    <w:rsid w:val="02146522"/>
    <w:rsid w:val="03585F5D"/>
    <w:rsid w:val="0368705F"/>
    <w:rsid w:val="03E40645"/>
    <w:rsid w:val="05F16DA0"/>
    <w:rsid w:val="067D155B"/>
    <w:rsid w:val="072A0D5E"/>
    <w:rsid w:val="08D531AA"/>
    <w:rsid w:val="0A0718F5"/>
    <w:rsid w:val="0A23066B"/>
    <w:rsid w:val="0B521208"/>
    <w:rsid w:val="0BD0037E"/>
    <w:rsid w:val="0BD07CC1"/>
    <w:rsid w:val="0F29227F"/>
    <w:rsid w:val="0F712EC6"/>
    <w:rsid w:val="0FC41FA8"/>
    <w:rsid w:val="101F6442"/>
    <w:rsid w:val="104073FF"/>
    <w:rsid w:val="12D32267"/>
    <w:rsid w:val="13D670D0"/>
    <w:rsid w:val="13DA2702"/>
    <w:rsid w:val="1405311A"/>
    <w:rsid w:val="172B2124"/>
    <w:rsid w:val="172D2B29"/>
    <w:rsid w:val="17AD2D85"/>
    <w:rsid w:val="17DC7904"/>
    <w:rsid w:val="18096877"/>
    <w:rsid w:val="18A72D74"/>
    <w:rsid w:val="192E77AB"/>
    <w:rsid w:val="198A7D37"/>
    <w:rsid w:val="1CA83CAE"/>
    <w:rsid w:val="1CA92FCC"/>
    <w:rsid w:val="1D61249D"/>
    <w:rsid w:val="1DD737EE"/>
    <w:rsid w:val="1E284F2F"/>
    <w:rsid w:val="1ECA401E"/>
    <w:rsid w:val="1F417171"/>
    <w:rsid w:val="1F9C4CF0"/>
    <w:rsid w:val="1F9F20EA"/>
    <w:rsid w:val="1FE411A4"/>
    <w:rsid w:val="20717F2A"/>
    <w:rsid w:val="20F87A39"/>
    <w:rsid w:val="216B6728"/>
    <w:rsid w:val="2192231E"/>
    <w:rsid w:val="21B05AC2"/>
    <w:rsid w:val="22E32006"/>
    <w:rsid w:val="24BE2C1C"/>
    <w:rsid w:val="27CB7F20"/>
    <w:rsid w:val="283F1A68"/>
    <w:rsid w:val="292C7FA1"/>
    <w:rsid w:val="2A100353"/>
    <w:rsid w:val="2A450AA9"/>
    <w:rsid w:val="2A8D3BB3"/>
    <w:rsid w:val="2B0F3E96"/>
    <w:rsid w:val="2BAA0E41"/>
    <w:rsid w:val="2D410C84"/>
    <w:rsid w:val="2D4657EE"/>
    <w:rsid w:val="2F0E4B96"/>
    <w:rsid w:val="2F2045CC"/>
    <w:rsid w:val="31C9380E"/>
    <w:rsid w:val="320B53DF"/>
    <w:rsid w:val="321D3FE2"/>
    <w:rsid w:val="32C548F8"/>
    <w:rsid w:val="334509C4"/>
    <w:rsid w:val="34EE49C0"/>
    <w:rsid w:val="35CF5E74"/>
    <w:rsid w:val="38C118F0"/>
    <w:rsid w:val="3B23785C"/>
    <w:rsid w:val="3C156456"/>
    <w:rsid w:val="3C2C64D2"/>
    <w:rsid w:val="3CB537CF"/>
    <w:rsid w:val="3CF73497"/>
    <w:rsid w:val="3D070645"/>
    <w:rsid w:val="3E9B4D67"/>
    <w:rsid w:val="3F696B11"/>
    <w:rsid w:val="40F273ED"/>
    <w:rsid w:val="41B63929"/>
    <w:rsid w:val="41F76A00"/>
    <w:rsid w:val="42182D4E"/>
    <w:rsid w:val="427C2F78"/>
    <w:rsid w:val="42907FB1"/>
    <w:rsid w:val="43B151C2"/>
    <w:rsid w:val="440920A4"/>
    <w:rsid w:val="440B0BF3"/>
    <w:rsid w:val="44182F4F"/>
    <w:rsid w:val="44401EAB"/>
    <w:rsid w:val="4441183E"/>
    <w:rsid w:val="445265DF"/>
    <w:rsid w:val="44930287"/>
    <w:rsid w:val="453E5D7D"/>
    <w:rsid w:val="45557FD1"/>
    <w:rsid w:val="458D5615"/>
    <w:rsid w:val="45DE6DF0"/>
    <w:rsid w:val="47F62B74"/>
    <w:rsid w:val="4829354E"/>
    <w:rsid w:val="48770C66"/>
    <w:rsid w:val="497F0684"/>
    <w:rsid w:val="49A50F0B"/>
    <w:rsid w:val="49C65963"/>
    <w:rsid w:val="49FF2520"/>
    <w:rsid w:val="4A747320"/>
    <w:rsid w:val="4B9C166F"/>
    <w:rsid w:val="4C404189"/>
    <w:rsid w:val="4C650674"/>
    <w:rsid w:val="4EC87298"/>
    <w:rsid w:val="503F0BFC"/>
    <w:rsid w:val="5089260D"/>
    <w:rsid w:val="530D4FE1"/>
    <w:rsid w:val="540612DD"/>
    <w:rsid w:val="54326440"/>
    <w:rsid w:val="54622945"/>
    <w:rsid w:val="55171D5C"/>
    <w:rsid w:val="55215252"/>
    <w:rsid w:val="55241353"/>
    <w:rsid w:val="56EE3E47"/>
    <w:rsid w:val="570F7BE9"/>
    <w:rsid w:val="577354C1"/>
    <w:rsid w:val="57EA583A"/>
    <w:rsid w:val="57F152A0"/>
    <w:rsid w:val="58393127"/>
    <w:rsid w:val="59886344"/>
    <w:rsid w:val="59BB0154"/>
    <w:rsid w:val="5A4802D8"/>
    <w:rsid w:val="5AF440A0"/>
    <w:rsid w:val="5B0A331F"/>
    <w:rsid w:val="5B192C82"/>
    <w:rsid w:val="5B411CCC"/>
    <w:rsid w:val="5B950730"/>
    <w:rsid w:val="5C1263A3"/>
    <w:rsid w:val="5D1F428F"/>
    <w:rsid w:val="5DCB2D35"/>
    <w:rsid w:val="5E8C14B0"/>
    <w:rsid w:val="5EE144F9"/>
    <w:rsid w:val="607D37A6"/>
    <w:rsid w:val="61007BC1"/>
    <w:rsid w:val="61045C75"/>
    <w:rsid w:val="619E0691"/>
    <w:rsid w:val="62D378CB"/>
    <w:rsid w:val="63202106"/>
    <w:rsid w:val="63C60FC0"/>
    <w:rsid w:val="6410048D"/>
    <w:rsid w:val="64CF6C8F"/>
    <w:rsid w:val="66524D8D"/>
    <w:rsid w:val="674F6FAE"/>
    <w:rsid w:val="68DD5D2B"/>
    <w:rsid w:val="6A7B3442"/>
    <w:rsid w:val="6B99345E"/>
    <w:rsid w:val="6C303DC2"/>
    <w:rsid w:val="6CA97D11"/>
    <w:rsid w:val="6CC938CF"/>
    <w:rsid w:val="6D107750"/>
    <w:rsid w:val="6D166331"/>
    <w:rsid w:val="6D800432"/>
    <w:rsid w:val="6E705326"/>
    <w:rsid w:val="6EBC4974"/>
    <w:rsid w:val="6EC01A4C"/>
    <w:rsid w:val="6F0B01CF"/>
    <w:rsid w:val="6F0D3B6F"/>
    <w:rsid w:val="6F41220A"/>
    <w:rsid w:val="6F522C07"/>
    <w:rsid w:val="70F133F4"/>
    <w:rsid w:val="71973F9C"/>
    <w:rsid w:val="73102258"/>
    <w:rsid w:val="73BF6C6B"/>
    <w:rsid w:val="749B3DA3"/>
    <w:rsid w:val="74EC4E86"/>
    <w:rsid w:val="758D6016"/>
    <w:rsid w:val="767D7DFF"/>
    <w:rsid w:val="768770CB"/>
    <w:rsid w:val="7728263E"/>
    <w:rsid w:val="77E67A2B"/>
    <w:rsid w:val="79183277"/>
    <w:rsid w:val="79607369"/>
    <w:rsid w:val="798C015E"/>
    <w:rsid w:val="7A5614FA"/>
    <w:rsid w:val="7B163415"/>
    <w:rsid w:val="7BA43AC1"/>
    <w:rsid w:val="7C7D6B26"/>
    <w:rsid w:val="7C9150AE"/>
    <w:rsid w:val="7D207D82"/>
    <w:rsid w:val="7F2A13E6"/>
    <w:rsid w:val="7F343489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next w:val="8"/>
    <w:autoRedefine/>
    <w:qFormat/>
    <w:uiPriority w:val="0"/>
    <w:pPr>
      <w:textAlignment w:val="baseline"/>
    </w:pPr>
    <w:rPr>
      <w:rFonts w:ascii="仿宋_GB2312" w:hAnsi="仿宋_GB2312" w:eastAsia="仿宋_GB2312"/>
      <w:sz w:val="32"/>
      <w:szCs w:val="32"/>
      <w:lang w:val="zh-CN" w:bidi="zh-CN"/>
    </w:rPr>
  </w:style>
  <w:style w:type="paragraph" w:customStyle="1" w:styleId="8">
    <w:name w:val="BodyText1I"/>
    <w:basedOn w:val="7"/>
    <w:autoRedefine/>
    <w:qFormat/>
    <w:uiPriority w:val="0"/>
    <w:pPr>
      <w:ind w:firstLine="420" w:firstLineChars="100"/>
      <w:textAlignment w:val="baseline"/>
    </w:pPr>
    <w:rPr>
      <w:rFonts w:ascii="仿宋_GB2312" w:hAnsi="仿宋_GB2312" w:eastAsia="仿宋_GB2312" w:cs="宋体"/>
      <w:sz w:val="32"/>
      <w:szCs w:val="32"/>
      <w:lang w:val="zh-CN" w:bidi="zh-CN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6619</Words>
  <Characters>7076</Characters>
  <Lines>0</Lines>
  <Paragraphs>0</Paragraphs>
  <TotalTime>0</TotalTime>
  <ScaleCrop>false</ScaleCrop>
  <LinksUpToDate>false</LinksUpToDate>
  <CharactersWithSpaces>7524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Mr.1.689小姐</cp:lastModifiedBy>
  <dcterms:modified xsi:type="dcterms:W3CDTF">2024-07-01T01:17:08Z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12C804FB5DC74582993175EDEB038DA2_13</vt:lpwstr>
  </property>
</Properties>
</file>