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岳阳市君山区人民政府办公室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岳阳市君山区人民政府办公室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（单位）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岳阳市君山区人民政府办公室（以下简称区政府办）是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的办事机构，是协助区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领导同志处理区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日常工作的机构，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其职能职责为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1.协助区人民政府领导组织起草或审核以区人民政府、区人民政府办公室名义发布的公文。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2.受理并研究区人民政府各部门和各镇（办事处）、场请示区人民政府的事项，提出审核意见；对区人民政府部门间的分歧事项提出处理意见，报区人民政府领导决定。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负责区人民政府会议的筹备工作，协助区人民政府领导同志组织实施会议决定事项；根据区人民政府领导的指示和区人民政府的工作部署，对涉及全区经济建设、社会发展和改革开放等全局性工作的重大课题进行调查研究，及时反映情况，提出建议；收集、整理、传递政务信息，为区人民政府领导决策和指导工作提供信息服务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督促检查区人民政府各部门和各镇（办事处）、场对区人民政府公文、区人民政府决定事项及区政府领导有关指示的贯彻落实情况，及时向区人民政府领导报告；负责组织对区人民政府系统年度工作目标的制定、进度督查和年度绩效评估工作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5.负责区人民政府日常值班工作，及时报告重要情况，传达和督促落实区人民政府领导指示, 协助区人民政府领导组织处理紧急事件。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6.负责金融证券市场管理职责。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7.负责组织、协调、指导本行政区域内的禁毒宣传教育工作。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8.负责组织督促政府相关部门办理区人大、区政协转交区政府的人大代表建议、政协提案，办理市政府转交的省市代表建议、政协提案。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9.承办区委、区人民政府交办的其他事项。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（二）机构设置与人员情况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区政府办内设机构7个，分别是：秘书室(加挂值班室牌子)、法制室、行政室、督查室、网络技术室、优化办、金融办。事业单位：岳阳市君山区经济研究中心、君山区政府经济协作事务中心。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95人，其中：在职人员41人，离退休人员54人。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单位绩效目标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整体支出绩效目标：积极推行预算绩效管理，强化对资金使用情况的预算约束和监督，瞄准部门职责，紧扣“1236”工作思路，强化措施、精准发力，全力抓好参谋辅政、决策执行、协调服务等工作，圆满完成全年工作任务，提高了财政资金使用绩效，促进了管理效能提升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绩效目标：高质量完成调查研究课题；为区政府提供有价值参考，督促做好环境问题整治、居民自建房屋安全隐患排查整治、禁捕退捕、乡村振兴、水产养殖污染治理、燃气安全等方面；就热点、难点及文件要求开展调研，既要保证调研次数、每次还要撰写调研报告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预算资金1703.08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1648.08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项目支出55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。全年实际支出1703.08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1648.08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项目支出55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。预算执行率100%。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1648.08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万元，其中人员经费1233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万元，公用经费414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49万元。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　2023年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区政府办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项目支出55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。主要是本部门为完成特定工作任务或事业发展目标而发生的支出，包括有关事业发展专项、专项业务费、基本建设支出等，含业务工作经费、政府办专项经费等项目支出。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区政府办无此项支出。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区政府办无此项支出。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区政府办无此项支出。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严格执行预算，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财务管理规范，各项工作任务全面完成，单位行政运行稳定有序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部门整体支出绩效自评得分98分。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（二）履职产出效益方面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认真履行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部门职责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履职情况如下：</w:t>
      </w:r>
    </w:p>
    <w:p>
      <w:pPr>
        <w:widowControl w:val="0"/>
        <w:spacing w:line="560" w:lineRule="exact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24"/>
          <w:lang w:val="en-US" w:eastAsia="zh-CN"/>
        </w:rPr>
        <w:t>1、</w:t>
      </w:r>
      <w:r>
        <w:rPr>
          <w:rFonts w:hint="eastAsia" w:ascii="楷体_GB2312" w:eastAsia="楷体_GB2312"/>
          <w:b/>
          <w:sz w:val="32"/>
          <w:szCs w:val="24"/>
        </w:rPr>
        <w:t>政务服务水平</w:t>
      </w:r>
      <w:r>
        <w:rPr>
          <w:rFonts w:hint="eastAsia" w:ascii="楷体_GB2312" w:eastAsia="楷体_GB2312"/>
          <w:b/>
          <w:sz w:val="32"/>
          <w:szCs w:val="24"/>
          <w:lang w:eastAsia="zh-CN"/>
        </w:rPr>
        <w:t>持续提升</w:t>
      </w:r>
      <w:r>
        <w:rPr>
          <w:rFonts w:hint="eastAsia" w:ascii="楷体_GB2312" w:eastAsia="楷体_GB2312"/>
          <w:b/>
          <w:sz w:val="32"/>
          <w:szCs w:val="24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严把行文、运转、审批关，全年办理各类文件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1693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件，接收、传阅各种公文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80件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撰写审核重要会议纪要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严格落实精简文件，按照公文报批程序办文，统筹协调议事机构合并行文，全年以区政府和区政府办名义发文36件，精简类文件同比减少14%。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认真筹划大小会务，全年组织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筹备各类会议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下发各类会议通知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，倡导开短会、讲短话，严控发言时长，相较往年会议用时平均减少10％以上。</w:t>
      </w:r>
      <w:r>
        <w:rPr>
          <w:rFonts w:hint="eastAsia" w:ascii="仿宋_GB2312" w:eastAsia="仿宋_GB2312"/>
          <w:sz w:val="32"/>
          <w:szCs w:val="24"/>
        </w:rPr>
        <w:t>调查研究、文稿起草等重点工作坚持高标准、严要求、做细活、出精品，</w:t>
      </w:r>
      <w:r>
        <w:rPr>
          <w:rFonts w:hint="eastAsia" w:ascii="仿宋_GB2312" w:hAnsi="仿宋" w:eastAsia="仿宋_GB2312"/>
          <w:sz w:val="32"/>
          <w:szCs w:val="24"/>
        </w:rPr>
        <w:t>先后组织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撰写《关于君山区物流产业发展的调研报告》《关于君山区天然气价格的调研报告》《关于君山产业开发区企业用水情况调研报告》《关于君山城区自来水提质改造的调研报告》等8篇</w:t>
      </w:r>
      <w:r>
        <w:rPr>
          <w:rFonts w:hint="eastAsia" w:ascii="仿宋_GB2312" w:hAnsi="仿宋" w:eastAsia="仿宋_GB2312"/>
          <w:sz w:val="32"/>
          <w:szCs w:val="24"/>
        </w:rPr>
        <w:t>调研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报告</w:t>
      </w:r>
      <w:r>
        <w:rPr>
          <w:rFonts w:hint="eastAsia" w:ascii="仿宋_GB2312" w:hAnsi="仿宋" w:eastAsia="仿宋_GB2312"/>
          <w:sz w:val="32"/>
          <w:szCs w:val="24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同时</w:t>
      </w:r>
      <w:r>
        <w:rPr>
          <w:rFonts w:hint="eastAsia" w:ascii="仿宋_GB2312" w:hAnsi="仿宋" w:eastAsia="仿宋_GB2312" w:cs="Times New Roman"/>
          <w:sz w:val="32"/>
          <w:szCs w:val="24"/>
          <w:lang w:val="en-US" w:eastAsia="zh-CN"/>
        </w:rPr>
        <w:t>，积极配合第二批主题教育活动开展，陪同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区政府领导深入基层一线调研，围绕10个课题认真组织撰写调研报告</w:t>
      </w:r>
      <w:r>
        <w:rPr>
          <w:rFonts w:hint="eastAsia" w:ascii="仿宋_GB2312" w:eastAsia="仿宋_GB2312"/>
          <w:sz w:val="32"/>
          <w:szCs w:val="24"/>
          <w:lang w:eastAsia="zh-CN"/>
        </w:rPr>
        <w:t>。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认真</w:t>
      </w:r>
      <w:r>
        <w:rPr>
          <w:rFonts w:hint="eastAsia" w:ascii="仿宋_GB2312" w:hAnsi="仿宋" w:eastAsia="仿宋_GB2312"/>
          <w:sz w:val="32"/>
          <w:szCs w:val="24"/>
        </w:rPr>
        <w:t>完成了20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24"/>
        </w:rPr>
        <w:t>年度</w:t>
      </w:r>
      <w:r>
        <w:rPr>
          <w:rFonts w:hint="eastAsia" w:ascii="仿宋_GB2312" w:hAnsi="仿宋" w:eastAsia="仿宋_GB2312"/>
          <w:sz w:val="32"/>
          <w:szCs w:val="24"/>
          <w:lang w:eastAsia="zh-CN"/>
        </w:rPr>
        <w:t>《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区</w:t>
      </w:r>
      <w:r>
        <w:rPr>
          <w:rFonts w:hint="eastAsia" w:ascii="仿宋_GB2312" w:hAnsi="仿宋" w:eastAsia="仿宋_GB2312"/>
          <w:sz w:val="32"/>
          <w:szCs w:val="24"/>
        </w:rPr>
        <w:t>政府工作报告</w:t>
      </w:r>
      <w:r>
        <w:rPr>
          <w:rFonts w:hint="eastAsia" w:ascii="仿宋_GB2312" w:hAnsi="仿宋" w:eastAsia="仿宋_GB2312"/>
          <w:sz w:val="32"/>
          <w:szCs w:val="24"/>
          <w:lang w:eastAsia="zh-CN"/>
        </w:rPr>
        <w:t>》，</w:t>
      </w:r>
      <w:r>
        <w:rPr>
          <w:rFonts w:hint="eastAsia" w:ascii="仿宋_GB2312" w:hAnsi="仿宋" w:eastAsia="仿宋_GB2312"/>
          <w:sz w:val="32"/>
          <w:szCs w:val="24"/>
        </w:rPr>
        <w:t>经济形势分析会、全区党政负责干部会</w:t>
      </w:r>
      <w:r>
        <w:rPr>
          <w:rFonts w:hint="eastAsia" w:ascii="仿宋_GB2312" w:hAnsi="仿宋" w:eastAsia="仿宋_GB2312" w:cs="Times New Roman"/>
          <w:sz w:val="32"/>
          <w:szCs w:val="32"/>
        </w:rPr>
        <w:t>等会议上区政府领导报告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等大</w:t>
      </w:r>
      <w:r>
        <w:rPr>
          <w:rFonts w:hint="eastAsia" w:ascii="仿宋_GB2312" w:hAnsi="仿宋" w:eastAsia="仿宋_GB2312" w:cs="Times New Roman"/>
          <w:sz w:val="32"/>
          <w:szCs w:val="24"/>
          <w:lang w:eastAsia="zh-CN"/>
        </w:rPr>
        <w:t>型材料</w:t>
      </w:r>
      <w:r>
        <w:rPr>
          <w:rFonts w:hint="eastAsia" w:ascii="仿宋_GB2312" w:hAnsi="仿宋" w:eastAsia="仿宋_GB2312" w:cs="Times New Roman"/>
          <w:sz w:val="32"/>
          <w:szCs w:val="24"/>
          <w:lang w:val="en-US" w:eastAsia="zh-CN"/>
        </w:rPr>
        <w:t>60</w:t>
      </w:r>
      <w:r>
        <w:rPr>
          <w:rFonts w:hint="eastAsia" w:ascii="仿宋_GB2312" w:hAnsi="仿宋" w:eastAsia="仿宋_GB2312" w:cs="Times New Roman"/>
          <w:sz w:val="32"/>
          <w:szCs w:val="24"/>
        </w:rPr>
        <w:t>多篇</w:t>
      </w:r>
      <w:r>
        <w:rPr>
          <w:rFonts w:hint="eastAsia" w:ascii="仿宋_GB2312" w:hAnsi="仿宋" w:eastAsia="仿宋_GB2312" w:cs="Times New Roman"/>
          <w:sz w:val="32"/>
          <w:szCs w:val="24"/>
          <w:lang w:eastAsia="zh-CN"/>
        </w:rPr>
        <w:t>。起草和把关一般类领导讲话、理论文章、汇报材料、政府文件、工作方案等各类文稿330余篇，近80余万字。</w:t>
      </w:r>
    </w:p>
    <w:p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24"/>
          <w:lang w:val="en-US" w:eastAsia="zh-CN"/>
        </w:rPr>
        <w:t>2、</w:t>
      </w:r>
      <w:r>
        <w:rPr>
          <w:rFonts w:hint="eastAsia" w:ascii="楷体_GB2312" w:eastAsia="楷体_GB2312"/>
          <w:b/>
          <w:sz w:val="32"/>
          <w:szCs w:val="24"/>
        </w:rPr>
        <w:t>督促工作落实</w:t>
      </w:r>
      <w:r>
        <w:rPr>
          <w:rFonts w:hint="eastAsia" w:ascii="楷体_GB2312" w:eastAsia="楷体_GB2312"/>
          <w:b/>
          <w:sz w:val="32"/>
          <w:szCs w:val="24"/>
          <w:lang w:val="en-US" w:eastAsia="zh-CN"/>
        </w:rPr>
        <w:t>始终</w:t>
      </w:r>
      <w:r>
        <w:rPr>
          <w:rFonts w:hint="eastAsia" w:ascii="楷体_GB2312" w:eastAsia="楷体_GB2312"/>
          <w:b/>
          <w:sz w:val="32"/>
          <w:szCs w:val="24"/>
          <w:lang w:eastAsia="zh-CN"/>
        </w:rPr>
        <w:t>有力</w:t>
      </w:r>
      <w:r>
        <w:rPr>
          <w:rFonts w:hint="eastAsia" w:ascii="楷体_GB2312" w:eastAsia="楷体_GB2312"/>
          <w:b/>
          <w:sz w:val="32"/>
          <w:szCs w:val="24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严格开展政务督查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突出环境问题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、禁捕退捕、乡村振兴、燃气安全、</w:t>
      </w:r>
      <w:r>
        <w:rPr>
          <w:rFonts w:hint="eastAsia" w:ascii="仿宋_GB2312" w:hAnsi="仿宋" w:eastAsia="仿宋_GB2312"/>
          <w:sz w:val="32"/>
          <w:szCs w:val="24"/>
        </w:rPr>
        <w:t>优化营商环境等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开展</w:t>
      </w:r>
      <w:r>
        <w:rPr>
          <w:rFonts w:hint="eastAsia" w:ascii="仿宋_GB2312" w:hAnsi="仿宋" w:eastAsia="仿宋_GB2312"/>
          <w:sz w:val="32"/>
          <w:szCs w:val="24"/>
        </w:rPr>
        <w:t>专项督查</w:t>
      </w:r>
      <w:r>
        <w:rPr>
          <w:rFonts w:hint="eastAsia" w:ascii="仿宋_GB2312" w:hAnsi="仿宋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24"/>
        </w:rPr>
        <w:t>对不重视、不落实、效果差的单位予以通报批评，压实各级各部门责任</w:t>
      </w:r>
      <w:r>
        <w:rPr>
          <w:rFonts w:hint="eastAsia" w:ascii="仿宋_GB2312" w:hAnsi="仿宋" w:eastAsia="仿宋_GB2312"/>
          <w:sz w:val="32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此外，要求区禁毒办深入开展打击毒品专项行动，协助公安分局破案15起，查处吸毒人员108人，最大程度遏制了毒品蔓延趋势。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全年组织开展督查52次，印发督查通报</w:t>
      </w:r>
      <w:r>
        <w:rPr>
          <w:rFonts w:hint="default" w:ascii="ￋￎￌ￥" w:hAnsi="仿宋_GB2312" w:eastAsia="ￋￎￌ￥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期，下发督办函10件；省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市区26件民生实事</w:t>
      </w:r>
      <w:r>
        <w:rPr>
          <w:rFonts w:hint="eastAsia" w:ascii="仿宋_GB2312" w:hAnsi="仿宋_GB2312" w:eastAsia="仿宋_GB2312" w:cs="仿宋_GB2312"/>
          <w:sz w:val="32"/>
          <w:szCs w:val="32"/>
        </w:rPr>
        <w:t>已全部完成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连续七年获省市先进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。扎实办理建议提案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全年办理人大代表建议、议案</w:t>
      </w:r>
      <w:r>
        <w:rPr>
          <w:rFonts w:hint="default" w:ascii="ￋￎￌ￥" w:hAnsi="仿宋_GB2312" w:eastAsia="ￋￎￌ￥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件，政协委员提案</w:t>
      </w:r>
      <w:r>
        <w:rPr>
          <w:rFonts w:hint="default" w:ascii="ￋￎￌ￥" w:hAnsi="仿宋_GB2312" w:eastAsia="ￋￎￌ￥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件，建议、提案办复率、见面率和满意率均达100%，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获评2023年君山区提案办理先进单位。</w:t>
      </w:r>
    </w:p>
    <w:p>
      <w:pPr>
        <w:pStyle w:val="3"/>
        <w:widowControl w:val="0"/>
        <w:spacing w:after="0" w:line="560" w:lineRule="exact"/>
        <w:ind w:firstLine="643" w:firstLineChars="200"/>
        <w:rPr>
          <w:rFonts w:hint="eastAsia" w:ascii="仿宋_GB2312" w:eastAsia="仿宋_GB2312"/>
          <w:sz w:val="32"/>
          <w:szCs w:val="24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val="en-US" w:eastAsia="zh-CN"/>
        </w:rPr>
        <w:t>3、综合协调能力不断提高。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积极稳妥处理好各种关系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，强化与上级部门联系和与各镇（办）、场和区直部门的合作，成功协办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2023岳阳马拉松、第十届油菜花节、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君山龙虾节、野生荷花节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等节会赛事20余个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，进一步打响君山生态旅游知名度。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共协调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60余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严格落实24小时值班制，高效处理突发事件，</w:t>
      </w:r>
      <w:r>
        <w:rPr>
          <w:rFonts w:hint="eastAsia" w:ascii="仿宋_GB2312" w:eastAsia="仿宋_GB2312"/>
          <w:sz w:val="32"/>
          <w:szCs w:val="24"/>
        </w:rPr>
        <w:t>做到</w:t>
      </w:r>
      <w:r>
        <w:rPr>
          <w:rFonts w:hint="eastAsia" w:ascii="仿宋_GB2312" w:eastAsia="仿宋_GB2312"/>
          <w:sz w:val="32"/>
          <w:szCs w:val="24"/>
          <w:lang w:eastAsia="zh-CN"/>
        </w:rPr>
        <w:t>了</w:t>
      </w:r>
      <w:r>
        <w:rPr>
          <w:rFonts w:hint="eastAsia" w:ascii="仿宋_GB2312" w:eastAsia="仿宋_GB2312"/>
          <w:sz w:val="32"/>
          <w:szCs w:val="24"/>
        </w:rPr>
        <w:t>第一时间</w:t>
      </w:r>
      <w:r>
        <w:rPr>
          <w:rFonts w:hint="eastAsia" w:ascii="仿宋_GB2312" w:eastAsia="仿宋_GB2312"/>
          <w:sz w:val="32"/>
          <w:szCs w:val="24"/>
          <w:lang w:eastAsia="zh-CN"/>
        </w:rPr>
        <w:t>汇报</w:t>
      </w:r>
      <w:r>
        <w:rPr>
          <w:rFonts w:hint="eastAsia" w:ascii="仿宋_GB2312" w:eastAsia="仿宋_GB2312"/>
          <w:sz w:val="32"/>
          <w:szCs w:val="24"/>
        </w:rPr>
        <w:t>和协</w:t>
      </w:r>
      <w:r>
        <w:rPr>
          <w:rFonts w:hint="eastAsia" w:ascii="仿宋_GB2312" w:eastAsia="仿宋_GB2312"/>
          <w:sz w:val="32"/>
          <w:szCs w:val="24"/>
          <w:lang w:eastAsia="zh-CN"/>
        </w:rPr>
        <w:t>调</w:t>
      </w:r>
      <w:r>
        <w:rPr>
          <w:rFonts w:hint="eastAsia" w:ascii="仿宋_GB2312" w:eastAsia="仿宋_GB2312"/>
          <w:sz w:val="32"/>
          <w:szCs w:val="24"/>
        </w:rPr>
        <w:t>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绩效评价并不能完全兼顾工作的方方面面，在各项指标的分析上也未能做到透彻，对各项资金使用的规范性和使用结果的有效性分析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对预算绩效管理知识的学习存在局限性，预算绩效管理的合理性、科学性还需加强。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pStyle w:val="8"/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1、在预算编制时，进一步优化预算科目设置，降低在实际支付过程中支出内容与科目的偏差。</w:t>
      </w:r>
    </w:p>
    <w:p>
      <w:pPr>
        <w:pStyle w:val="9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pStyle w:val="9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3、加强项目开展进度的跟踪，开展项目绩效评价，确保项目绩效目标的完成。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bookmarkStart w:id="1" w:name="_GoBack" w:colFirst="1" w:colLast="6"/>
            <w:bookmarkEnd w:id="1"/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9.91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5.89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303.35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452.37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380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380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46.8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34.26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34.26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27.59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27.59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3.06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99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99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1648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1648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73"/>
        <w:gridCol w:w="1575"/>
        <w:gridCol w:w="1455"/>
        <w:gridCol w:w="1350"/>
        <w:gridCol w:w="660"/>
        <w:gridCol w:w="705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岳阳市君山区人民政府办公室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1499.47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1703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08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1703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1703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08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其中：基本支出：1648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项目支出：55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推行预算绩效管理，强化对资金使用情况的预算约束和监督，瞄准部门职责，提高服务水平，积极推动各项工作任务的落实见效，提高财政资金的作用效能，促进管理效能的大力提升。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积极推行预算绩效管理，强化对资金使用情况的预算约束和监督，瞄准部门职责，紧扣“1236”工作思路，强化措施、精准发力，全力抓好参谋辅政、决策执行、协调服务等工作</w:t>
            </w:r>
            <w:r>
              <w:rPr>
                <w:rFonts w:hint="eastAsia" w:ascii="Calibri" w:hAnsi="Calibri" w:eastAsia="仿宋_GB2312" w:cs="Times New Roman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圆满完成全年工作任务，提高了财政资金使用绩效，促进了管理效能提升。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开展理论学习、交流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办理文件、接收公文，撰写报告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2000篇、条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2300篇、条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协办全区节会赛事等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精心办会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20次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专项督促检查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文稿合格率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文稿采用率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问题整改率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计划时间完成任务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1703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1703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围绕区委区政府决策部署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全面提高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能力水平，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助推经济社会发展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围绕区委区政府决策部署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全面提高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能力水平，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助推社会和谐稳定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全面提高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能力水平，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助推生态环境改善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围绕区委区政府决策部署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全面提高工作能力水平，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助推经济发展、社会稳定、环境改善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6"/>
        <w:tblW w:w="9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324"/>
        <w:gridCol w:w="1286"/>
        <w:gridCol w:w="750"/>
        <w:gridCol w:w="825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8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政府办专项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岳阳市君山区人民政府办公室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岳阳市君山区人民政府办公室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政府工作全面落实到位</w:t>
            </w:r>
          </w:p>
        </w:tc>
        <w:tc>
          <w:tcPr>
            <w:tcW w:w="4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禁毒环境明显改善，金融助力企业发展效果明显。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各类会议召开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30次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33次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领导深入基层一线调研、督导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60次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81次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班子成员走访联点村，解决难题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120个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133个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会议成功率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问题整改率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计划时间完成任务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能水平，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助推经济发展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助推社会和谐稳定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助推生态环境改善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进一步提高水质量改善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助推经济发展、社会稳定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ￋￎￌ￥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55167"/>
    <w:multiLevelType w:val="singleLevel"/>
    <w:tmpl w:val="A5E5516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5036FE"/>
    <w:multiLevelType w:val="singleLevel"/>
    <w:tmpl w:val="425036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0490DB"/>
    <w:multiLevelType w:val="singleLevel"/>
    <w:tmpl w:val="7F049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F66692C"/>
    <w:multiLevelType w:val="singleLevel"/>
    <w:tmpl w:val="7F6669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OWI1YTBjMDVmMmNiM2E1MjU2ZTkzMDY0OTdlNjQifQ=="/>
  </w:docVars>
  <w:rsids>
    <w:rsidRoot w:val="59886344"/>
    <w:rsid w:val="005C088A"/>
    <w:rsid w:val="0061443A"/>
    <w:rsid w:val="00850528"/>
    <w:rsid w:val="00F57038"/>
    <w:rsid w:val="03585F5D"/>
    <w:rsid w:val="0368705F"/>
    <w:rsid w:val="03903A31"/>
    <w:rsid w:val="03E40645"/>
    <w:rsid w:val="05F16DA0"/>
    <w:rsid w:val="067D155B"/>
    <w:rsid w:val="072A0D5E"/>
    <w:rsid w:val="08BE63C8"/>
    <w:rsid w:val="08D531AA"/>
    <w:rsid w:val="0A0718F5"/>
    <w:rsid w:val="0A23066B"/>
    <w:rsid w:val="0B521208"/>
    <w:rsid w:val="0BD0037E"/>
    <w:rsid w:val="0BD07CC1"/>
    <w:rsid w:val="0E2942EF"/>
    <w:rsid w:val="0F29227F"/>
    <w:rsid w:val="0F716910"/>
    <w:rsid w:val="0FC41FA8"/>
    <w:rsid w:val="101F6442"/>
    <w:rsid w:val="104073FF"/>
    <w:rsid w:val="12D32267"/>
    <w:rsid w:val="13D670D0"/>
    <w:rsid w:val="13DA2702"/>
    <w:rsid w:val="1405311A"/>
    <w:rsid w:val="162849C0"/>
    <w:rsid w:val="172B2124"/>
    <w:rsid w:val="172D2B29"/>
    <w:rsid w:val="17AD2D85"/>
    <w:rsid w:val="17BE7C25"/>
    <w:rsid w:val="17DC7904"/>
    <w:rsid w:val="18096877"/>
    <w:rsid w:val="18A72D74"/>
    <w:rsid w:val="192E77AB"/>
    <w:rsid w:val="198A7D37"/>
    <w:rsid w:val="1BCF41AF"/>
    <w:rsid w:val="1CA92FCC"/>
    <w:rsid w:val="1DD737EE"/>
    <w:rsid w:val="1E284F2F"/>
    <w:rsid w:val="1ECA401E"/>
    <w:rsid w:val="1F417171"/>
    <w:rsid w:val="1F9C4CF0"/>
    <w:rsid w:val="1F9F20EA"/>
    <w:rsid w:val="1FDB73CE"/>
    <w:rsid w:val="1FE411A4"/>
    <w:rsid w:val="20717F2A"/>
    <w:rsid w:val="20F87A39"/>
    <w:rsid w:val="216B6728"/>
    <w:rsid w:val="21F7445F"/>
    <w:rsid w:val="24BE2C1C"/>
    <w:rsid w:val="250273A3"/>
    <w:rsid w:val="260844D0"/>
    <w:rsid w:val="271A5565"/>
    <w:rsid w:val="27CB7F20"/>
    <w:rsid w:val="292C7FA1"/>
    <w:rsid w:val="2A100353"/>
    <w:rsid w:val="2A450AA9"/>
    <w:rsid w:val="2A886FDD"/>
    <w:rsid w:val="2A8D3BB3"/>
    <w:rsid w:val="2B0F3E96"/>
    <w:rsid w:val="2B0F6376"/>
    <w:rsid w:val="2BAA0E41"/>
    <w:rsid w:val="2D410C84"/>
    <w:rsid w:val="2D4657EE"/>
    <w:rsid w:val="2F0E4B96"/>
    <w:rsid w:val="2F2045CC"/>
    <w:rsid w:val="31846977"/>
    <w:rsid w:val="320B53DF"/>
    <w:rsid w:val="321D3FE2"/>
    <w:rsid w:val="324B2107"/>
    <w:rsid w:val="32C548F8"/>
    <w:rsid w:val="33A61841"/>
    <w:rsid w:val="33D22636"/>
    <w:rsid w:val="33E76131"/>
    <w:rsid w:val="35C81F43"/>
    <w:rsid w:val="35CF5E74"/>
    <w:rsid w:val="38C118F0"/>
    <w:rsid w:val="3B23785C"/>
    <w:rsid w:val="3C117258"/>
    <w:rsid w:val="3C156456"/>
    <w:rsid w:val="3C2C64D2"/>
    <w:rsid w:val="3CB537CF"/>
    <w:rsid w:val="3CF73497"/>
    <w:rsid w:val="3D070645"/>
    <w:rsid w:val="3EF220E8"/>
    <w:rsid w:val="3F696B11"/>
    <w:rsid w:val="40F273ED"/>
    <w:rsid w:val="414277CB"/>
    <w:rsid w:val="41B63929"/>
    <w:rsid w:val="41F76A00"/>
    <w:rsid w:val="42182D4E"/>
    <w:rsid w:val="427C2F78"/>
    <w:rsid w:val="42907FB1"/>
    <w:rsid w:val="438B7328"/>
    <w:rsid w:val="43B151C2"/>
    <w:rsid w:val="43E9039C"/>
    <w:rsid w:val="440B0BF3"/>
    <w:rsid w:val="44182F4F"/>
    <w:rsid w:val="44401EAB"/>
    <w:rsid w:val="4441183E"/>
    <w:rsid w:val="445265DF"/>
    <w:rsid w:val="44930287"/>
    <w:rsid w:val="45176F07"/>
    <w:rsid w:val="458D5615"/>
    <w:rsid w:val="47F62B74"/>
    <w:rsid w:val="4829354E"/>
    <w:rsid w:val="48770C66"/>
    <w:rsid w:val="492F3CB7"/>
    <w:rsid w:val="497F0684"/>
    <w:rsid w:val="49A50F0B"/>
    <w:rsid w:val="49C65963"/>
    <w:rsid w:val="49FF2520"/>
    <w:rsid w:val="4A747320"/>
    <w:rsid w:val="4B9C166F"/>
    <w:rsid w:val="4C404189"/>
    <w:rsid w:val="4D302450"/>
    <w:rsid w:val="4EC87298"/>
    <w:rsid w:val="503F0BFC"/>
    <w:rsid w:val="529F5982"/>
    <w:rsid w:val="540612DD"/>
    <w:rsid w:val="54326440"/>
    <w:rsid w:val="54622945"/>
    <w:rsid w:val="55215252"/>
    <w:rsid w:val="55241353"/>
    <w:rsid w:val="55BA6FCD"/>
    <w:rsid w:val="56EE3E47"/>
    <w:rsid w:val="570F7BE9"/>
    <w:rsid w:val="577354C1"/>
    <w:rsid w:val="57EA583A"/>
    <w:rsid w:val="57F152A0"/>
    <w:rsid w:val="582E3A30"/>
    <w:rsid w:val="58393127"/>
    <w:rsid w:val="598002BB"/>
    <w:rsid w:val="59886344"/>
    <w:rsid w:val="59BB0154"/>
    <w:rsid w:val="5AF440A0"/>
    <w:rsid w:val="5B0A331F"/>
    <w:rsid w:val="5B192C82"/>
    <w:rsid w:val="5B411CCC"/>
    <w:rsid w:val="5B950730"/>
    <w:rsid w:val="5C1263A3"/>
    <w:rsid w:val="5C3B671B"/>
    <w:rsid w:val="5E8C14B0"/>
    <w:rsid w:val="5EE144F9"/>
    <w:rsid w:val="607D37A6"/>
    <w:rsid w:val="61045C75"/>
    <w:rsid w:val="619E0691"/>
    <w:rsid w:val="62D378CB"/>
    <w:rsid w:val="63202106"/>
    <w:rsid w:val="63C60FC0"/>
    <w:rsid w:val="63F81147"/>
    <w:rsid w:val="6410048D"/>
    <w:rsid w:val="64CF6C8F"/>
    <w:rsid w:val="67241E24"/>
    <w:rsid w:val="674F6FAE"/>
    <w:rsid w:val="68DD5D2B"/>
    <w:rsid w:val="6A7B3442"/>
    <w:rsid w:val="6B356270"/>
    <w:rsid w:val="6B99345E"/>
    <w:rsid w:val="6C303DC2"/>
    <w:rsid w:val="6CA97D11"/>
    <w:rsid w:val="6CDE10A7"/>
    <w:rsid w:val="6D800432"/>
    <w:rsid w:val="6E026050"/>
    <w:rsid w:val="6E705326"/>
    <w:rsid w:val="6EBC4974"/>
    <w:rsid w:val="6EC01A4C"/>
    <w:rsid w:val="6F0D3B6F"/>
    <w:rsid w:val="6F41220A"/>
    <w:rsid w:val="6FED1473"/>
    <w:rsid w:val="70D00C51"/>
    <w:rsid w:val="70F133F4"/>
    <w:rsid w:val="71973F9C"/>
    <w:rsid w:val="73102258"/>
    <w:rsid w:val="73BF6C6B"/>
    <w:rsid w:val="74BB7A07"/>
    <w:rsid w:val="74EC4E86"/>
    <w:rsid w:val="758D6016"/>
    <w:rsid w:val="767D7DFF"/>
    <w:rsid w:val="768770CB"/>
    <w:rsid w:val="76F0053E"/>
    <w:rsid w:val="7728263E"/>
    <w:rsid w:val="77E67A2B"/>
    <w:rsid w:val="79607369"/>
    <w:rsid w:val="798C015E"/>
    <w:rsid w:val="7A5614FA"/>
    <w:rsid w:val="7B445194"/>
    <w:rsid w:val="7C7D6B26"/>
    <w:rsid w:val="7C8F243F"/>
    <w:rsid w:val="7C9150AE"/>
    <w:rsid w:val="7D8E3EDB"/>
    <w:rsid w:val="7F016EF9"/>
    <w:rsid w:val="7F2A13E6"/>
    <w:rsid w:val="7F343489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unhideWhenUsed/>
    <w:qFormat/>
    <w:uiPriority w:val="99"/>
    <w:pPr>
      <w:ind w:left="1680" w:leftChars="800"/>
    </w:pPr>
    <w:rPr>
      <w:rFonts w:hint="default"/>
      <w:sz w:val="21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Text"/>
    <w:basedOn w:val="1"/>
    <w:next w:val="9"/>
    <w:qFormat/>
    <w:uiPriority w:val="0"/>
    <w:pPr>
      <w:textAlignment w:val="baseline"/>
    </w:pPr>
    <w:rPr>
      <w:rFonts w:ascii="仿宋_GB2312" w:hAnsi="仿宋_GB2312" w:eastAsia="仿宋_GB2312"/>
      <w:sz w:val="32"/>
      <w:szCs w:val="32"/>
      <w:lang w:val="zh-CN" w:bidi="zh-CN"/>
    </w:rPr>
  </w:style>
  <w:style w:type="paragraph" w:customStyle="1" w:styleId="9">
    <w:name w:val="BodyText1I"/>
    <w:basedOn w:val="8"/>
    <w:qFormat/>
    <w:uiPriority w:val="0"/>
    <w:pPr>
      <w:ind w:firstLine="420" w:firstLineChars="100"/>
      <w:textAlignment w:val="baseline"/>
    </w:pPr>
    <w:rPr>
      <w:rFonts w:ascii="仿宋_GB2312" w:hAnsi="仿宋_GB2312" w:eastAsia="仿宋_GB2312" w:cs="宋体"/>
      <w:sz w:val="32"/>
      <w:szCs w:val="32"/>
      <w:lang w:val="zh-CN" w:bidi="zh-CN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4846</Characters>
  <Lines>0</Lines>
  <Paragraphs>0</Paragraphs>
  <TotalTime>3</TotalTime>
  <ScaleCrop>false</ScaleCrop>
  <LinksUpToDate>false</LinksUpToDate>
  <CharactersWithSpaces>5044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李瑞</cp:lastModifiedBy>
  <dcterms:modified xsi:type="dcterms:W3CDTF">2024-06-30T12:45:36Z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12C804FB5DC74582993175EDEB038DA2_13</vt:lpwstr>
  </property>
</Properties>
</file>