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岳阳市君山区经济研究中心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  月  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岳阳市君山区经济研究中心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>
      <w:pPr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6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部门（单位）基本情况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  <w:t>一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单位职能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1、负责起草《政府工作报告》和区政府主要领导同志重要讲话、报告等文稿；审修部门起草的区政府主要领导同志在全区有关会议上的讲话文稿。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2、负责或参与起草区政府向市委、市政府的重要汇报材料；组织和协同有关方面起草、修改区政府有关重要综合性文件；参与起草区委、区政府有关重要会议文件。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3、对涉及全区经济建设、社会发展和改革开放等全局性工作的重大课题组织调查研究，及时综合归纳，提出供区政府决策的参考方案和政策性建议。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4、对区内外经济形势和社会发展政策进行分析和研究，提出政策建议。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5、收集、整理全区政务信息，及时向市政府研究室上报；收集、分析、整理和报送经济社会发展重要信息、动态，为区政府决策提供参考建议。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6、负责全区政府系统的情况综合、调查研究和信息工作指导。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7、编发《政府通报》和其他有关信息资料。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8、根据区政府委托，组织督促政府相关部门办理区人大、区政协交区政府的人大代表建议和政协委员提案。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9、完成区委、区政府交办的其他任务。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、机构设置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区经济研究中心设4个内设机构，分别是办公室、文稿室、调研室、信息室。区经济研究中心全额拨款事业编制7名。设主任1名，副主任2名，现有在编在岗人员7人。</w:t>
      </w:r>
    </w:p>
    <w:p>
      <w:pPr>
        <w:spacing w:line="560" w:lineRule="exact"/>
        <w:ind w:firstLine="643" w:firstLineChars="200"/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）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、2023年度部门整体支出、使用方向、主要内容和涉及范围</w:t>
      </w:r>
    </w:p>
    <w:p>
      <w:pPr>
        <w:spacing w:line="560" w:lineRule="exact"/>
        <w:ind w:firstLine="643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1、</w:t>
      </w: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2023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年经费整体支出情况。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年全年支出66.34万元，其中工资福利支出50.22万元；商品服务支出16.12万元。</w:t>
      </w:r>
    </w:p>
    <w:p>
      <w:pPr>
        <w:spacing w:line="560" w:lineRule="exact"/>
        <w:ind w:firstLine="643" w:firstLineChars="200"/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-SA"/>
        </w:rPr>
        <w:t>2、资金使用方向、主要内容及涉及范围。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2023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年全年支出66.34万元，基本支出为53.88万元，系保障本单位机构正常运转、完成日常工作任务而发生的各项支出，包括用于在职人员基本工资、津贴补贴等人员经费以及办公费、印刷费、水电费、会议费、办公设备购置等。其中：人员经费50.22万元，日常公用经费3.66万元。项目支出为12.46万元，主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用于调查研究经费、编印《政府通报》、办理建议、提案工作及学习培训等工作经费。</w:t>
      </w:r>
    </w:p>
    <w:p>
      <w:pPr>
        <w:pStyle w:val="2"/>
        <w:bidi w:val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3、</w:t>
      </w:r>
      <w:r>
        <w:rPr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</w:t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2023</w:t>
      </w:r>
      <w:r>
        <w:rPr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年度</w:t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</w:t>
      </w:r>
      <w:r>
        <w:rPr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三公</w:t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”</w:t>
      </w:r>
      <w:r>
        <w:rPr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经费决算情况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2023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“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三公经费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预算1万元，其中：公务接待1万元、因公出国（境）费0万元、公务用车购置及运行费0万元。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2023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“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三公经费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实际完成0万元，其中：公务用车运行维护费0万元；公务接待费0万元，比上年减少0.59万元，减少的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主要原因是严格落实中央“八项规定”精神和“过紧日子”的要求，从严控制“三公”经费支出。</w:t>
      </w:r>
      <w:bookmarkStart w:id="0" w:name="START_IS_ZERO_06_2"/>
      <w:bookmarkEnd w:id="0"/>
      <w:bookmarkStart w:id="1" w:name="END_IS_ZERO_06_2"/>
      <w:bookmarkEnd w:id="1"/>
      <w:bookmarkStart w:id="2" w:name="END_IS_ZERO_06_1"/>
      <w:bookmarkEnd w:id="2"/>
      <w:bookmarkStart w:id="3" w:name="DIS_MARK_IS_ZERO_06_2"/>
      <w:bookmarkEnd w:id="3"/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基本支出用于为保障机构正常运转、完成日常工作任务而发生的支出，包括人员经费和公用经费。2023年基本支出53.88万元，其中：工资福利支出50.22万元，占基本支出的93.2%；商品和服务支出3.66万元，占基本支出的6.8%。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项目支出情况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2023年项目支出12.46万元，主要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用于调查研究经费、编印《政府通报》、办理建议、提案工作及学习培训等工作经费。</w:t>
      </w:r>
    </w:p>
    <w:p>
      <w:pPr>
        <w:pStyle w:val="2"/>
        <w:bidi w:val="0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政府性基金预算支出情况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无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无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五、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六、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部门整体支出绩效情况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2023年单位整体支出较好地完成了绩效目标，基本实现了预算绩效管理，强化了财政资金的有效使用。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（一）2023年部门整体支出绩效目标设置及完成情况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目标1、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精益求精锤炼文稿</w:t>
      </w:r>
    </w:p>
    <w:p>
      <w:pP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Times New Roman"/>
          <w:b/>
          <w:kern w:val="0"/>
          <w:sz w:val="32"/>
          <w:szCs w:val="32"/>
          <w:lang w:val="en-US" w:eastAsia="zh-CN" w:bidi="ar-SA"/>
        </w:rPr>
        <w:t>完成情况：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始终将“精品”意识贯穿于文稿构思、起草、修改、校印全过程，坚持精巧构思、精准行文，做到各类文稿有观点、有创新、有高度。全年完成区人大政协“两会”、区高质量发展会议、区政府扩大会议、区委全会暨经济工作会等重要报告和向中央与省市领导的工作汇报、区政府述职述廉等重要文稿100多篇，全年起草的文稿达50多万字，其中《政府工作报告》等材料得到领导充分肯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Times New Roman"/>
          <w:b/>
          <w:kern w:val="0"/>
          <w:sz w:val="32"/>
          <w:szCs w:val="32"/>
          <w:lang w:val="en-US" w:eastAsia="zh-CN" w:bidi="ar-SA"/>
        </w:rPr>
        <w:t>目标2、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全心全意督办提案。</w:t>
      </w:r>
    </w:p>
    <w:p>
      <w:pP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Times New Roman"/>
          <w:b/>
          <w:kern w:val="0"/>
          <w:sz w:val="32"/>
          <w:szCs w:val="32"/>
          <w:lang w:val="en-US" w:eastAsia="zh-CN" w:bidi="ar-SA"/>
        </w:rPr>
        <w:t>完成情况：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积极督促议案提案办理工作，高质量办理人大议案、代表建议和委员提案86件，办结率和满意率达100%，得到人大和政协的充分肯定，获评君山区提案办理先进单位。</w:t>
      </w:r>
    </w:p>
    <w:p>
      <w:pPr>
        <w:rPr>
          <w:rFonts w:hint="eastAsia"/>
        </w:rPr>
      </w:pPr>
      <w:r>
        <w:rPr>
          <w:rFonts w:hint="eastAsia" w:ascii="楷体" w:hAnsi="楷体" w:eastAsia="楷体" w:cs="Times New Roman"/>
          <w:b/>
          <w:kern w:val="0"/>
          <w:sz w:val="32"/>
          <w:szCs w:val="32"/>
          <w:lang w:val="en-US" w:eastAsia="zh-CN" w:bidi="ar-SA"/>
        </w:rPr>
        <w:t>目标3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、大兴调查研究之风。</w:t>
      </w:r>
    </w:p>
    <w:p>
      <w:pP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Times New Roman"/>
          <w:b/>
          <w:kern w:val="0"/>
          <w:sz w:val="32"/>
          <w:szCs w:val="32"/>
          <w:lang w:val="en-US" w:eastAsia="zh-CN" w:bidi="ar-SA"/>
        </w:rPr>
        <w:t>完成情况：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用好调查研究“传家宝”，一年来，重点围绕产业发展、新型城镇化和生态文明等全区中心工作，单独或陪同领导开展调研160多次，撰写了《2023年君山区中秋国庆期间旅游情况调研报告》《君山区物流产业发展调研报告》《关于园区企业用工问题的调研》等调研报告，为领导决策提供了素材和参考。</w:t>
      </w:r>
    </w:p>
    <w:p>
      <w:pPr>
        <w:ind w:firstLine="643" w:firstLineChars="20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</w:t>
      </w:r>
      <w:r>
        <w:rPr>
          <w:rFonts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单位资产管理和整体业务实施效果情况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本单位资产设有专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门人员将单位所有资产全部录入固定资产信息系统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实行动态管理。资产配置严格按照规定程序报批，坚持资产配备与单位履行职能需要相适应，坚持资产管理与预算管理相结合。资产利用率高，资产配置基本合理，人均占有办公室使用面积、人均占有通用设备数量等指标均在正常范围。科学管理和使用国有资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保障单位正常运转的同时，合理配备并有效使用资产，充分发挥了国有资产的使用效益和社会效益。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七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、存在的问题及原因分析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、缺少专门的绩效管理人才。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目前,绩效管理工作跟随预算的相关工作均由财政部门牵头管理,大部分基层行政事业单位的绩效管理工作也是由财务部门牵头负责。由于现有体制的限制，基层行政事业单位很难单独成立绩效管理部门，绩效管理工作也只能由财务部门负责,但是很多绩效目标非常专业,需要业务部门来设计制定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预算编制有待更加细化、精准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由于目前的预算管理在编制和实施中还存在编制不细、追加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或减少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预算等现象，因此预算执行的准确性还有待加强。 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八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、下一步改进措施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1、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加强财务人员的学习培训。加强单位财务人员年初预算项目支出的“绩效目标申报”编制和“财政支出绩效评价”专题培训，不断增强单位业务人员的业务水平；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2、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根据绩效目标，合理编制年度预算。结合上一年度预算执行情况及本年度预算收支变化因素，根据部门具体绩效目标，科学编制本年度预算，力求精准，尽量减少调项和追加，保持预算执行的严肃性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九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、部门整体支出绩效自评结果拟应用和公开情况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单位2023年度部门整体支出绩效自评结果拟按湖南省财政厅关于印发《湖南省预算支出绩效评价管理办法》的通知（湘财绩〔2020〕7号）要求，在整体支出项目绩效目标编制申报时，根据项目实际情况和预期可达成的目标，设置更科学合理的指标。严格按规定内容、时限在君山区政务中心门户网站公开，接受社会监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部门整体支出绩效评价基础数据表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部门整体支出绩效自评工作考核评分表</w:t>
      </w:r>
    </w:p>
    <w:p>
      <w:pPr>
        <w:spacing w:after="120" w:afterLines="50" w:line="600" w:lineRule="exact"/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spacing w:after="120" w:afterLines="50" w:line="600" w:lineRule="exact"/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spacing w:after="120" w:afterLines="50" w:line="600" w:lineRule="exact"/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spacing w:after="120" w:afterLines="50" w:line="600" w:lineRule="exact"/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spacing w:after="120" w:afterLines="50" w:line="600" w:lineRule="exact"/>
        <w:ind w:firstLine="360" w:firstLineChars="1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spacing w:after="120" w:afterLines="50" w:line="600" w:lineRule="exact"/>
        <w:ind w:firstLine="360" w:firstLineChars="1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spacing w:after="120" w:afterLines="50" w:line="600" w:lineRule="exact"/>
        <w:ind w:firstLine="360" w:firstLineChars="100"/>
        <w:jc w:val="both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7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0.59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0.59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17.05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18.5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17.05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18.5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其他资金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 xml:space="preserve">    3、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3.01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12.34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3.66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11.34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一是加强支出预算管理；二是严格经费审批；三是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大力推行节约型机关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；四是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严格控制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各类会议和培训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经费支出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。</w:t>
            </w:r>
          </w:p>
        </w:tc>
      </w:tr>
    </w:tbl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        填报日期：          联系电话：            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7"/>
        <w:tblW w:w="109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020"/>
        <w:gridCol w:w="1160"/>
        <w:gridCol w:w="1868"/>
        <w:gridCol w:w="996"/>
        <w:gridCol w:w="1282"/>
        <w:gridCol w:w="900"/>
        <w:gridCol w:w="1063"/>
        <w:gridCol w:w="15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98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岳阳市君山区经济研究中心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07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92.23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66.34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66.34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71.93%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0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82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0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66.34</w:t>
            </w:r>
          </w:p>
        </w:tc>
        <w:tc>
          <w:tcPr>
            <w:tcW w:w="482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53.88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0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</w:p>
        </w:tc>
        <w:tc>
          <w:tcPr>
            <w:tcW w:w="482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0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82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0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</w:p>
        </w:tc>
        <w:tc>
          <w:tcPr>
            <w:tcW w:w="482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50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8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0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一是认真起草文稿。二是积极调查研究。三是加强对外宣传。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四是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完成区政府领导报告等大型材料100篇、把关政府部门各类文件、材料80篇、组织开展课题调研5个。</w:t>
            </w:r>
          </w:p>
        </w:tc>
        <w:tc>
          <w:tcPr>
            <w:tcW w:w="48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完成区人大政协“两会”、区高质量发展会议、区政府扩大会议、区委全会暨经济工作会等重要报告和向中央与省市领导的工作汇报、区政府述职述廉等重要文稿100多篇，全年起草的文稿达50多万字，其中《政府工作报告》等材料得到领导充分肯定。单独或陪同领导开展调研160多次，撰写了《2023年君山区中秋国庆期间旅游情况调研报告》《君山区物流产业发展调研报告》《关于园区企业用工问题的调研》等调研报告，为领导决策提供了素材和参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完成区政府领导报告等大型材料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≥100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把关政府部门各类文件、材料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≥80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组织开展课题调研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≥5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bookmarkStart w:id="4" w:name="_GoBack"/>
            <w:bookmarkEnd w:id="4"/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区级以上媒体上稿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≥3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督促完成议案提案办理办结率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工作完成及时性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财政资金支出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92.23万元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66.34万元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预算减少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政府经济决策科学性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定性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有效推动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决策采纳率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定性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有效提升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献言建策制度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定性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有效促进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公众满意度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spacing w:before="120" w:beforeLines="50" w:after="120" w:afterLines="50"/>
        <w:jc w:val="center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填报日期：         联系电话：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eastAsia="zh-CN"/>
        </w:rPr>
        <w:t>：</w:t>
      </w:r>
    </w:p>
    <w:p>
      <w:pPr>
        <w:spacing w:before="120" w:beforeLines="50" w:after="120" w:afterLines="50"/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绩效自评工作考核评分表</w:t>
      </w:r>
    </w:p>
    <w:tbl>
      <w:tblPr>
        <w:tblStyle w:val="7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所需佐证材料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布置工作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自评通知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印发绩效自评通知的得2分，否则不得分。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绩效自评通知盖章的电子版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工作小组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实施评价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单位自查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金情况清单</w:t>
            </w:r>
          </w:p>
          <w:p>
            <w:pPr>
              <w:numPr>
                <w:ilvl w:val="0"/>
                <w:numId w:val="2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主管部门汇总情况的盖章PDF版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提交报告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报送报告的得10分；每推迟一个工作日报送报告的扣1分，最多扣10分。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完整性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绩效自评报告正文部分内容齐全的，得8分；否则每少一个部分扣2分，最多扣8分。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绩效自评报告附件部分内容齐全的，得7分；否则每少一个部分扣2分，最多扣7分。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自评表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预算部门绩效自评操作规程》要求的，得5分，否则按比例扣除相应的分数。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部门整体支出和项目支出绩效指标全部细化到三级指标的，得5分；部分细化的，酌情扣分；没有细化的，不得分。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反映问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题情况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A8D352"/>
    <w:multiLevelType w:val="singleLevel"/>
    <w:tmpl w:val="48A8D35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mNGQ2ZDdhZDNjNWUyMjRiNDQ1ZThhMzRkNTJiM2QifQ=="/>
  </w:docVars>
  <w:rsids>
    <w:rsidRoot w:val="59886344"/>
    <w:rsid w:val="013670BB"/>
    <w:rsid w:val="03597864"/>
    <w:rsid w:val="036216B5"/>
    <w:rsid w:val="04B44004"/>
    <w:rsid w:val="07DC141F"/>
    <w:rsid w:val="0C5D60B6"/>
    <w:rsid w:val="10796170"/>
    <w:rsid w:val="10BC46C0"/>
    <w:rsid w:val="13094AA5"/>
    <w:rsid w:val="13547AE7"/>
    <w:rsid w:val="13D61A1C"/>
    <w:rsid w:val="185D7A31"/>
    <w:rsid w:val="186F154E"/>
    <w:rsid w:val="1B6765F2"/>
    <w:rsid w:val="1D063C00"/>
    <w:rsid w:val="1D6357BE"/>
    <w:rsid w:val="1F8E4CE0"/>
    <w:rsid w:val="1FA431B2"/>
    <w:rsid w:val="20362A4E"/>
    <w:rsid w:val="21132EE8"/>
    <w:rsid w:val="21A84623"/>
    <w:rsid w:val="223B2B5A"/>
    <w:rsid w:val="24C63360"/>
    <w:rsid w:val="261F7E95"/>
    <w:rsid w:val="2825407B"/>
    <w:rsid w:val="2BA040D3"/>
    <w:rsid w:val="2D2C69E8"/>
    <w:rsid w:val="2EFC30B5"/>
    <w:rsid w:val="32D86C30"/>
    <w:rsid w:val="335079DD"/>
    <w:rsid w:val="340A3386"/>
    <w:rsid w:val="34745E56"/>
    <w:rsid w:val="35260E8C"/>
    <w:rsid w:val="364C66D0"/>
    <w:rsid w:val="3688482F"/>
    <w:rsid w:val="36E1072C"/>
    <w:rsid w:val="382019F1"/>
    <w:rsid w:val="3AAF1381"/>
    <w:rsid w:val="3B046B78"/>
    <w:rsid w:val="3DAE7C70"/>
    <w:rsid w:val="3DCC00F6"/>
    <w:rsid w:val="3EA949A3"/>
    <w:rsid w:val="400B05F7"/>
    <w:rsid w:val="40E41BD8"/>
    <w:rsid w:val="41801923"/>
    <w:rsid w:val="424B6FED"/>
    <w:rsid w:val="46270E21"/>
    <w:rsid w:val="46BE415C"/>
    <w:rsid w:val="484566D6"/>
    <w:rsid w:val="4871646A"/>
    <w:rsid w:val="48895562"/>
    <w:rsid w:val="492E39C8"/>
    <w:rsid w:val="498B5D51"/>
    <w:rsid w:val="4A6C295B"/>
    <w:rsid w:val="4B7F2C4C"/>
    <w:rsid w:val="53DA21AF"/>
    <w:rsid w:val="54BB27D2"/>
    <w:rsid w:val="55276664"/>
    <w:rsid w:val="556012F3"/>
    <w:rsid w:val="586C030E"/>
    <w:rsid w:val="59886344"/>
    <w:rsid w:val="5AC07DC2"/>
    <w:rsid w:val="5B310598"/>
    <w:rsid w:val="5FDB49AB"/>
    <w:rsid w:val="605A7513"/>
    <w:rsid w:val="6517411C"/>
    <w:rsid w:val="65DE3BB0"/>
    <w:rsid w:val="673D3495"/>
    <w:rsid w:val="675B77B9"/>
    <w:rsid w:val="67AE6E6A"/>
    <w:rsid w:val="67F24A7A"/>
    <w:rsid w:val="699479CE"/>
    <w:rsid w:val="699C28B0"/>
    <w:rsid w:val="69C67397"/>
    <w:rsid w:val="6B5864BC"/>
    <w:rsid w:val="6EDD3662"/>
    <w:rsid w:val="70383DAA"/>
    <w:rsid w:val="71087164"/>
    <w:rsid w:val="71730628"/>
    <w:rsid w:val="72630EE2"/>
    <w:rsid w:val="73232BFD"/>
    <w:rsid w:val="758842E0"/>
    <w:rsid w:val="759837C4"/>
    <w:rsid w:val="78A65614"/>
    <w:rsid w:val="7A7F00D9"/>
    <w:rsid w:val="7ED10B84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rFonts w:eastAsia="宋体" w:cs="Times New Roman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qFormat/>
    <w:uiPriority w:val="0"/>
    <w:pPr>
      <w:spacing w:before="100" w:beforeAutospacing="1" w:after="0"/>
      <w:ind w:left="0" w:firstLine="420" w:firstLineChars="200"/>
    </w:pPr>
    <w:rPr>
      <w:rFonts w:ascii="Calibri" w:hAnsi="Calibri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4401</Words>
  <Characters>4709</Characters>
  <Lines>0</Lines>
  <Paragraphs>0</Paragraphs>
  <TotalTime>8</TotalTime>
  <ScaleCrop>false</ScaleCrop>
  <LinksUpToDate>false</LinksUpToDate>
  <CharactersWithSpaces>4867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默默有为</cp:lastModifiedBy>
  <dcterms:modified xsi:type="dcterms:W3CDTF">2024-06-20T07:08:32Z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6182D3A10D564617983F46DEE354AEAF</vt:lpwstr>
  </property>
</Properties>
</file>