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岳阳市君山区岳阳市君山区市场建设服务中心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岳阳市君山区岳阳市君山区市场建设服务中心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岳阳市君山区岳阳市君山区市场建设服务中心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本单位是为广大个体工商户和菜农服务。物业管理和摊位出租。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岳阳市君山区市场建设服务中心内设机构1个，事业单位1个。内设机构包括：</w:t>
      </w:r>
      <w:r>
        <w:rPr>
          <w:rFonts w:hint="eastAsia" w:eastAsia="仿宋_GB2312"/>
          <w:sz w:val="32"/>
          <w:szCs w:val="32"/>
        </w:rPr>
        <w:t>综合办公室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eastAsia" w:eastAsia="仿宋_GB2312"/>
          <w:sz w:val="32"/>
          <w:szCs w:val="32"/>
        </w:rPr>
        <w:t>核定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市场建设服务中心</w:t>
      </w:r>
      <w:r>
        <w:rPr>
          <w:rFonts w:hint="eastAsia" w:eastAsia="仿宋_GB2312"/>
          <w:sz w:val="32"/>
          <w:szCs w:val="32"/>
          <w:lang w:val="en-US" w:eastAsia="zh-CN"/>
        </w:rPr>
        <w:t>差</w:t>
      </w:r>
      <w:r>
        <w:rPr>
          <w:rFonts w:hint="eastAsia" w:eastAsia="仿宋_GB2312"/>
          <w:sz w:val="32"/>
          <w:szCs w:val="32"/>
        </w:rPr>
        <w:t>额拨款事业编制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重新制订规范挂口市场卫生管理制度，摊位管理制度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； 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完善了市场内部管理方案，实行科学规范有序管理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选举产生主任、副主任、委员，制订管理相关工作制度，发挥自我管理的能力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2023年度本单位无项目支出。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2023年本部门预算资金252.52万元（基本支出252.52万元，项目支出0万元），全年实际支出252.52万元，其中基本支出252.52万元，项目支出0万元，预算执行率100%。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社2023年度全年预算252.52万元（工资福利支出77.72万元、商品和服务支出167万元、对个人和家庭的补助4.1万元、资本性支出3.69万元），其中一般公共预算财政拨款118.55万元。本单位2023年度基本支出252.52万元（工资福利支出77.72万元、商品和服务支出167万元、对个人和家庭的补助4.1万元、资本性支出3.69万元）），其中人员经费81.83万元，公用经费170.69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预算0万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本单位固定资产原值39.56万元，净值10.14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一是强化内部管理。中心工作人员11人，其中在编6人，保洁员5人，我们进一步明确了工作职责，进行了有效管理；严格收入管理，健全审批制度，建立奖励机制。完善了市场内部管理方案，实行科学规范有序管理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二是规范市场管理。重新制订规范挂口市场卫生管理制度，摊位管理制度，加大市场内部管理制度。由商粮、工商、食药、住建、公安、社区等多个部门组成，对市场进行了综合整治。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是优化市场服务。我们认真做好市场服务相关工作，根据区政府挂口农贸市场整治工作会议要求，迅速成立挂口菜市场经营户管理委员会。选举产生主任、副主任、委员，制订管理相关工作制度，发挥自我管理的能力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规范化县项目建设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168.7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170.69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：刘继军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13873030025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湛海清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岳阳市君山区岳阳市君山区市场建设服务中心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75.17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118.55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113.97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1、强化目标管理，确保收入完成。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2、实现市场精细化、常态化管理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3、加大市场硬件和软件设施维护建设。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4、保障市场服务中心在职人员的正常办公及生活秩序。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5、完成上级部门分配的其他工作任务。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进行了有效管理；严格收入管理，健全审批制度，建立奖励机制。完善了市场内部管理方案，实行科学规范有序管理；重新制订规范挂口市场卫生管理制度，摊位管理制度，加大市场内部管理制度。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门面摊位出租率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卫生督查次数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发布考核通报期数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12期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12期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开展消防演练次数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租金到位率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　＝100%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督查问题整改率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信息更新及时率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重、特大事故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＝0次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保障经济高质量发展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提高市场服务质量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促进本地生产总值进一步增长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69225C5"/>
    <w:multiLevelType w:val="singleLevel"/>
    <w:tmpl w:val="16922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CC73AEB"/>
    <w:rsid w:val="04D06013"/>
    <w:rsid w:val="04D1736D"/>
    <w:rsid w:val="075449B1"/>
    <w:rsid w:val="07DC6755"/>
    <w:rsid w:val="08FD2E27"/>
    <w:rsid w:val="0A0A7F8B"/>
    <w:rsid w:val="0A371911"/>
    <w:rsid w:val="0CEC52A6"/>
    <w:rsid w:val="10282537"/>
    <w:rsid w:val="156E60BC"/>
    <w:rsid w:val="15E11B06"/>
    <w:rsid w:val="16B23BE3"/>
    <w:rsid w:val="18DD19B3"/>
    <w:rsid w:val="1A4B69F3"/>
    <w:rsid w:val="1BC7354C"/>
    <w:rsid w:val="20BE7648"/>
    <w:rsid w:val="20F65D78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33E67E90"/>
    <w:rsid w:val="361F652E"/>
    <w:rsid w:val="38B7797A"/>
    <w:rsid w:val="3AE10137"/>
    <w:rsid w:val="3DD671C7"/>
    <w:rsid w:val="3E4B54BF"/>
    <w:rsid w:val="401E2B47"/>
    <w:rsid w:val="406A21FA"/>
    <w:rsid w:val="406A4374"/>
    <w:rsid w:val="40DB004A"/>
    <w:rsid w:val="48587156"/>
    <w:rsid w:val="4986331F"/>
    <w:rsid w:val="4D6C56FA"/>
    <w:rsid w:val="55642FF8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DC13431"/>
    <w:rsid w:val="749009D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4918</Words>
  <Characters>5294</Characters>
  <Lines>0</Lines>
  <Paragraphs>0</Paragraphs>
  <TotalTime>26</TotalTime>
  <ScaleCrop>false</ScaleCrop>
  <LinksUpToDate>false</LinksUpToDate>
  <CharactersWithSpaces>5621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Administrator</cp:lastModifiedBy>
  <dcterms:modified xsi:type="dcterms:W3CDTF">2024-07-01T01:14:06Z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BF4AE4C20AD54396966B879FA3946DA1_13</vt:lpwstr>
  </property>
</Properties>
</file>