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44"/>
          <w:szCs w:val="44"/>
          <w:highlight w:val="none"/>
        </w:rPr>
      </w:pP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君山区水利工程项目建设管理中心</w:t>
      </w: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default" w:ascii="Times New Roman" w:hAnsi="Times New Roman" w:eastAsia="方正小标宋_GBK" w:cs="Times New Roman"/>
          <w:b/>
          <w:sz w:val="52"/>
          <w:szCs w:val="5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楷体_GB2312" w:cs="Times New Roman"/>
          <w:b/>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center"/>
        <w:rPr>
          <w:rFonts w:hint="default" w:ascii="Times New Roman" w:hAnsi="Times New Roman" w:eastAsia="黑体" w:cs="Times New Roman"/>
          <w:sz w:val="32"/>
          <w:szCs w:val="32"/>
          <w:highlight w:val="none"/>
        </w:rPr>
      </w:pPr>
    </w:p>
    <w:p>
      <w:pPr>
        <w:jc w:val="both"/>
        <w:rPr>
          <w:rFonts w:hint="default" w:ascii="Times New Roman" w:hAnsi="Times New Roman" w:eastAsia="黑体" w:cs="Times New Roman"/>
          <w:sz w:val="32"/>
          <w:szCs w:val="32"/>
          <w:highlight w:val="none"/>
        </w:rPr>
      </w:pPr>
    </w:p>
    <w:p>
      <w:pPr>
        <w:spacing w:line="600" w:lineRule="exact"/>
        <w:ind w:firstLine="1920" w:firstLineChars="600"/>
        <w:jc w:val="both"/>
        <w:rPr>
          <w:rFonts w:hint="default" w:ascii="Times New Roman" w:hAnsi="Times New Roman" w:eastAsia="仿宋_GB2312" w:cs="Times New Roman"/>
          <w:sz w:val="32"/>
          <w:szCs w:val="32"/>
          <w:highlight w:val="none"/>
          <w:u w:val="single"/>
        </w:rPr>
      </w:pPr>
      <w:r>
        <w:rPr>
          <w:rFonts w:hint="default" w:ascii="Times New Roman" w:hAnsi="Times New Roman" w:eastAsia="仿宋_GB2312" w:cs="Times New Roman"/>
          <w:sz w:val="32"/>
          <w:szCs w:val="32"/>
          <w:highlight w:val="none"/>
        </w:rPr>
        <w:t>部门（单位）名称：</w:t>
      </w:r>
      <w:r>
        <w:rPr>
          <w:rFonts w:hint="default" w:ascii="Times New Roman" w:hAnsi="Times New Roman" w:eastAsia="仿宋_GB2312" w:cs="Times New Roman"/>
          <w:sz w:val="32"/>
          <w:szCs w:val="32"/>
          <w:highlight w:val="none"/>
          <w:u w:val="single"/>
        </w:rPr>
        <w:t>（盖章）</w:t>
      </w:r>
    </w:p>
    <w:p>
      <w:pPr>
        <w:spacing w:line="600" w:lineRule="exact"/>
        <w:jc w:val="center"/>
        <w:rPr>
          <w:rFonts w:hint="default" w:ascii="Times New Roman" w:hAnsi="Times New Roman" w:eastAsia="楷体_GB2312" w:cs="Times New Roman"/>
          <w:sz w:val="32"/>
          <w:szCs w:val="32"/>
          <w:highlight w:val="none"/>
        </w:rPr>
      </w:pPr>
      <w:r>
        <w:rPr>
          <w:rFonts w:hint="default" w:ascii="Times New Roman" w:hAnsi="Times New Roman" w:eastAsia="楷体_GB2312" w:cs="Times New Roman"/>
          <w:sz w:val="32"/>
          <w:szCs w:val="32"/>
          <w:highlight w:val="none"/>
        </w:rPr>
        <w:t>年  月  日</w:t>
      </w:r>
    </w:p>
    <w:p>
      <w:pPr>
        <w:jc w:val="center"/>
        <w:rPr>
          <w:rFonts w:hint="eastAsia" w:ascii="方正小标宋简体" w:hAnsi="方正小标宋简体" w:eastAsia="方正小标宋简体" w:cs="方正小标宋简体"/>
          <w:sz w:val="44"/>
          <w:szCs w:val="44"/>
          <w:highlight w:val="none"/>
        </w:rPr>
      </w:pPr>
      <w:r>
        <w:rPr>
          <w:rFonts w:hint="default" w:ascii="Times New Roman" w:hAnsi="Times New Roman" w:eastAsia="仿宋_GB2312" w:cs="Times New Roman"/>
          <w:sz w:val="32"/>
          <w:szCs w:val="32"/>
          <w:highlight w:val="none"/>
        </w:rPr>
        <w:br w:type="page"/>
      </w:r>
      <w:r>
        <w:rPr>
          <w:rFonts w:hint="eastAsia" w:ascii="方正小标宋简体" w:hAnsi="方正小标宋简体" w:eastAsia="方正小标宋简体" w:cs="方正小标宋简体"/>
          <w:sz w:val="44"/>
          <w:szCs w:val="44"/>
          <w:highlight w:val="none"/>
        </w:rPr>
        <w:t>202</w:t>
      </w:r>
      <w:r>
        <w:rPr>
          <w:rFonts w:hint="eastAsia" w:ascii="方正小标宋简体" w:hAnsi="方正小标宋简体" w:eastAsia="方正小标宋简体" w:cs="方正小标宋简体"/>
          <w:sz w:val="44"/>
          <w:szCs w:val="44"/>
          <w:highlight w:val="none"/>
          <w:lang w:val="en-US" w:eastAsia="zh-CN"/>
        </w:rPr>
        <w:t>3</w:t>
      </w:r>
      <w:r>
        <w:rPr>
          <w:rFonts w:hint="eastAsia" w:ascii="方正小标宋简体" w:hAnsi="方正小标宋简体" w:eastAsia="方正小标宋简体" w:cs="方正小标宋简体"/>
          <w:sz w:val="44"/>
          <w:szCs w:val="44"/>
          <w:highlight w:val="none"/>
        </w:rPr>
        <w:t>年度</w:t>
      </w:r>
      <w:r>
        <w:rPr>
          <w:rFonts w:hint="eastAsia" w:ascii="方正小标宋简体" w:hAnsi="方正小标宋简体" w:eastAsia="方正小标宋简体" w:cs="方正小标宋简体"/>
          <w:sz w:val="44"/>
          <w:szCs w:val="44"/>
          <w:highlight w:val="none"/>
          <w:lang w:val="en-US" w:eastAsia="zh-CN"/>
        </w:rPr>
        <w:t>君山区水利工程项目建设管理中心</w:t>
      </w:r>
      <w:r>
        <w:rPr>
          <w:rFonts w:hint="eastAsia" w:ascii="方正小标宋简体" w:hAnsi="方正小标宋简体" w:eastAsia="方正小标宋简体" w:cs="方正小标宋简体"/>
          <w:sz w:val="44"/>
          <w:szCs w:val="44"/>
          <w:highlight w:val="none"/>
        </w:rPr>
        <w:t>单位整体支出绩效自评报告</w:t>
      </w:r>
    </w:p>
    <w:p>
      <w:pPr>
        <w:jc w:val="center"/>
        <w:rPr>
          <w:rFonts w:hint="eastAsia" w:ascii="方正小标宋简体" w:hAnsi="方正小标宋简体" w:eastAsia="方正小标宋简体" w:cs="方正小标宋简体"/>
          <w:sz w:val="44"/>
          <w:szCs w:val="44"/>
          <w:highlight w:val="none"/>
        </w:rPr>
      </w:pPr>
    </w:p>
    <w:p>
      <w:pPr>
        <w:keepNext w:val="0"/>
        <w:keepLines w:val="0"/>
        <w:pageBreakBefore w:val="0"/>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仿宋_GB2312" w:cs="Times New Roman"/>
          <w:sz w:val="32"/>
          <w:szCs w:val="32"/>
          <w:highlight w:val="none"/>
        </w:rPr>
      </w:pPr>
    </w:p>
    <w:p>
      <w:pPr>
        <w:keepNext w:val="0"/>
        <w:keepLines w:val="0"/>
        <w:pageBreakBefore w:val="0"/>
        <w:numPr>
          <w:ilvl w:val="0"/>
          <w:numId w:val="1"/>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部门（单位）基本情况</w:t>
      </w:r>
    </w:p>
    <w:p>
      <w:pPr>
        <w:numPr>
          <w:ilvl w:val="0"/>
          <w:numId w:val="2"/>
        </w:numPr>
        <w:spacing w:line="560" w:lineRule="exact"/>
        <w:ind w:firstLine="643" w:firstLineChars="200"/>
        <w:rPr>
          <w:rFonts w:hint="eastAsia" w:ascii="仿宋_GB2312" w:hAnsi="仿宋_GB2312" w:eastAsia="仿宋_GB2312" w:cs="仿宋_GB2312"/>
          <w:b/>
          <w:bCs w:val="0"/>
          <w:sz w:val="32"/>
          <w:szCs w:val="32"/>
          <w:lang w:eastAsia="zh-CN"/>
        </w:rPr>
      </w:pPr>
      <w:r>
        <w:rPr>
          <w:rFonts w:hint="eastAsia" w:ascii="仿宋_GB2312" w:hAnsi="仿宋_GB2312" w:eastAsia="仿宋_GB2312" w:cs="仿宋_GB2312"/>
          <w:b/>
          <w:bCs w:val="0"/>
          <w:sz w:val="32"/>
          <w:szCs w:val="32"/>
        </w:rPr>
        <w:t>、</w:t>
      </w:r>
      <w:r>
        <w:rPr>
          <w:rFonts w:hint="eastAsia" w:ascii="仿宋_GB2312" w:hAnsi="仿宋_GB2312" w:eastAsia="仿宋_GB2312" w:cs="仿宋_GB2312"/>
          <w:b/>
          <w:bCs w:val="0"/>
          <w:sz w:val="32"/>
          <w:szCs w:val="32"/>
          <w:lang w:eastAsia="zh-CN"/>
        </w:rPr>
        <w:t>单位职能</w:t>
      </w:r>
    </w:p>
    <w:p>
      <w:pPr>
        <w:widowControl/>
        <w:spacing w:line="600" w:lineRule="exact"/>
        <w:ind w:firstLine="627" w:firstLineChars="196"/>
        <w:jc w:val="left"/>
        <w:rPr>
          <w:rFonts w:hint="eastAsia" w:eastAsia="仿宋"/>
          <w:color w:val="000000"/>
          <w:sz w:val="32"/>
          <w:lang w:eastAsia="zh-CN"/>
        </w:rPr>
      </w:pPr>
      <w:r>
        <w:rPr>
          <w:rFonts w:hint="eastAsia" w:ascii="仿宋" w:hAnsi="仿宋" w:eastAsia="仿宋" w:cs="仿宋"/>
          <w:bCs/>
          <w:sz w:val="32"/>
          <w:szCs w:val="32"/>
        </w:rPr>
        <w:t>君山区水利工程项目建设管理中心是君山区中小型水利项目的建设主体，对工程建设的全过程管理负责，保证按照项目需要组织完成项目建设，对项目建设的前期工作，建设实施阶段的工程质量、工程进度、资金管理和生产安全负总责</w:t>
      </w:r>
      <w:r>
        <w:rPr>
          <w:rFonts w:hint="eastAsia" w:eastAsia="仿宋" w:cs="仿宋"/>
          <w:bCs/>
          <w:sz w:val="32"/>
          <w:szCs w:val="32"/>
          <w:lang w:eastAsia="zh-CN"/>
        </w:rPr>
        <w:t>。</w:t>
      </w:r>
    </w:p>
    <w:p>
      <w:pPr>
        <w:spacing w:line="560" w:lineRule="exact"/>
        <w:ind w:firstLine="643" w:firstLineChars="200"/>
        <w:rPr>
          <w:rFonts w:hint="eastAsia" w:ascii="仿宋_GB2312" w:hAnsi="仿宋_GB2312" w:eastAsia="仿宋_GB2312" w:cs="仿宋_GB2312"/>
          <w:bCs/>
          <w:sz w:val="32"/>
          <w:szCs w:val="32"/>
        </w:rPr>
      </w:pPr>
      <w:r>
        <w:rPr>
          <w:rFonts w:hint="default" w:ascii="Times New Roman" w:hAnsi="Times New Roman" w:eastAsia="楷体_GB2312" w:cs="Times New Roman"/>
          <w:b/>
          <w:sz w:val="32"/>
          <w:szCs w:val="32"/>
          <w:highlight w:val="none"/>
        </w:rPr>
        <w:t>（</w:t>
      </w:r>
      <w:r>
        <w:rPr>
          <w:rFonts w:hint="eastAsia" w:ascii="Times New Roman" w:hAnsi="Times New Roman" w:eastAsia="楷体_GB2312" w:cs="Times New Roman"/>
          <w:b/>
          <w:sz w:val="32"/>
          <w:szCs w:val="32"/>
          <w:highlight w:val="none"/>
          <w:lang w:eastAsia="zh-CN"/>
        </w:rPr>
        <w:t>二</w:t>
      </w:r>
      <w:r>
        <w:rPr>
          <w:rFonts w:hint="default" w:ascii="Times New Roman" w:hAnsi="Times New Roman" w:eastAsia="楷体_GB2312" w:cs="Times New Roman"/>
          <w:b/>
          <w:sz w:val="32"/>
          <w:szCs w:val="32"/>
          <w:highlight w:val="none"/>
        </w:rPr>
        <w:t>）</w:t>
      </w:r>
      <w:r>
        <w:rPr>
          <w:rFonts w:hint="eastAsia" w:ascii="仿宋_GB2312" w:hAnsi="仿宋_GB2312" w:eastAsia="仿宋_GB2312" w:cs="仿宋_GB2312"/>
          <w:b/>
          <w:bCs w:val="0"/>
          <w:sz w:val="32"/>
          <w:szCs w:val="32"/>
        </w:rPr>
        <w:t>、机构设置</w:t>
      </w:r>
    </w:p>
    <w:p>
      <w:pPr>
        <w:widowControl/>
        <w:spacing w:line="600" w:lineRule="exact"/>
        <w:ind w:firstLine="627" w:firstLineChars="196"/>
        <w:jc w:val="left"/>
        <w:rPr>
          <w:rFonts w:hint="eastAsia"/>
          <w:sz w:val="32"/>
          <w:szCs w:val="32"/>
        </w:rPr>
      </w:pPr>
      <w:r>
        <w:rPr>
          <w:rFonts w:hint="eastAsia" w:ascii="仿宋" w:hAnsi="仿宋" w:eastAsia="仿宋" w:cs="仿宋"/>
          <w:bCs/>
          <w:sz w:val="32"/>
          <w:szCs w:val="32"/>
          <w:lang w:val="zh-CN"/>
        </w:rPr>
        <w:t>君山区水利工程项目建设管理中心单位</w:t>
      </w:r>
      <w:r>
        <w:rPr>
          <w:rFonts w:hint="eastAsia" w:ascii="仿宋" w:hAnsi="仿宋" w:eastAsia="仿宋" w:cs="仿宋"/>
          <w:bCs/>
          <w:sz w:val="32"/>
          <w:szCs w:val="32"/>
        </w:rPr>
        <w:t>隶属于君山区水利局二级机构。单位设四个部门，即综合计划部、财务部、工程技术部、安全生产部。综合计划部负责规划计划、统计、档案管理及综合协调；财务部负责项目资金筹集，账务处理，参与工程结算及竣工审计等；工程技术部负责工程建设的实施、质量监督、现场监管、工程验收、建设管理资料收集整理并协助项目前期工作；安全生产部负责安全生产、移民拆迁、施工现场环境协调等。</w:t>
      </w: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二、一般公共预算支出情况</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（一）基本支出情况</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Times New Roman" w:hAnsi="Times New Roman" w:eastAsia="楷体_GB2312" w:cs="Times New Roman"/>
          <w:b w:val="0"/>
          <w:bCs/>
          <w:sz w:val="32"/>
          <w:szCs w:val="32"/>
          <w:lang w:eastAsia="zh-CN"/>
        </w:rPr>
      </w:pPr>
      <w:r>
        <w:rPr>
          <w:rFonts w:hint="eastAsia" w:ascii="仿宋_GB2312" w:hAnsi="仿宋_GB2312" w:eastAsia="仿宋_GB2312" w:cs="仿宋_GB2312"/>
          <w:kern w:val="2"/>
          <w:sz w:val="32"/>
          <w:szCs w:val="32"/>
          <w:lang w:val="en-US" w:eastAsia="zh-CN" w:bidi="ar-SA"/>
        </w:rPr>
        <w:t>2023年本单位部门预算资金100.07万元（基本支出99.47万元，项目支出0.6万元），全年实际支出100.07万元，其中基本支出99.47万元，项目支出0.6万元，预算执行率100%。　　　　　　</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本单位2023年度全年预算100.07万元（工资福利支出65.56万元、商品和服务支出25.55万元、对个人和家庭的补助8.76万元、资本性支出0.2万元、），其中一般公共预算财政拨款100.07万元。本单位2023年度基本支出99.47万元，其中人员经费74.32万元，公用经费25.15万元。</w:t>
      </w:r>
    </w:p>
    <w:p>
      <w:pPr>
        <w:pStyle w:val="7"/>
        <w:keepNext w:val="0"/>
        <w:keepLines w:val="0"/>
        <w:pageBreakBefore w:val="0"/>
        <w:widowControl/>
        <w:kinsoku/>
        <w:wordWrap/>
        <w:overflowPunct/>
        <w:topLinePunct w:val="0"/>
        <w:autoSpaceDE/>
        <w:autoSpaceDN/>
        <w:bidi w:val="0"/>
        <w:adjustRightInd/>
        <w:snapToGrid/>
        <w:spacing w:line="560" w:lineRule="exact"/>
        <w:ind w:left="0" w:leftChars="0" w:firstLine="640" w:firstLineChars="200"/>
        <w:jc w:val="both"/>
        <w:textAlignment w:val="auto"/>
        <w:rPr>
          <w:rFonts w:hint="eastAsia" w:eastAsia="仿宋_GB2312" w:cs="仿宋_GB2312"/>
          <w:kern w:val="0"/>
          <w:sz w:val="32"/>
          <w:szCs w:val="32"/>
          <w:lang w:val="en-US" w:eastAsia="zh-CN"/>
        </w:rPr>
      </w:pPr>
      <w:r>
        <w:rPr>
          <w:rFonts w:hint="eastAsia" w:ascii="仿宋_GB2312" w:hAnsi="仿宋_GB2312" w:eastAsia="仿宋_GB2312" w:cs="仿宋_GB2312"/>
          <w:kern w:val="2"/>
          <w:sz w:val="32"/>
          <w:szCs w:val="32"/>
          <w:lang w:val="en-US" w:eastAsia="zh-CN" w:bidi="ar-SA"/>
        </w:rPr>
        <w:t>基本支出主要</w:t>
      </w:r>
      <w:r>
        <w:rPr>
          <w:rFonts w:hint="eastAsia" w:eastAsia="仿宋_GB2312" w:cs="仿宋_GB2312"/>
          <w:kern w:val="0"/>
          <w:sz w:val="32"/>
          <w:szCs w:val="32"/>
          <w:lang w:eastAsia="zh-CN"/>
        </w:rPr>
        <w:t>是指为保障单位机构正常运转、完成日常工作任务而发生的各项支出，包括用于基本工资、</w:t>
      </w:r>
      <w:r>
        <w:rPr>
          <w:rFonts w:hint="eastAsia" w:eastAsia="仿宋_GB2312" w:cs="仿宋_GB2312"/>
          <w:kern w:val="0"/>
          <w:sz w:val="32"/>
          <w:szCs w:val="32"/>
          <w:lang w:val="en-US" w:eastAsia="zh-CN"/>
        </w:rPr>
        <w:t>绩效工资、</w:t>
      </w:r>
      <w:r>
        <w:rPr>
          <w:rFonts w:hint="eastAsia" w:eastAsia="仿宋_GB2312" w:cs="仿宋_GB2312"/>
          <w:kern w:val="0"/>
          <w:sz w:val="32"/>
          <w:szCs w:val="32"/>
          <w:lang w:eastAsia="zh-CN"/>
        </w:rPr>
        <w:t>津贴补贴、</w:t>
      </w:r>
      <w:r>
        <w:rPr>
          <w:rFonts w:hint="eastAsia" w:eastAsia="仿宋_GB2312" w:cs="仿宋_GB2312"/>
          <w:kern w:val="0"/>
          <w:sz w:val="32"/>
          <w:szCs w:val="32"/>
          <w:lang w:val="en-US" w:eastAsia="zh-CN"/>
        </w:rPr>
        <w:t>社会保障缴费</w:t>
      </w:r>
      <w:r>
        <w:rPr>
          <w:rFonts w:hint="eastAsia" w:eastAsia="仿宋_GB2312" w:cs="仿宋_GB2312"/>
          <w:kern w:val="0"/>
          <w:sz w:val="32"/>
          <w:szCs w:val="32"/>
          <w:lang w:eastAsia="zh-CN"/>
        </w:rPr>
        <w:t>等人员经费，办公费、印刷费、水电费、差旅费、</w:t>
      </w:r>
      <w:r>
        <w:rPr>
          <w:rFonts w:hint="eastAsia" w:eastAsia="仿宋_GB2312" w:cs="仿宋_GB2312"/>
          <w:kern w:val="0"/>
          <w:sz w:val="32"/>
          <w:szCs w:val="32"/>
          <w:lang w:val="en-US" w:eastAsia="zh-CN"/>
        </w:rPr>
        <w:t>公务接待费、维修（护）费</w:t>
      </w:r>
      <w:r>
        <w:rPr>
          <w:rFonts w:hint="eastAsia" w:eastAsia="仿宋_GB2312" w:cs="仿宋_GB2312"/>
          <w:kern w:val="0"/>
          <w:sz w:val="32"/>
          <w:szCs w:val="32"/>
          <w:lang w:eastAsia="zh-CN"/>
        </w:rPr>
        <w:t>等日常公用经费，</w:t>
      </w:r>
      <w:r>
        <w:rPr>
          <w:rFonts w:hint="eastAsia" w:eastAsia="仿宋_GB2312" w:cs="仿宋_GB2312"/>
          <w:kern w:val="0"/>
          <w:sz w:val="32"/>
          <w:szCs w:val="32"/>
          <w:lang w:val="en-US" w:eastAsia="zh-CN"/>
        </w:rPr>
        <w:t>以及离退休费用等其他对个人和家庭的补助支出。</w:t>
      </w:r>
    </w:p>
    <w:p>
      <w:pPr>
        <w:pStyle w:val="7"/>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楷体_GB2312" w:cs="Times New Roman"/>
          <w:b/>
          <w:sz w:val="32"/>
          <w:szCs w:val="32"/>
          <w:highlight w:val="none"/>
        </w:rPr>
      </w:pPr>
      <w:r>
        <w:rPr>
          <w:rFonts w:hint="default" w:ascii="Times New Roman" w:hAnsi="Times New Roman" w:eastAsia="楷体_GB2312" w:cs="Times New Roman"/>
          <w:b/>
          <w:sz w:val="32"/>
          <w:szCs w:val="32"/>
          <w:highlight w:val="none"/>
        </w:rPr>
        <w:t>（二）项目支出情况</w:t>
      </w:r>
    </w:p>
    <w:p>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firstLine="320" w:firstLineChars="1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2024年本单位项目支出0.6万元，主要是本单位为完成特定工作任务或事业发展目标而发生的支出，</w:t>
      </w:r>
      <w:r>
        <w:rPr>
          <w:rFonts w:hint="eastAsia" w:eastAsia="仿宋_GB2312"/>
          <w:sz w:val="32"/>
          <w:szCs w:val="32"/>
        </w:rPr>
        <w:t>主要用于项目建设单位管理费等方面。</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三、政府性基金预算支出情况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国有资本经营预算支出情况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lang w:val="en-US" w:eastAsia="zh-CN"/>
        </w:rPr>
      </w:pPr>
      <w:r>
        <w:rPr>
          <w:rFonts w:hint="eastAsia" w:ascii="Times New Roman" w:hAnsi="Times New Roman" w:eastAsia="黑体" w:cs="Times New Roman"/>
          <w:sz w:val="32"/>
          <w:szCs w:val="32"/>
          <w:highlight w:val="none"/>
          <w:lang w:val="en-US" w:eastAsia="zh-CN"/>
        </w:rPr>
        <w:t xml:space="preserve"> </w:t>
      </w:r>
      <w:r>
        <w:rPr>
          <w:rFonts w:hint="eastAsia" w:ascii="仿宋_GB2312" w:hAnsi="仿宋_GB2312" w:eastAsia="仿宋_GB2312" w:cs="仿宋_GB2312"/>
          <w:color w:val="000000"/>
          <w:kern w:val="2"/>
          <w:sz w:val="32"/>
          <w:szCs w:val="32"/>
          <w:shd w:val="clear" w:color="auto" w:fill="FFFFFF"/>
          <w:lang w:val="en-US" w:eastAsia="zh-CN" w:bidi="ar-SA"/>
        </w:rPr>
        <w:t>2023年本单位无此项支出。</w:t>
      </w:r>
    </w:p>
    <w:p>
      <w:pPr>
        <w:pStyle w:val="7"/>
        <w:keepNext w:val="0"/>
        <w:keepLines w:val="0"/>
        <w:pageBreakBefore w:val="0"/>
        <w:widowControl/>
        <w:numPr>
          <w:ilvl w:val="0"/>
          <w:numId w:val="3"/>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社会保险基金预算支出情况</w:t>
      </w:r>
    </w:p>
    <w:p>
      <w:pPr>
        <w:pStyle w:val="7"/>
        <w:keepNext w:val="0"/>
        <w:keepLines w:val="0"/>
        <w:pageBreakBefore w:val="0"/>
        <w:widowControl/>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 xml:space="preserve"> 2023年本单位无此项支出。</w:t>
      </w:r>
    </w:p>
    <w:p>
      <w:pPr>
        <w:pStyle w:val="7"/>
        <w:keepNext w:val="0"/>
        <w:keepLines w:val="0"/>
        <w:pageBreakBefore w:val="0"/>
        <w:widowControl/>
        <w:numPr>
          <w:ilvl w:val="0"/>
          <w:numId w:val="0"/>
        </w:numPr>
        <w:kinsoku/>
        <w:wordWrap/>
        <w:overflowPunct/>
        <w:topLinePunct w:val="0"/>
        <w:autoSpaceDE/>
        <w:autoSpaceDN/>
        <w:bidi w:val="0"/>
        <w:adjustRightInd/>
        <w:snapToGrid/>
        <w:spacing w:line="640" w:lineRule="exact"/>
        <w:ind w:leftChars="200"/>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六、部门整体支出绩效情况</w:t>
      </w: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r>
        <w:rPr>
          <w:rFonts w:hint="eastAsia" w:ascii="Times New Roman" w:hAnsi="Times New Roman" w:eastAsia="黑体" w:cs="Times New Roman"/>
          <w:sz w:val="32"/>
          <w:szCs w:val="32"/>
          <w:lang w:eastAsia="zh-CN"/>
        </w:rPr>
        <w:t>　</w:t>
      </w:r>
      <w:r>
        <w:rPr>
          <w:rFonts w:hint="default" w:ascii="仿宋_GB2312" w:hAnsi="仿宋_GB2312" w:eastAsia="仿宋_GB2312" w:cs="仿宋_GB2312"/>
          <w:kern w:val="2"/>
          <w:sz w:val="32"/>
          <w:szCs w:val="32"/>
          <w:lang w:val="en-US" w:eastAsia="zh-CN" w:bidi="ar-SA"/>
        </w:rPr>
        <w:t>2023年，</w:t>
      </w:r>
      <w:r>
        <w:rPr>
          <w:rFonts w:hint="eastAsia" w:ascii="仿宋_GB2312" w:hAnsi="仿宋_GB2312" w:eastAsia="仿宋_GB2312" w:cs="仿宋_GB2312"/>
          <w:kern w:val="2"/>
          <w:sz w:val="32"/>
          <w:szCs w:val="32"/>
          <w:lang w:val="en-US" w:eastAsia="zh-CN" w:bidi="ar-SA"/>
        </w:rPr>
        <w:t>本单位</w:t>
      </w:r>
      <w:r>
        <w:rPr>
          <w:rFonts w:hint="default" w:ascii="仿宋_GB2312" w:hAnsi="仿宋_GB2312" w:eastAsia="仿宋_GB2312" w:cs="仿宋_GB2312"/>
          <w:kern w:val="2"/>
          <w:sz w:val="32"/>
          <w:szCs w:val="32"/>
          <w:lang w:val="en-US" w:eastAsia="zh-CN" w:bidi="ar-SA"/>
        </w:rPr>
        <w:t>积极履职，资金管理规范，</w:t>
      </w:r>
      <w:r>
        <w:rPr>
          <w:rFonts w:hint="eastAsia" w:ascii="仿宋_GB2312" w:hAnsi="仿宋_GB2312" w:eastAsia="仿宋_GB2312" w:cs="仿宋_GB2312"/>
          <w:kern w:val="2"/>
          <w:sz w:val="32"/>
          <w:szCs w:val="32"/>
          <w:lang w:val="en-US" w:eastAsia="zh-CN" w:bidi="ar-SA"/>
        </w:rPr>
        <w:t>资产</w:t>
      </w:r>
      <w:r>
        <w:rPr>
          <w:rFonts w:hint="default" w:ascii="仿宋_GB2312" w:hAnsi="仿宋_GB2312" w:eastAsia="仿宋_GB2312" w:cs="仿宋_GB2312"/>
          <w:kern w:val="2"/>
          <w:sz w:val="32"/>
          <w:szCs w:val="32"/>
          <w:lang w:val="en-US" w:eastAsia="zh-CN" w:bidi="ar-SA"/>
        </w:rPr>
        <w:t>管理到位，政策执行有力，较好地完成了年度工作目标，有效发挥了财政资金的使用效率。在人员经费支出上</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严格执行上级的各项制度;在</w:t>
      </w:r>
      <w:r>
        <w:rPr>
          <w:rFonts w:hint="eastAsia" w:ascii="仿宋_GB2312" w:hAnsi="仿宋_GB2312" w:eastAsia="仿宋_GB2312" w:cs="仿宋_GB2312"/>
          <w:kern w:val="2"/>
          <w:sz w:val="32"/>
          <w:szCs w:val="32"/>
          <w:lang w:val="en-US" w:eastAsia="zh-CN" w:bidi="ar-SA"/>
        </w:rPr>
        <w:t>公用</w:t>
      </w:r>
      <w:r>
        <w:rPr>
          <w:rFonts w:hint="default" w:ascii="仿宋_GB2312" w:hAnsi="仿宋_GB2312" w:eastAsia="仿宋_GB2312" w:cs="仿宋_GB2312"/>
          <w:kern w:val="2"/>
          <w:sz w:val="32"/>
          <w:szCs w:val="32"/>
          <w:lang w:val="en-US" w:eastAsia="zh-CN" w:bidi="ar-SA"/>
        </w:rPr>
        <w:t>经费使用上，</w:t>
      </w:r>
      <w:r>
        <w:rPr>
          <w:rFonts w:hint="eastAsia" w:ascii="仿宋_GB2312" w:hAnsi="仿宋_GB2312" w:eastAsia="仿宋_GB2312" w:cs="仿宋_GB2312"/>
          <w:kern w:val="2"/>
          <w:sz w:val="32"/>
          <w:szCs w:val="32"/>
          <w:lang w:val="en-US" w:eastAsia="zh-CN" w:bidi="ar-SA"/>
        </w:rPr>
        <w:t>严格执行预算</w:t>
      </w:r>
      <w:r>
        <w:rPr>
          <w:rFonts w:hint="default" w:ascii="仿宋_GB2312" w:hAnsi="仿宋_GB2312" w:eastAsia="仿宋_GB2312" w:cs="仿宋_GB2312"/>
          <w:kern w:val="2"/>
          <w:sz w:val="32"/>
          <w:szCs w:val="32"/>
          <w:lang w:val="en-US" w:eastAsia="zh-CN" w:bidi="ar-SA"/>
        </w:rPr>
        <w:t>;</w:t>
      </w:r>
      <w:r>
        <w:rPr>
          <w:rFonts w:hint="eastAsia" w:ascii="仿宋_GB2312" w:hAnsi="仿宋_GB2312" w:eastAsia="仿宋_GB2312" w:cs="仿宋_GB2312"/>
          <w:kern w:val="2"/>
          <w:sz w:val="32"/>
          <w:szCs w:val="32"/>
          <w:lang w:val="en-US" w:eastAsia="zh-CN" w:bidi="ar-SA"/>
        </w:rPr>
        <w:t>在</w:t>
      </w:r>
      <w:r>
        <w:rPr>
          <w:rFonts w:hint="default" w:ascii="仿宋_GB2312" w:hAnsi="仿宋_GB2312" w:eastAsia="仿宋_GB2312" w:cs="仿宋_GB2312"/>
          <w:kern w:val="2"/>
          <w:sz w:val="32"/>
          <w:szCs w:val="32"/>
          <w:lang w:val="en-US" w:eastAsia="zh-CN" w:bidi="ar-SA"/>
        </w:rPr>
        <w:t>“三公”经费</w:t>
      </w:r>
      <w:r>
        <w:rPr>
          <w:rFonts w:hint="eastAsia" w:ascii="仿宋_GB2312" w:hAnsi="仿宋_GB2312" w:eastAsia="仿宋_GB2312" w:cs="仿宋_GB2312"/>
          <w:kern w:val="2"/>
          <w:sz w:val="32"/>
          <w:szCs w:val="32"/>
          <w:lang w:val="en-US" w:eastAsia="zh-CN" w:bidi="ar-SA"/>
        </w:rPr>
        <w:t>开支上，</w:t>
      </w:r>
      <w:r>
        <w:rPr>
          <w:rFonts w:hint="default" w:ascii="仿宋_GB2312" w:hAnsi="仿宋_GB2312" w:eastAsia="仿宋_GB2312" w:cs="仿宋_GB2312"/>
          <w:kern w:val="2"/>
          <w:sz w:val="32"/>
          <w:szCs w:val="32"/>
          <w:lang w:val="en-US" w:eastAsia="zh-CN" w:bidi="ar-SA"/>
        </w:rPr>
        <w:t>厉行节约，从严控制</w:t>
      </w:r>
      <w:r>
        <w:rPr>
          <w:rFonts w:hint="eastAsia" w:ascii="仿宋_GB2312" w:hAnsi="仿宋_GB2312" w:eastAsia="仿宋_GB2312" w:cs="仿宋_GB2312"/>
          <w:kern w:val="2"/>
          <w:sz w:val="32"/>
          <w:szCs w:val="32"/>
          <w:lang w:val="en-US" w:eastAsia="zh-CN" w:bidi="ar-SA"/>
        </w:rPr>
        <w:t>。</w:t>
      </w:r>
      <w:r>
        <w:rPr>
          <w:rFonts w:hint="default" w:ascii="仿宋_GB2312" w:hAnsi="仿宋_GB2312" w:eastAsia="仿宋_GB2312" w:cs="仿宋_GB2312"/>
          <w:kern w:val="2"/>
          <w:sz w:val="32"/>
          <w:szCs w:val="32"/>
          <w:lang w:val="en-US" w:eastAsia="zh-CN" w:bidi="ar-SA"/>
        </w:rPr>
        <w:t xml:space="preserve">根据《部门整体支出绩效自评表》自评得分 </w:t>
      </w:r>
      <w:r>
        <w:rPr>
          <w:rFonts w:hint="eastAsia" w:ascii="仿宋_GB2312" w:hAnsi="仿宋_GB2312" w:eastAsia="仿宋_GB2312" w:cs="仿宋_GB2312"/>
          <w:kern w:val="2"/>
          <w:sz w:val="32"/>
          <w:szCs w:val="32"/>
          <w:lang w:val="en-US" w:eastAsia="zh-CN" w:bidi="ar-SA"/>
        </w:rPr>
        <w:t>98</w:t>
      </w:r>
      <w:r>
        <w:rPr>
          <w:rFonts w:hint="default" w:ascii="仿宋_GB2312" w:hAnsi="仿宋_GB2312" w:eastAsia="仿宋_GB2312" w:cs="仿宋_GB2312"/>
          <w:kern w:val="2"/>
          <w:sz w:val="32"/>
          <w:szCs w:val="32"/>
          <w:lang w:val="en-US" w:eastAsia="zh-CN" w:bidi="ar-SA"/>
        </w:rPr>
        <w:t>分(详见附表2)，部门整体支出绩效为“优”</w:t>
      </w:r>
    </w:p>
    <w:p>
      <w:pPr>
        <w:keepNext w:val="0"/>
        <w:keepLines w:val="0"/>
        <w:pageBreakBefore w:val="0"/>
        <w:widowControl/>
        <w:kinsoku/>
        <w:wordWrap/>
        <w:overflowPunct/>
        <w:topLinePunct w:val="0"/>
        <w:autoSpaceDE/>
        <w:autoSpaceDN/>
        <w:bidi w:val="0"/>
        <w:adjustRightInd/>
        <w:snapToGrid/>
        <w:spacing w:line="640" w:lineRule="exact"/>
        <w:ind w:firstLine="643" w:firstLineChars="200"/>
        <w:jc w:val="both"/>
        <w:textAlignment w:val="auto"/>
        <w:rPr>
          <w:rFonts w:hint="default" w:ascii="Times New Roman" w:hAnsi="Times New Roman" w:eastAsia="仿宋_GB2312" w:cs="Times New Roman"/>
          <w:b/>
          <w:bCs/>
          <w:color w:val="000000"/>
          <w:sz w:val="32"/>
          <w:szCs w:val="32"/>
          <w:highlight w:val="none"/>
        </w:rPr>
      </w:pPr>
      <w:r>
        <w:rPr>
          <w:rFonts w:hint="default" w:ascii="Times New Roman" w:hAnsi="Times New Roman" w:eastAsia="仿宋_GB2312" w:cs="Times New Roman"/>
          <w:b/>
          <w:bCs/>
          <w:color w:val="000000"/>
          <w:sz w:val="32"/>
          <w:szCs w:val="32"/>
          <w:highlight w:val="none"/>
        </w:rPr>
        <w:t>（一）2023年部门整体支出绩效目标设置及完成情况</w:t>
      </w:r>
    </w:p>
    <w:p>
      <w:pPr>
        <w:autoSpaceDN w:val="0"/>
        <w:spacing w:line="405" w:lineRule="atLeast"/>
        <w:ind w:firstLine="602" w:firstLineChars="200"/>
        <w:rPr>
          <w:rFonts w:hint="eastAsia" w:ascii="仿宋" w:hAnsi="仿宋" w:eastAsia="仿宋" w:cs="仿宋"/>
          <w:color w:val="000000"/>
          <w:sz w:val="30"/>
          <w:szCs w:val="30"/>
          <w:lang w:val="en-US" w:eastAsia="zh-CN"/>
        </w:rPr>
      </w:pPr>
      <w:r>
        <w:rPr>
          <w:rFonts w:hint="eastAsia"/>
          <w:b/>
          <w:bCs/>
          <w:sz w:val="30"/>
          <w:szCs w:val="30"/>
          <w:lang w:val="en-US" w:eastAsia="zh-CN"/>
        </w:rPr>
        <w:t>目标1：</w:t>
      </w:r>
      <w:r>
        <w:rPr>
          <w:rFonts w:hint="eastAsia" w:ascii="仿宋" w:hAnsi="仿宋" w:eastAsia="仿宋" w:cs="仿宋"/>
          <w:color w:val="000000"/>
          <w:sz w:val="30"/>
          <w:szCs w:val="30"/>
          <w:lang w:val="en-US" w:eastAsia="zh-CN"/>
        </w:rPr>
        <w:t>强化内部管理，提升队伍水平</w:t>
      </w:r>
    </w:p>
    <w:p>
      <w:pPr>
        <w:autoSpaceDN w:val="0"/>
        <w:spacing w:line="405" w:lineRule="atLeast"/>
        <w:ind w:firstLine="602" w:firstLineChars="200"/>
        <w:rPr>
          <w:rFonts w:hint="eastAsia" w:ascii="仿宋" w:hAnsi="仿宋" w:eastAsia="仿宋" w:cs="仿宋"/>
          <w:color w:val="000000"/>
          <w:sz w:val="30"/>
          <w:szCs w:val="30"/>
          <w:lang w:val="en-US" w:eastAsia="zh-CN"/>
        </w:rPr>
      </w:pPr>
      <w:r>
        <w:rPr>
          <w:rFonts w:hint="eastAsia"/>
          <w:b/>
          <w:bCs/>
          <w:sz w:val="30"/>
          <w:szCs w:val="30"/>
          <w:lang w:val="en-US" w:eastAsia="zh-CN"/>
        </w:rPr>
        <w:t>完成情况：</w:t>
      </w:r>
      <w:r>
        <w:rPr>
          <w:rFonts w:hint="eastAsia" w:ascii="仿宋" w:hAnsi="仿宋" w:eastAsia="仿宋" w:cs="仿宋"/>
          <w:color w:val="000000"/>
          <w:sz w:val="30"/>
          <w:szCs w:val="30"/>
          <w:lang w:val="en-US" w:eastAsia="zh-CN"/>
        </w:rPr>
        <w:t>2023年，中心职能和人员配备不断优化，配备专业技术人员6名，中心领导一正一副、设财务部、工程技术部、综合计划部、安全生产部四个职能部门。搞好水利工程项目建设管理，建立一支精干、高效的建设管理队伍是前提。为此，我们采取明确分工职责、严格管理制度等措施来加强内部管理，做到职责清晰、和谐文明、清正廉洁、办事高效、管理规范。</w:t>
      </w:r>
    </w:p>
    <w:p>
      <w:pPr>
        <w:ind w:firstLine="735" w:firstLineChars="244"/>
        <w:jc w:val="left"/>
        <w:rPr>
          <w:rFonts w:hint="eastAsia" w:ascii="仿宋" w:hAnsi="仿宋" w:eastAsia="仿宋" w:cs="仿宋"/>
          <w:color w:val="000000"/>
          <w:sz w:val="30"/>
          <w:szCs w:val="30"/>
          <w:lang w:val="en-US" w:eastAsia="zh-CN"/>
        </w:rPr>
      </w:pPr>
      <w:r>
        <w:rPr>
          <w:rFonts w:hint="eastAsia"/>
          <w:b/>
          <w:bCs/>
          <w:sz w:val="30"/>
          <w:szCs w:val="30"/>
          <w:lang w:val="en-US" w:eastAsia="zh-CN"/>
        </w:rPr>
        <w:t>目标2：</w:t>
      </w:r>
      <w:r>
        <w:rPr>
          <w:rFonts w:hint="eastAsia" w:ascii="仿宋" w:hAnsi="仿宋" w:eastAsia="仿宋" w:cs="仿宋"/>
          <w:color w:val="000000"/>
          <w:sz w:val="30"/>
          <w:szCs w:val="30"/>
          <w:lang w:val="en-US" w:eastAsia="zh-CN"/>
        </w:rPr>
        <w:t>加强项目建设现场管理</w:t>
      </w:r>
    </w:p>
    <w:p>
      <w:pPr>
        <w:ind w:firstLine="602" w:firstLineChars="200"/>
        <w:jc w:val="left"/>
        <w:outlineLvl w:val="0"/>
        <w:rPr>
          <w:rFonts w:hint="eastAsia" w:ascii="仿宋" w:hAnsi="仿宋" w:eastAsia="仿宋" w:cs="仿宋"/>
          <w:color w:val="000000"/>
          <w:sz w:val="30"/>
          <w:szCs w:val="30"/>
          <w:lang w:val="en-US" w:eastAsia="zh-CN"/>
        </w:rPr>
      </w:pPr>
      <w:r>
        <w:rPr>
          <w:rFonts w:hint="eastAsia"/>
          <w:b/>
          <w:bCs/>
          <w:sz w:val="30"/>
          <w:szCs w:val="30"/>
          <w:lang w:val="en-US" w:eastAsia="zh-CN"/>
        </w:rPr>
        <w:t>完成情况：</w:t>
      </w:r>
      <w:r>
        <w:rPr>
          <w:rFonts w:hint="eastAsia" w:ascii="仿宋" w:hAnsi="仿宋" w:eastAsia="仿宋" w:cs="仿宋"/>
          <w:color w:val="000000"/>
          <w:sz w:val="30"/>
          <w:szCs w:val="30"/>
          <w:lang w:val="en-US" w:eastAsia="zh-CN"/>
        </w:rPr>
        <w:t>以前年度开工建设的君山区2020年度重点中型灌区项目、华容护城涝区泵站更新改造项目、牛奶铺电排改扩建及配套工程、友谊电排改扩建工程、君山区金龙金家水库除险加固项目以及农村水价综合改革项目于2023年度顺利通过竣工验收，在整个工程实施的过程中，项目覆盖面广，涉及到良心堡、广兴洲，柳林洲三个乡镇，单位指派现场代表每天至少跑2个施工现场，确保施工过程中的完全按照设计方案，确保工程质量。</w:t>
      </w:r>
    </w:p>
    <w:p>
      <w:pPr>
        <w:spacing w:beforeLines="0" w:afterLines="0"/>
        <w:ind w:firstLine="879" w:firstLineChars="292"/>
        <w:outlineLvl w:val="9"/>
        <w:rPr>
          <w:rFonts w:hint="eastAsia" w:ascii="仿宋" w:hAnsi="仿宋" w:eastAsia="仿宋" w:cs="仿宋"/>
          <w:color w:val="000000"/>
          <w:sz w:val="30"/>
          <w:szCs w:val="30"/>
          <w:lang w:val="zh-CN" w:eastAsia="zh-CN"/>
        </w:rPr>
      </w:pPr>
      <w:r>
        <w:rPr>
          <w:rFonts w:hint="eastAsia"/>
          <w:b/>
          <w:bCs/>
          <w:sz w:val="30"/>
          <w:szCs w:val="30"/>
          <w:lang w:val="en-US" w:eastAsia="zh-CN"/>
        </w:rPr>
        <w:t>目标3：</w:t>
      </w:r>
      <w:r>
        <w:rPr>
          <w:rFonts w:hint="eastAsia" w:ascii="仿宋" w:hAnsi="仿宋" w:eastAsia="仿宋" w:cs="仿宋"/>
          <w:color w:val="000000"/>
          <w:sz w:val="30"/>
          <w:szCs w:val="30"/>
          <w:lang w:val="en-US" w:eastAsia="zh-CN"/>
        </w:rPr>
        <w:t>加快项目前期工作进度。</w:t>
      </w:r>
    </w:p>
    <w:p>
      <w:pPr>
        <w:ind w:firstLine="640"/>
        <w:jc w:val="left"/>
        <w:outlineLvl w:val="0"/>
        <w:rPr>
          <w:rFonts w:hint="eastAsia" w:ascii="仿宋" w:hAnsi="仿宋" w:eastAsia="仿宋" w:cs="仿宋"/>
          <w:color w:val="000000"/>
          <w:sz w:val="30"/>
          <w:szCs w:val="30"/>
          <w:lang w:val="en-US" w:eastAsia="zh-CN"/>
        </w:rPr>
      </w:pPr>
      <w:r>
        <w:rPr>
          <w:rFonts w:hint="eastAsia"/>
          <w:b/>
          <w:bCs/>
          <w:sz w:val="30"/>
          <w:szCs w:val="30"/>
          <w:lang w:val="en-US" w:eastAsia="zh-CN"/>
        </w:rPr>
        <w:t>完成情况：</w:t>
      </w:r>
      <w:r>
        <w:rPr>
          <w:rFonts w:hint="eastAsia" w:ascii="仿宋" w:hAnsi="仿宋" w:eastAsia="仿宋" w:cs="仿宋"/>
          <w:color w:val="000000"/>
          <w:sz w:val="30"/>
          <w:szCs w:val="30"/>
          <w:lang w:val="en-US" w:eastAsia="zh-CN"/>
        </w:rPr>
        <w:t>2023年我建管中心新建项目有：君山区十四五排涝能力建设一期、二期工程，坨龙凤凰鱼溪水库除险加固工程，松木塘石水库除险加固工程。从项目资金下达开始，我单位迅速开展工作，从立项到初设、财政预评、施工招标的过程中指派专人全程参与。</w:t>
      </w:r>
    </w:p>
    <w:p>
      <w:pPr>
        <w:numPr>
          <w:numId w:val="0"/>
        </w:numPr>
        <w:autoSpaceDN w:val="0"/>
        <w:spacing w:line="405" w:lineRule="atLeast"/>
        <w:ind w:left="405" w:leftChars="0" w:firstLine="301" w:firstLineChars="100"/>
        <w:rPr>
          <w:rFonts w:hint="eastAsia" w:ascii="仿宋" w:hAnsi="仿宋" w:eastAsia="仿宋" w:cs="仿宋"/>
          <w:color w:val="000000"/>
          <w:sz w:val="30"/>
          <w:szCs w:val="30"/>
          <w:lang w:val="en-US" w:eastAsia="zh-CN"/>
        </w:rPr>
      </w:pPr>
      <w:r>
        <w:rPr>
          <w:rFonts w:hint="eastAsia"/>
          <w:b/>
          <w:bCs/>
          <w:sz w:val="30"/>
          <w:szCs w:val="30"/>
          <w:lang w:val="en-US" w:eastAsia="zh-CN"/>
        </w:rPr>
        <w:t>目标4：</w:t>
      </w:r>
      <w:r>
        <w:rPr>
          <w:rFonts w:hint="eastAsia" w:ascii="仿宋" w:hAnsi="仿宋" w:eastAsia="仿宋" w:cs="仿宋"/>
          <w:color w:val="000000"/>
          <w:sz w:val="30"/>
          <w:szCs w:val="30"/>
          <w:lang w:val="en-US" w:eastAsia="zh-CN"/>
        </w:rPr>
        <w:t>完善项目建设四制管理。</w:t>
      </w:r>
    </w:p>
    <w:p>
      <w:pPr>
        <w:numPr>
          <w:ilvl w:val="0"/>
          <w:numId w:val="0"/>
        </w:numPr>
        <w:autoSpaceDN w:val="0"/>
        <w:spacing w:line="405" w:lineRule="atLeast"/>
        <w:ind w:firstLine="602" w:firstLineChars="200"/>
        <w:rPr>
          <w:rFonts w:hint="eastAsia" w:ascii="仿宋" w:hAnsi="仿宋" w:eastAsia="仿宋" w:cs="仿宋"/>
          <w:color w:val="000000"/>
          <w:sz w:val="30"/>
          <w:szCs w:val="30"/>
          <w:lang w:val="en-US" w:eastAsia="zh-CN"/>
        </w:rPr>
      </w:pPr>
      <w:r>
        <w:rPr>
          <w:rFonts w:hint="eastAsia"/>
          <w:b/>
          <w:bCs/>
          <w:sz w:val="30"/>
          <w:szCs w:val="30"/>
          <w:lang w:val="en-US" w:eastAsia="zh-CN"/>
        </w:rPr>
        <w:t>完成情况：</w:t>
      </w:r>
      <w:r>
        <w:rPr>
          <w:rFonts w:hint="eastAsia" w:ascii="仿宋" w:hAnsi="仿宋" w:eastAsia="仿宋" w:cs="仿宋"/>
          <w:color w:val="000000"/>
          <w:sz w:val="30"/>
          <w:szCs w:val="30"/>
          <w:lang w:val="en-US" w:eastAsia="zh-CN"/>
        </w:rPr>
        <w:t>所有项目在计划下达后，将预算提交财政进行投资评审。在设计、监理和招标代理公司、施工单位的选择上，达到招标要求的，严格执行公开招标，代理公司全部实行比选制，做到公开、公平、公正。同时，对参建单位严格实行合同制管理。项目在开始实施时严格执行项目开工审批，做到审批一处开工一处。施工过程严格执行项目监理制，做到对项目全过程监管，并形成监理日志、监理巡视记录、监理旁站记录等监理资料，作为项目验收依据。</w:t>
      </w:r>
    </w:p>
    <w:p>
      <w:pPr>
        <w:ind w:firstLine="300" w:firstLineChars="100"/>
        <w:jc w:val="left"/>
        <w:outlineLvl w:val="0"/>
        <w:rPr>
          <w:rFonts w:hint="eastAsia" w:ascii="仿宋" w:hAnsi="仿宋" w:eastAsia="仿宋" w:cs="仿宋"/>
          <w:color w:val="000000"/>
          <w:sz w:val="30"/>
          <w:szCs w:val="30"/>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outlineLvl w:val="9"/>
        <w:rPr>
          <w:rFonts w:hint="eastAsia" w:ascii="仿宋_GB2312" w:eastAsia="仿宋_GB2312"/>
          <w:sz w:val="32"/>
          <w:szCs w:val="32"/>
        </w:rPr>
      </w:pP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sz w:val="30"/>
          <w:szCs w:val="30"/>
        </w:rPr>
      </w:pPr>
    </w:p>
    <w:p>
      <w:pPr>
        <w:ind w:firstLine="643" w:firstLineChars="200"/>
        <w:rPr>
          <w:rFonts w:ascii="微软雅黑" w:hAnsi="微软雅黑" w:eastAsia="微软雅黑" w:cs="微软雅黑"/>
          <w:i w:val="0"/>
          <w:iCs w:val="0"/>
          <w:caps w:val="0"/>
          <w:color w:val="333333"/>
          <w:spacing w:val="0"/>
          <w:sz w:val="24"/>
          <w:szCs w:val="24"/>
        </w:rPr>
      </w:pPr>
      <w:r>
        <w:rPr>
          <w:rFonts w:hint="eastAsia" w:ascii="楷体_GB2312" w:hAnsi="微软雅黑" w:eastAsia="楷体_GB2312" w:cs="楷体_GB2312"/>
          <w:b/>
          <w:bCs/>
          <w:i w:val="0"/>
          <w:iCs w:val="0"/>
          <w:caps w:val="0"/>
          <w:color w:val="000000"/>
          <w:spacing w:val="0"/>
          <w:kern w:val="0"/>
          <w:sz w:val="32"/>
          <w:szCs w:val="32"/>
          <w:shd w:val="clear" w:fill="FFFFFF"/>
          <w:lang w:val="en-US" w:eastAsia="zh-CN" w:bidi="ar"/>
        </w:rPr>
        <w:t>（二）</w:t>
      </w:r>
      <w:r>
        <w:rPr>
          <w:rFonts w:ascii="楷体_GB2312" w:hAnsi="微软雅黑" w:eastAsia="楷体_GB2312" w:cs="楷体_GB2312"/>
          <w:b/>
          <w:bCs/>
          <w:i w:val="0"/>
          <w:iCs w:val="0"/>
          <w:caps w:val="0"/>
          <w:color w:val="000000"/>
          <w:spacing w:val="0"/>
          <w:kern w:val="0"/>
          <w:sz w:val="32"/>
          <w:szCs w:val="32"/>
          <w:shd w:val="clear" w:fill="FFFFFF"/>
          <w:lang w:val="en-US" w:eastAsia="zh-CN" w:bidi="ar"/>
        </w:rPr>
        <w:t>单位资产管理和整体业务实施效果情况</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default" w:ascii="仿宋" w:hAnsi="仿宋" w:eastAsia="仿宋" w:cs="仿宋"/>
          <w:color w:val="000000"/>
          <w:sz w:val="30"/>
          <w:szCs w:val="30"/>
          <w:lang w:val="en-US" w:eastAsia="zh-CN"/>
        </w:rPr>
        <w:t>本单位资产设有专</w:t>
      </w:r>
      <w:r>
        <w:rPr>
          <w:rFonts w:hint="eastAsia" w:ascii="仿宋" w:hAnsi="仿宋" w:eastAsia="仿宋" w:cs="仿宋"/>
          <w:color w:val="000000"/>
          <w:sz w:val="30"/>
          <w:szCs w:val="30"/>
          <w:lang w:val="en-US" w:eastAsia="zh-CN"/>
        </w:rPr>
        <w:t>门人员将单位所有资产全部录入固定资产信息系统</w:t>
      </w:r>
      <w:r>
        <w:rPr>
          <w:rFonts w:hint="default" w:ascii="仿宋" w:hAnsi="仿宋" w:eastAsia="仿宋" w:cs="仿宋"/>
          <w:color w:val="000000"/>
          <w:sz w:val="30"/>
          <w:szCs w:val="30"/>
          <w:lang w:val="en-US" w:eastAsia="zh-CN"/>
        </w:rPr>
        <w:t>,</w:t>
      </w:r>
      <w:r>
        <w:rPr>
          <w:rFonts w:hint="eastAsia" w:ascii="仿宋" w:hAnsi="仿宋" w:eastAsia="仿宋" w:cs="仿宋"/>
          <w:color w:val="000000"/>
          <w:sz w:val="30"/>
          <w:szCs w:val="30"/>
          <w:lang w:val="en-US" w:eastAsia="zh-CN"/>
        </w:rPr>
        <w:t>实行动态管理。资产配置严格按照规定程序报批，坚持资产配备与单位履行职能需要相适应，坚持资产管理与预算管理相结合。资产利用率高，资产配置基本合理，人均占有办公室使用面积、人均占有通用设备数量等指标均在正常范围。科学管理和使用国有资产</w:t>
      </w:r>
      <w:r>
        <w:rPr>
          <w:rFonts w:hint="default" w:ascii="仿宋" w:hAnsi="仿宋" w:eastAsia="仿宋" w:cs="仿宋"/>
          <w:color w:val="000000"/>
          <w:sz w:val="30"/>
          <w:szCs w:val="30"/>
          <w:lang w:val="en-US" w:eastAsia="zh-CN"/>
        </w:rPr>
        <w:t>,</w:t>
      </w:r>
      <w:r>
        <w:rPr>
          <w:rFonts w:hint="eastAsia" w:ascii="仿宋" w:hAnsi="仿宋" w:eastAsia="仿宋" w:cs="仿宋"/>
          <w:color w:val="000000"/>
          <w:sz w:val="30"/>
          <w:szCs w:val="30"/>
          <w:lang w:val="en-US" w:eastAsia="zh-CN"/>
        </w:rPr>
        <w:t>保障单位正常运转的同时，合理配备并有效使用资产，充分发挥了国有资产的使用效益和社会效益。</w:t>
      </w:r>
    </w:p>
    <w:p>
      <w:pPr>
        <w:rPr>
          <w:rFonts w:hint="eastAsia"/>
          <w:b/>
          <w:bCs/>
          <w:sz w:val="30"/>
          <w:szCs w:val="30"/>
        </w:rPr>
      </w:pPr>
    </w:p>
    <w:p>
      <w:pPr>
        <w:rPr>
          <w:rFonts w:hint="eastAsia" w:eastAsia="宋体"/>
          <w:sz w:val="30"/>
          <w:szCs w:val="30"/>
          <w:lang w:val="en-US" w:eastAsia="zh-CN"/>
        </w:rPr>
      </w:pPr>
    </w:p>
    <w:p>
      <w:pPr>
        <w:numPr>
          <w:ilvl w:val="0"/>
          <w:numId w:val="0"/>
        </w:numPr>
        <w:rPr>
          <w:rFonts w:hint="default" w:eastAsia="宋体"/>
          <w:b/>
          <w:bCs/>
          <w:sz w:val="30"/>
          <w:szCs w:val="30"/>
          <w:lang w:val="en-US" w:eastAsia="zh-CN"/>
        </w:rPr>
      </w:pPr>
    </w:p>
    <w:p>
      <w:pPr>
        <w:pStyle w:val="7"/>
        <w:keepNext w:val="0"/>
        <w:keepLines w:val="0"/>
        <w:pageBreakBefore w:val="0"/>
        <w:widowControl/>
        <w:numPr>
          <w:ilvl w:val="0"/>
          <w:numId w:val="0"/>
        </w:numPr>
        <w:kinsoku/>
        <w:wordWrap/>
        <w:overflowPunct/>
        <w:topLinePunct w:val="0"/>
        <w:autoSpaceDE/>
        <w:autoSpaceDN/>
        <w:bidi w:val="0"/>
        <w:adjustRightInd/>
        <w:snapToGrid/>
        <w:spacing w:line="560" w:lineRule="exact"/>
        <w:jc w:val="both"/>
        <w:textAlignment w:val="auto"/>
        <w:rPr>
          <w:rFonts w:hint="default" w:ascii="仿宋_GB2312" w:hAnsi="仿宋_GB2312" w:eastAsia="仿宋_GB2312" w:cs="仿宋_GB2312"/>
          <w:kern w:val="2"/>
          <w:sz w:val="32"/>
          <w:szCs w:val="32"/>
          <w:lang w:val="en-US" w:eastAsia="zh-CN" w:bidi="ar-SA"/>
        </w:rPr>
      </w:pPr>
    </w:p>
    <w:p>
      <w:pPr>
        <w:pStyle w:val="7"/>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七、存在的问题及原因分析</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eastAsia" w:ascii="仿宋" w:hAnsi="仿宋" w:eastAsia="仿宋" w:cs="仿宋"/>
          <w:color w:val="000000"/>
          <w:sz w:val="30"/>
          <w:szCs w:val="30"/>
          <w:lang w:val="en-US" w:eastAsia="zh-CN"/>
        </w:rPr>
        <w:t>（一）预算精准性有待进一步提高。由于预算编制具有不可预见性，年初安排预算时，对各项公用支出的分配安排缺乏统一的硬性标准，导致部分资金使用时需要进行指标调剂。</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eastAsia" w:ascii="仿宋" w:hAnsi="仿宋" w:eastAsia="仿宋" w:cs="仿宋"/>
          <w:color w:val="000000"/>
          <w:sz w:val="30"/>
          <w:szCs w:val="30"/>
          <w:lang w:val="en-US" w:eastAsia="zh-CN"/>
        </w:rPr>
        <w:t>（二）预算绩效管理意识有待进一步加强，预算绩效管理的工作方法方式有待创新。预算绩效管理工作贯穿全年，与各个业务股室息息相关，由于对预算绩效管理的全面性和重要性缺乏深入的了解，统揽全局的意识有所欠缺，导致预算绩效管理工作在推动过程中能够很好地完成各项工作任务，但工作质量难以实现质的飞跃。</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default" w:ascii="仿宋" w:hAnsi="仿宋" w:eastAsia="仿宋" w:cs="仿宋"/>
          <w:color w:val="000000"/>
          <w:sz w:val="30"/>
          <w:szCs w:val="30"/>
          <w:lang w:val="en-US" w:eastAsia="zh-CN"/>
        </w:rPr>
      </w:pPr>
      <w:r>
        <w:rPr>
          <w:rFonts w:hint="eastAsia" w:eastAsia="仿宋" w:cs="仿宋"/>
          <w:color w:val="000000"/>
          <w:sz w:val="30"/>
          <w:szCs w:val="30"/>
          <w:lang w:val="en-US" w:eastAsia="zh-CN"/>
        </w:rPr>
        <w:t>（三）</w:t>
      </w:r>
      <w:r>
        <w:rPr>
          <w:rFonts w:hint="eastAsia" w:ascii="仿宋" w:hAnsi="仿宋" w:eastAsia="仿宋" w:cs="仿宋"/>
          <w:color w:val="000000"/>
          <w:sz w:val="30"/>
          <w:szCs w:val="30"/>
          <w:lang w:val="en-US" w:eastAsia="zh-CN"/>
        </w:rPr>
        <w:t>财务业务水平有待进一步提高。由于财务工作内容变化较大，各项制度、政策更新快，加之财务人员忙于琐碎的日常工作，对各项新知识、新业务的学习时间、精力有限，导致财务人员预算绩效管理工作水平一般，在将预算绩效管理转化成工作成果，更好地指导各项工作的开展方面有所欠缺。</w:t>
      </w:r>
    </w:p>
    <w:p>
      <w:pPr>
        <w:keepNext w:val="0"/>
        <w:keepLines w:val="0"/>
        <w:pageBreakBefore w:val="0"/>
        <w:widowControl/>
        <w:numPr>
          <w:ilvl w:val="0"/>
          <w:numId w:val="4"/>
        </w:numPr>
        <w:kinsoku/>
        <w:wordWrap/>
        <w:overflowPunct/>
        <w:topLinePunct w:val="0"/>
        <w:autoSpaceDE/>
        <w:autoSpaceDN/>
        <w:bidi w:val="0"/>
        <w:adjustRightInd/>
        <w:snapToGrid/>
        <w:spacing w:line="640" w:lineRule="exact"/>
        <w:ind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下一步改进措施</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eastAsia" w:ascii="仿宋" w:hAnsi="仿宋" w:eastAsia="仿宋" w:cs="仿宋"/>
          <w:color w:val="000000"/>
          <w:sz w:val="30"/>
          <w:szCs w:val="30"/>
          <w:lang w:val="en-US" w:eastAsia="zh-CN"/>
        </w:rPr>
        <w:t>（一）加强预算编制的前瞻性，提高预算编制水平。进一步提高预算编制的科学性、合理性、严谨性和可控性，紧密结合上一年度预算执行情况和本年度预算收支变化因素，科学、合理地编制本年预算草案，避免出现预算支出与预算执行出现偏差较大的情况。落实预算执行分析，及时了解预算执行差异，合理调整、纠正预算执行偏差，切实提高部门预算收支管理水平。</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eastAsia" w:eastAsia="仿宋" w:cs="仿宋"/>
          <w:color w:val="000000"/>
          <w:sz w:val="30"/>
          <w:szCs w:val="30"/>
          <w:lang w:val="en-US" w:eastAsia="zh-CN"/>
        </w:rPr>
        <w:t>（二）</w:t>
      </w:r>
      <w:r>
        <w:rPr>
          <w:rFonts w:hint="eastAsia" w:ascii="仿宋" w:hAnsi="仿宋" w:eastAsia="仿宋" w:cs="仿宋"/>
          <w:color w:val="000000"/>
          <w:sz w:val="30"/>
          <w:szCs w:val="30"/>
          <w:lang w:val="en-US" w:eastAsia="zh-CN"/>
        </w:rPr>
        <w:t>牢固树立预算绩效管理贯穿全局的理念，进一步创新工作方式方法。切实做好预算绩效管理的上传下达工作，在全单位形成将预算绩效管理意识融入到业务工作中的意识，多向优秀典型案例学习，拓宽工作思路，多想办法，想好办法，自觉提高预算绩效管理能力。</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default" w:ascii="仿宋" w:hAnsi="仿宋" w:eastAsia="仿宋" w:cs="仿宋"/>
          <w:color w:val="000000"/>
          <w:sz w:val="30"/>
          <w:szCs w:val="30"/>
          <w:lang w:val="en-US" w:eastAsia="zh-CN"/>
        </w:rPr>
      </w:pPr>
      <w:r>
        <w:rPr>
          <w:rFonts w:hint="eastAsia" w:ascii="仿宋" w:hAnsi="仿宋" w:eastAsia="仿宋" w:cs="仿宋"/>
          <w:color w:val="000000"/>
          <w:sz w:val="30"/>
          <w:szCs w:val="30"/>
          <w:lang w:val="en-US" w:eastAsia="zh-CN"/>
        </w:rPr>
        <w:t>（三）加大财务人员培训力度，提高财务人员从业水平。督促财务人员树立常学常新的理念，及时更新知识体系，通过加大对财务人员预算绩效管理理论水平和实操的培训，提高将预算绩效管理转化成生产力的能力，更好地提高本单位的管理水平，促进各项事业更好发展。</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default" w:ascii="仿宋" w:hAnsi="仿宋" w:eastAsia="仿宋" w:cs="仿宋"/>
          <w:color w:val="000000"/>
          <w:sz w:val="30"/>
          <w:szCs w:val="30"/>
          <w:lang w:val="en-US" w:eastAsia="zh-CN"/>
        </w:rPr>
      </w:pPr>
    </w:p>
    <w:p>
      <w:pPr>
        <w:keepNext w:val="0"/>
        <w:keepLines w:val="0"/>
        <w:pageBreakBefore w:val="0"/>
        <w:widowControl/>
        <w:numPr>
          <w:ilvl w:val="0"/>
          <w:numId w:val="4"/>
        </w:numPr>
        <w:kinsoku/>
        <w:wordWrap/>
        <w:overflowPunct/>
        <w:topLinePunct w:val="0"/>
        <w:autoSpaceDE/>
        <w:autoSpaceDN/>
        <w:bidi w:val="0"/>
        <w:adjustRightInd/>
        <w:snapToGrid/>
        <w:spacing w:line="640" w:lineRule="exact"/>
        <w:ind w:left="0" w:leftChars="0" w:firstLine="640" w:firstLineChars="200"/>
        <w:jc w:val="both"/>
        <w:textAlignment w:val="auto"/>
        <w:rPr>
          <w:rFonts w:hint="default" w:ascii="Times New Roman" w:hAnsi="Times New Roman" w:eastAsia="黑体" w:cs="Times New Roman"/>
          <w:sz w:val="32"/>
          <w:szCs w:val="32"/>
          <w:highlight w:val="none"/>
        </w:rPr>
      </w:pPr>
      <w:r>
        <w:rPr>
          <w:rFonts w:hint="default" w:ascii="Times New Roman" w:hAnsi="Times New Roman" w:eastAsia="黑体" w:cs="Times New Roman"/>
          <w:sz w:val="32"/>
          <w:szCs w:val="32"/>
          <w:highlight w:val="none"/>
        </w:rPr>
        <w:t>部门整体支出绩效自评结果拟应用和公开情况</w:t>
      </w:r>
    </w:p>
    <w:p>
      <w:pPr>
        <w:keepNext w:val="0"/>
        <w:keepLines w:val="0"/>
        <w:pageBreakBefore w:val="0"/>
        <w:widowControl w:val="0"/>
        <w:kinsoku/>
        <w:wordWrap/>
        <w:overflowPunct w:val="0"/>
        <w:topLinePunct w:val="0"/>
        <w:autoSpaceDE/>
        <w:autoSpaceDN/>
        <w:bidi w:val="0"/>
        <w:adjustRightInd w:val="0"/>
        <w:snapToGrid/>
        <w:spacing w:line="560" w:lineRule="exact"/>
        <w:ind w:firstLine="600" w:firstLineChars="200"/>
        <w:jc w:val="both"/>
        <w:textAlignment w:val="auto"/>
        <w:rPr>
          <w:rFonts w:hint="eastAsia" w:ascii="仿宋" w:hAnsi="仿宋" w:eastAsia="仿宋" w:cs="仿宋"/>
          <w:color w:val="000000"/>
          <w:sz w:val="30"/>
          <w:szCs w:val="30"/>
          <w:lang w:val="en-US" w:eastAsia="zh-CN"/>
        </w:rPr>
      </w:pPr>
      <w:r>
        <w:rPr>
          <w:rFonts w:hint="eastAsia" w:ascii="仿宋" w:hAnsi="仿宋" w:eastAsia="仿宋" w:cs="仿宋"/>
          <w:color w:val="000000"/>
          <w:sz w:val="30"/>
          <w:szCs w:val="30"/>
          <w:lang w:val="en-US" w:eastAsia="zh-CN"/>
        </w:rPr>
        <w:t>单位2023年度部门整体支出绩效自评结果拟按湖南省财政厅关于印发《湖南省预算支出绩效评价管理办法》的通知（湘财绩〔2020〕7号）要求，在整体支出项目绩效目标编制申报时，根据项目实际情况和预期可达成的目标，设置更科学合理的指标。严格按规定内容、时限在君山区政务中心门户网站公开，接受社会监督。</w:t>
      </w:r>
    </w:p>
    <w:p>
      <w:pPr>
        <w:keepNext w:val="0"/>
        <w:keepLines w:val="0"/>
        <w:pageBreakBefore w:val="0"/>
        <w:widowControl/>
        <w:numPr>
          <w:ilvl w:val="0"/>
          <w:numId w:val="0"/>
        </w:numPr>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Times New Roman" w:hAnsi="Times New Roman" w:eastAsia="黑体" w:cs="Times New Roman"/>
          <w:sz w:val="32"/>
          <w:szCs w:val="32"/>
          <w:highlight w:val="none"/>
        </w:rPr>
      </w:pPr>
      <w:r>
        <w:rPr>
          <w:rFonts w:hint="eastAsia" w:ascii="Times New Roman" w:hAnsi="Times New Roman" w:eastAsia="黑体" w:cs="Times New Roman"/>
          <w:sz w:val="32"/>
          <w:szCs w:val="32"/>
          <w:highlight w:val="none"/>
          <w:lang w:eastAsia="zh-CN"/>
        </w:rPr>
        <w:t>十、</w:t>
      </w:r>
      <w:r>
        <w:rPr>
          <w:rFonts w:hint="default" w:ascii="Times New Roman" w:hAnsi="Times New Roman" w:eastAsia="黑体" w:cs="Times New Roman"/>
          <w:sz w:val="32"/>
          <w:szCs w:val="32"/>
          <w:highlight w:val="none"/>
        </w:rPr>
        <w:t>其他需要说明的情况</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Times New Roman" w:hAnsi="Times New Roman" w:eastAsia="仿宋_GB2312" w:cs="Times New Roman"/>
          <w:sz w:val="32"/>
          <w:szCs w:val="32"/>
          <w:highlight w:val="none"/>
          <w:lang w:val="en-US" w:eastAsia="zh-CN"/>
        </w:rPr>
      </w:pPr>
      <w:r>
        <w:rPr>
          <w:rFonts w:hint="eastAsia" w:ascii="Times New Roman" w:hAnsi="Times New Roman" w:eastAsia="仿宋_GB2312" w:cs="Times New Roman"/>
          <w:sz w:val="32"/>
          <w:szCs w:val="32"/>
          <w:highlight w:val="none"/>
          <w:lang w:val="en-US" w:eastAsia="zh-CN"/>
        </w:rPr>
        <w:t>无</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br w:type="page"/>
      </w:r>
      <w:r>
        <w:rPr>
          <w:rFonts w:hint="eastAsia" w:ascii="仿宋_GB2312" w:hAnsi="仿宋_GB2312" w:eastAsia="仿宋_GB2312" w:cs="仿宋_GB2312"/>
          <w:sz w:val="32"/>
          <w:szCs w:val="32"/>
          <w:highlight w:val="none"/>
        </w:rPr>
        <w:t>附件：</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部门整体支出绩效评价基础数据表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CN"/>
        </w:rPr>
        <w:t>.</w:t>
      </w:r>
      <w:r>
        <w:rPr>
          <w:rFonts w:hint="eastAsia" w:ascii="仿宋_GB2312" w:hAnsi="仿宋_GB2312" w:eastAsia="仿宋_GB2312" w:cs="仿宋_GB2312"/>
          <w:sz w:val="32"/>
          <w:szCs w:val="32"/>
          <w:highlight w:val="none"/>
        </w:rPr>
        <w:t>部门整体支出绩效自评表</w:t>
      </w:r>
    </w:p>
    <w:p>
      <w:pPr>
        <w:keepNext w:val="0"/>
        <w:keepLines w:val="0"/>
        <w:pageBreakBefore w:val="0"/>
        <w:widowControl/>
        <w:kinsoku/>
        <w:wordWrap/>
        <w:overflowPunct/>
        <w:topLinePunct w:val="0"/>
        <w:autoSpaceDE/>
        <w:autoSpaceDN/>
        <w:bidi w:val="0"/>
        <w:adjustRightInd/>
        <w:snapToGrid/>
        <w:spacing w:line="640" w:lineRule="exact"/>
        <w:ind w:firstLine="640" w:firstLineChars="200"/>
        <w:jc w:val="both"/>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lang w:eastAsia="zh-CN"/>
        </w:rPr>
        <w:t>部门整体支出绩效自评工作考核评分表</w:t>
      </w:r>
    </w:p>
    <w:p>
      <w:pPr>
        <w:spacing w:after="120" w:afterLines="50" w:line="600" w:lineRule="exact"/>
        <w:jc w:val="both"/>
        <w:rPr>
          <w:rFonts w:hint="eastAsia" w:ascii="方正小标宋简体" w:hAnsi="方正小标宋简体" w:eastAsia="方正小标宋简体" w:cs="方正小标宋简体"/>
          <w:sz w:val="36"/>
          <w:szCs w:val="36"/>
          <w:highlight w:val="none"/>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eastAsia="zh-CN"/>
        </w:rPr>
      </w:pPr>
    </w:p>
    <w:p>
      <w:pPr>
        <w:spacing w:after="120" w:afterLines="50" w:line="600" w:lineRule="exact"/>
        <w:jc w:val="both"/>
        <w:rPr>
          <w:rFonts w:hint="eastAsia" w:ascii="黑体" w:hAnsi="黑体" w:eastAsia="黑体" w:cs="黑体"/>
          <w:sz w:val="32"/>
          <w:szCs w:val="32"/>
          <w:highlight w:val="none"/>
          <w:lang w:val="en-US" w:eastAsia="zh-CN"/>
        </w:rPr>
      </w:pPr>
      <w:r>
        <w:rPr>
          <w:rFonts w:hint="eastAsia" w:ascii="黑体" w:hAnsi="黑体" w:eastAsia="黑体" w:cs="黑体"/>
          <w:sz w:val="32"/>
          <w:szCs w:val="32"/>
          <w:highlight w:val="none"/>
          <w:lang w:eastAsia="zh-CN"/>
        </w:rPr>
        <w:t>附件</w:t>
      </w:r>
      <w:r>
        <w:rPr>
          <w:rFonts w:hint="eastAsia" w:ascii="黑体" w:hAnsi="黑体" w:eastAsia="黑体" w:cs="黑体"/>
          <w:sz w:val="32"/>
          <w:szCs w:val="32"/>
          <w:highlight w:val="none"/>
          <w:lang w:val="en-US" w:eastAsia="zh-CN"/>
        </w:rPr>
        <w:t>1</w:t>
      </w:r>
    </w:p>
    <w:p>
      <w:pPr>
        <w:spacing w:after="120" w:afterLines="50" w:line="600" w:lineRule="exact"/>
        <w:ind w:firstLine="1080" w:firstLineChars="300"/>
        <w:jc w:val="both"/>
        <w:rPr>
          <w:rFonts w:hint="eastAsia" w:ascii="方正小标宋简体" w:hAnsi="方正小标宋简体" w:eastAsia="方正小标宋简体" w:cs="方正小标宋简体"/>
          <w:sz w:val="24"/>
          <w:highlight w:val="none"/>
        </w:rPr>
      </w:pPr>
      <w:r>
        <w:rPr>
          <w:rFonts w:hint="eastAsia" w:ascii="方正小标宋简体" w:hAnsi="方正小标宋简体" w:eastAsia="方正小标宋简体" w:cs="方正小标宋简体"/>
          <w:sz w:val="36"/>
          <w:szCs w:val="36"/>
          <w:highlight w:val="none"/>
        </w:rPr>
        <w:t>202</w:t>
      </w:r>
      <w:r>
        <w:rPr>
          <w:rFonts w:hint="eastAsia" w:ascii="方正小标宋简体" w:hAnsi="方正小标宋简体" w:eastAsia="方正小标宋简体" w:cs="方正小标宋简体"/>
          <w:sz w:val="36"/>
          <w:szCs w:val="36"/>
          <w:highlight w:val="none"/>
          <w:lang w:val="en-US" w:eastAsia="zh-CN"/>
        </w:rPr>
        <w:t>3</w:t>
      </w:r>
      <w:r>
        <w:rPr>
          <w:rFonts w:hint="eastAsia" w:ascii="方正小标宋简体" w:hAnsi="方正小标宋简体" w:eastAsia="方正小标宋简体" w:cs="方正小标宋简体"/>
          <w:sz w:val="36"/>
          <w:szCs w:val="36"/>
          <w:highlight w:val="none"/>
        </w:rPr>
        <w:t>年度部门整体支出绩效评价基础数据表</w:t>
      </w:r>
    </w:p>
    <w:tbl>
      <w:tblPr>
        <w:tblStyle w:val="4"/>
        <w:tblW w:w="9673" w:type="dxa"/>
        <w:jc w:val="center"/>
        <w:tblLayout w:type="fixed"/>
        <w:tblCellMar>
          <w:top w:w="0" w:type="dxa"/>
          <w:left w:w="108" w:type="dxa"/>
          <w:bottom w:w="0" w:type="dxa"/>
          <w:right w:w="108" w:type="dxa"/>
        </w:tblCellMar>
      </w:tblPr>
      <w:tblGrid>
        <w:gridCol w:w="3354"/>
        <w:gridCol w:w="1189"/>
        <w:gridCol w:w="849"/>
        <w:gridCol w:w="1129"/>
        <w:gridCol w:w="1111"/>
        <w:gridCol w:w="1081"/>
        <w:gridCol w:w="960"/>
      </w:tblGrid>
      <w:tr>
        <w:tblPrEx>
          <w:tblCellMar>
            <w:top w:w="0" w:type="dxa"/>
            <w:left w:w="108" w:type="dxa"/>
            <w:bottom w:w="0" w:type="dxa"/>
            <w:right w:w="108" w:type="dxa"/>
          </w:tblCellMar>
        </w:tblPrEx>
        <w:trPr>
          <w:trHeight w:val="0" w:hRule="atLeast"/>
          <w:jc w:val="center"/>
        </w:trPr>
        <w:tc>
          <w:tcPr>
            <w:tcW w:w="3354" w:type="dxa"/>
            <w:vMerge w:val="restart"/>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财政供养人员情况（人）</w:t>
            </w: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编制数</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年实际在职人数</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控制率</w:t>
            </w:r>
          </w:p>
        </w:tc>
      </w:tr>
      <w:tr>
        <w:tblPrEx>
          <w:tblCellMar>
            <w:top w:w="0" w:type="dxa"/>
            <w:left w:w="108" w:type="dxa"/>
            <w:bottom w:w="0" w:type="dxa"/>
            <w:right w:w="108" w:type="dxa"/>
          </w:tblCellMar>
        </w:tblPrEx>
        <w:trPr>
          <w:trHeight w:val="230" w:hRule="atLeast"/>
          <w:jc w:val="center"/>
        </w:trPr>
        <w:tc>
          <w:tcPr>
            <w:tcW w:w="335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2038"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6</w:t>
            </w:r>
          </w:p>
        </w:tc>
        <w:tc>
          <w:tcPr>
            <w:tcW w:w="2240"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5</w:t>
            </w:r>
          </w:p>
        </w:tc>
        <w:tc>
          <w:tcPr>
            <w:tcW w:w="2041" w:type="dxa"/>
            <w:gridSpan w:val="2"/>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83.33%</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21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经费控制情况（万元）</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2</w:t>
            </w:r>
            <w:r>
              <w:rPr>
                <w:rFonts w:hint="eastAsia" w:ascii="仿宋_GB2312" w:hAnsi="仿宋_GB2312" w:eastAsia="仿宋_GB2312" w:cs="仿宋_GB2312"/>
                <w:b/>
                <w:bCs/>
                <w:sz w:val="20"/>
                <w:szCs w:val="20"/>
                <w:highlight w:val="none"/>
              </w:rPr>
              <w:t>年决算数</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年预算数</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b/>
                <w:bCs/>
                <w:sz w:val="20"/>
                <w:szCs w:val="20"/>
                <w:highlight w:val="none"/>
              </w:rPr>
            </w:pPr>
            <w:r>
              <w:rPr>
                <w:rFonts w:hint="eastAsia" w:ascii="仿宋_GB2312" w:hAnsi="仿宋_GB2312" w:eastAsia="仿宋_GB2312" w:cs="仿宋_GB2312"/>
                <w:b/>
                <w:bCs/>
                <w:sz w:val="20"/>
                <w:szCs w:val="20"/>
                <w:highlight w:val="none"/>
              </w:rPr>
              <w:t>202</w:t>
            </w:r>
            <w:r>
              <w:rPr>
                <w:rFonts w:hint="eastAsia" w:ascii="仿宋_GB2312" w:hAnsi="仿宋_GB2312" w:eastAsia="仿宋_GB2312" w:cs="仿宋_GB2312"/>
                <w:b/>
                <w:bCs/>
                <w:sz w:val="20"/>
                <w:szCs w:val="20"/>
                <w:highlight w:val="none"/>
                <w:lang w:val="en-US" w:eastAsia="zh-CN"/>
              </w:rPr>
              <w:t>3</w:t>
            </w:r>
            <w:r>
              <w:rPr>
                <w:rFonts w:hint="eastAsia" w:ascii="仿宋_GB2312" w:hAnsi="仿宋_GB2312" w:eastAsia="仿宋_GB2312" w:cs="仿宋_GB2312"/>
                <w:b/>
                <w:bCs/>
                <w:sz w:val="20"/>
                <w:szCs w:val="20"/>
                <w:highlight w:val="none"/>
              </w:rPr>
              <w:t>年决算数</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三公经费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1、公务用车购置和维护经费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其中：公车购置</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公车运行维护</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2、出国经费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rPr>
              <w:t>　</w:t>
            </w: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3、公务接待</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16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项目支出：</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50.02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0.6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1、业务工作经费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2、运行维护经费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　　3、</w:t>
            </w:r>
            <w:r>
              <w:rPr>
                <w:rFonts w:hint="eastAsia" w:ascii="仿宋_GB2312" w:hAnsi="仿宋_GB2312" w:eastAsia="仿宋_GB2312" w:cs="仿宋_GB2312"/>
                <w:sz w:val="20"/>
                <w:szCs w:val="20"/>
                <w:highlight w:val="none"/>
              </w:rPr>
              <w:t>项目建设管理费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14.41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both"/>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 xml:space="preserve">    4、长江岸线应急处险工程管理费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35.61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3、</w:t>
            </w:r>
            <w:r>
              <w:rPr>
                <w:rFonts w:hint="eastAsia" w:ascii="仿宋_GB2312" w:hAnsi="仿宋_GB2312" w:eastAsia="仿宋_GB2312" w:cs="仿宋_GB2312"/>
                <w:sz w:val="20"/>
                <w:szCs w:val="20"/>
                <w:highlight w:val="none"/>
                <w:lang w:eastAsia="zh-CN"/>
              </w:rPr>
              <w:t>市级</w:t>
            </w:r>
            <w:r>
              <w:rPr>
                <w:rFonts w:hint="eastAsia" w:ascii="仿宋_GB2312" w:hAnsi="仿宋_GB2312" w:eastAsia="仿宋_GB2312" w:cs="仿宋_GB2312"/>
                <w:sz w:val="20"/>
                <w:szCs w:val="20"/>
                <w:highlight w:val="none"/>
              </w:rPr>
              <w:t>专项资金（一个专项一行）</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0</w:t>
            </w: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0</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公用经费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23.23</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25.15</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25.15</w:t>
            </w:r>
          </w:p>
        </w:tc>
      </w:tr>
      <w:tr>
        <w:tblPrEx>
          <w:tblCellMar>
            <w:top w:w="0" w:type="dxa"/>
            <w:left w:w="108" w:type="dxa"/>
            <w:bottom w:w="0" w:type="dxa"/>
            <w:right w:w="108" w:type="dxa"/>
          </w:tblCellMar>
        </w:tblPrEx>
        <w:trPr>
          <w:trHeight w:val="43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其中：办公经费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eastAsia="zh-CN"/>
              </w:rPr>
            </w:pPr>
            <w:r>
              <w:rPr>
                <w:rFonts w:hint="eastAsia" w:ascii="仿宋_GB2312" w:hAnsi="仿宋_GB2312" w:eastAsia="仿宋_GB2312" w:cs="仿宋_GB2312"/>
                <w:sz w:val="20"/>
                <w:szCs w:val="20"/>
                <w:highlight w:val="none"/>
                <w:lang w:val="en-US" w:eastAsia="zh-CN"/>
              </w:rPr>
              <w:t>1.01</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1.51</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1.51</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水费、电费、差旅费</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仿宋_GB2312" w:hAnsi="仿宋_GB2312" w:eastAsia="仿宋_GB2312" w:cs="仿宋_GB2312"/>
                <w:sz w:val="20"/>
                <w:szCs w:val="20"/>
                <w:highlight w:val="none"/>
                <w:lang w:val="en-US" w:eastAsia="zh-CN"/>
              </w:rPr>
              <w:t>1.22</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0.7</w:t>
            </w:r>
          </w:p>
        </w:tc>
      </w:tr>
      <w:tr>
        <w:tblPrEx>
          <w:tblCellMar>
            <w:top w:w="0" w:type="dxa"/>
            <w:left w:w="108" w:type="dxa"/>
            <w:bottom w:w="0" w:type="dxa"/>
            <w:right w:w="108" w:type="dxa"/>
          </w:tblCellMar>
        </w:tblPrEx>
        <w:trPr>
          <w:trHeight w:val="435"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          会议费、培训费</w:t>
            </w:r>
          </w:p>
        </w:tc>
        <w:tc>
          <w:tcPr>
            <w:tcW w:w="2038" w:type="dxa"/>
            <w:gridSpan w:val="2"/>
            <w:tcBorders>
              <w:top w:val="single" w:color="auto" w:sz="4" w:space="0"/>
              <w:left w:val="nil"/>
              <w:bottom w:val="single" w:color="auto" w:sz="4" w:space="0"/>
              <w:right w:val="single" w:color="000000" w:sz="4" w:space="0"/>
            </w:tcBorders>
            <w:noWrap w:val="0"/>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2"/>
                <w:szCs w:val="22"/>
                <w:u w:val="none"/>
                <w:lang w:val="en-US" w:eastAsia="zh-CN" w:bidi="ar-SA"/>
              </w:rPr>
            </w:pPr>
            <w:r>
              <w:rPr>
                <w:rFonts w:hint="eastAsia" w:ascii="宋体" w:hAnsi="宋体" w:cs="宋体"/>
                <w:i w:val="0"/>
                <w:iCs w:val="0"/>
                <w:color w:val="000000"/>
                <w:kern w:val="0"/>
                <w:sz w:val="22"/>
                <w:szCs w:val="22"/>
                <w:u w:val="none"/>
                <w:lang w:val="en-US" w:eastAsia="zh-CN" w:bidi="ar"/>
              </w:rPr>
              <w:t>0.05</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color w:val="FF0000"/>
                <w:sz w:val="20"/>
                <w:szCs w:val="20"/>
                <w:highlight w:val="none"/>
              </w:rPr>
            </w:pPr>
            <w:r>
              <w:rPr>
                <w:rFonts w:hint="eastAsia" w:ascii="宋体" w:hAnsi="宋体" w:cs="宋体"/>
                <w:i w:val="0"/>
                <w:iCs w:val="0"/>
                <w:color w:val="000000"/>
                <w:kern w:val="0"/>
                <w:sz w:val="22"/>
                <w:szCs w:val="22"/>
                <w:u w:val="none"/>
                <w:lang w:val="en-US" w:eastAsia="zh-CN" w:bidi="ar"/>
              </w:rPr>
              <w:t>0.66</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color w:val="FF0000"/>
                <w:sz w:val="20"/>
                <w:szCs w:val="20"/>
                <w:highlight w:val="none"/>
                <w:lang w:val="en-US"/>
              </w:rPr>
            </w:pPr>
            <w:r>
              <w:rPr>
                <w:rFonts w:hint="eastAsia" w:ascii="宋体" w:hAnsi="宋体" w:cs="宋体"/>
                <w:i w:val="0"/>
                <w:iCs w:val="0"/>
                <w:color w:val="000000"/>
                <w:kern w:val="0"/>
                <w:sz w:val="22"/>
                <w:szCs w:val="22"/>
                <w:u w:val="none"/>
                <w:lang w:val="en-US" w:eastAsia="zh-CN" w:bidi="ar"/>
              </w:rPr>
              <w:t>0.66</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政府采购金额</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307.19</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307.19</w:t>
            </w:r>
          </w:p>
        </w:tc>
      </w:tr>
      <w:tr>
        <w:tblPrEx>
          <w:tblCellMar>
            <w:top w:w="0" w:type="dxa"/>
            <w:left w:w="108" w:type="dxa"/>
            <w:bottom w:w="0" w:type="dxa"/>
            <w:right w:w="108" w:type="dxa"/>
          </w:tblCellMar>
        </w:tblPrEx>
        <w:trPr>
          <w:trHeight w:val="9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xml:space="preserve">部门基本支出预算调整 </w:t>
            </w:r>
          </w:p>
        </w:tc>
        <w:tc>
          <w:tcPr>
            <w:tcW w:w="2038"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w:t>
            </w:r>
          </w:p>
        </w:tc>
        <w:tc>
          <w:tcPr>
            <w:tcW w:w="2240"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lang w:val="en-US" w:eastAsia="zh-CN"/>
              </w:rPr>
              <w:t>99.47</w:t>
            </w:r>
          </w:p>
        </w:tc>
        <w:tc>
          <w:tcPr>
            <w:tcW w:w="2041" w:type="dxa"/>
            <w:gridSpan w:val="2"/>
            <w:tcBorders>
              <w:top w:val="single" w:color="auto" w:sz="4" w:space="0"/>
              <w:left w:val="nil"/>
              <w:bottom w:val="single" w:color="auto" w:sz="4" w:space="0"/>
              <w:right w:val="single" w:color="000000" w:sz="4" w:space="0"/>
            </w:tcBorders>
            <w:noWrap w:val="0"/>
            <w:vAlign w:val="center"/>
          </w:tcPr>
          <w:p>
            <w:pPr>
              <w:widowControl/>
              <w:spacing w:line="36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99.47</w:t>
            </w:r>
          </w:p>
        </w:tc>
      </w:tr>
      <w:tr>
        <w:tblPrEx>
          <w:tblCellMar>
            <w:top w:w="0" w:type="dxa"/>
            <w:left w:w="108" w:type="dxa"/>
            <w:bottom w:w="0" w:type="dxa"/>
            <w:right w:w="108" w:type="dxa"/>
          </w:tblCellMar>
        </w:tblPrEx>
        <w:trPr>
          <w:trHeight w:val="0" w:hRule="atLeast"/>
          <w:jc w:val="center"/>
        </w:trPr>
        <w:tc>
          <w:tcPr>
            <w:tcW w:w="3354" w:type="dxa"/>
            <w:vMerge w:val="restart"/>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lang w:eastAsia="zh-CN"/>
              </w:rPr>
            </w:pPr>
            <w:r>
              <w:rPr>
                <w:rFonts w:hint="eastAsia" w:ascii="仿宋_GB2312" w:hAnsi="仿宋_GB2312" w:eastAsia="仿宋_GB2312" w:cs="仿宋_GB2312"/>
                <w:sz w:val="20"/>
                <w:szCs w:val="20"/>
                <w:highlight w:val="none"/>
              </w:rPr>
              <w:t>楼堂馆所控制情况</w:t>
            </w:r>
          </w:p>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（202</w:t>
            </w:r>
            <w:r>
              <w:rPr>
                <w:rFonts w:hint="eastAsia" w:ascii="仿宋_GB2312" w:hAnsi="仿宋_GB2312" w:eastAsia="仿宋_GB2312" w:cs="仿宋_GB2312"/>
                <w:sz w:val="20"/>
                <w:szCs w:val="20"/>
                <w:highlight w:val="none"/>
                <w:lang w:val="en-US" w:eastAsia="zh-CN"/>
              </w:rPr>
              <w:t>3</w:t>
            </w:r>
            <w:r>
              <w:rPr>
                <w:rFonts w:hint="eastAsia" w:ascii="仿宋_GB2312" w:hAnsi="仿宋_GB2312" w:eastAsia="仿宋_GB2312" w:cs="仿宋_GB2312"/>
                <w:sz w:val="20"/>
                <w:szCs w:val="20"/>
                <w:highlight w:val="none"/>
              </w:rPr>
              <w:t>年完工项目）</w:t>
            </w: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lang w:eastAsia="zh-CN"/>
              </w:rPr>
            </w:pPr>
            <w:r>
              <w:rPr>
                <w:rFonts w:hint="eastAsia" w:ascii="仿宋_GB2312" w:hAnsi="仿宋_GB2312" w:eastAsia="仿宋_GB2312" w:cs="仿宋_GB2312"/>
                <w:bCs/>
                <w:sz w:val="20"/>
                <w:szCs w:val="20"/>
                <w:highlight w:val="none"/>
              </w:rPr>
              <w:t>批复规模</w:t>
            </w:r>
          </w:p>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w:t>
            </w:r>
          </w:p>
        </w:tc>
        <w:tc>
          <w:tcPr>
            <w:tcW w:w="84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实际规模（㎡）</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规模控制率</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预算投资（万元）</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实际投资（万元）</w:t>
            </w:r>
          </w:p>
        </w:tc>
        <w:tc>
          <w:tcPr>
            <w:tcW w:w="96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bCs/>
                <w:sz w:val="20"/>
                <w:szCs w:val="20"/>
                <w:highlight w:val="none"/>
              </w:rPr>
            </w:pPr>
            <w:r>
              <w:rPr>
                <w:rFonts w:hint="eastAsia" w:ascii="仿宋_GB2312" w:hAnsi="仿宋_GB2312" w:eastAsia="仿宋_GB2312" w:cs="仿宋_GB2312"/>
                <w:bCs/>
                <w:sz w:val="20"/>
                <w:szCs w:val="20"/>
                <w:highlight w:val="none"/>
              </w:rPr>
              <w:t>投资概算控制率</w:t>
            </w:r>
          </w:p>
        </w:tc>
      </w:tr>
      <w:tr>
        <w:tblPrEx>
          <w:tblCellMar>
            <w:top w:w="0" w:type="dxa"/>
            <w:left w:w="108" w:type="dxa"/>
            <w:bottom w:w="0" w:type="dxa"/>
            <w:right w:w="108" w:type="dxa"/>
          </w:tblCellMar>
        </w:tblPrEx>
        <w:trPr>
          <w:trHeight w:val="180" w:hRule="atLeast"/>
          <w:jc w:val="center"/>
        </w:trPr>
        <w:tc>
          <w:tcPr>
            <w:tcW w:w="3354" w:type="dxa"/>
            <w:vMerge w:val="continue"/>
            <w:tcBorders>
              <w:top w:val="nil"/>
              <w:left w:val="single" w:color="auto" w:sz="4" w:space="0"/>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p>
        </w:tc>
        <w:tc>
          <w:tcPr>
            <w:tcW w:w="1189"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84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29"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11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1081"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c>
          <w:tcPr>
            <w:tcW w:w="960" w:type="dxa"/>
            <w:tcBorders>
              <w:top w:val="nil"/>
              <w:left w:val="nil"/>
              <w:bottom w:val="single" w:color="auto" w:sz="4" w:space="0"/>
              <w:right w:val="single" w:color="auto"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　</w:t>
            </w:r>
          </w:p>
        </w:tc>
      </w:tr>
      <w:tr>
        <w:tblPrEx>
          <w:tblCellMar>
            <w:top w:w="0" w:type="dxa"/>
            <w:left w:w="108" w:type="dxa"/>
            <w:bottom w:w="0" w:type="dxa"/>
            <w:right w:w="108" w:type="dxa"/>
          </w:tblCellMar>
        </w:tblPrEx>
        <w:trPr>
          <w:trHeight w:val="0" w:hRule="atLeast"/>
          <w:jc w:val="center"/>
        </w:trPr>
        <w:tc>
          <w:tcPr>
            <w:tcW w:w="3354" w:type="dxa"/>
            <w:tcBorders>
              <w:top w:val="nil"/>
              <w:left w:val="single" w:color="auto" w:sz="4" w:space="0"/>
              <w:bottom w:val="single" w:color="auto" w:sz="4" w:space="0"/>
              <w:right w:val="single" w:color="auto" w:sz="4" w:space="0"/>
            </w:tcBorders>
            <w:noWrap w:val="0"/>
            <w:vAlign w:val="center"/>
          </w:tcPr>
          <w:p>
            <w:pPr>
              <w:widowControl/>
              <w:spacing w:line="36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厉行节约保障措施</w:t>
            </w:r>
          </w:p>
        </w:tc>
        <w:tc>
          <w:tcPr>
            <w:tcW w:w="6319" w:type="dxa"/>
            <w:gridSpan w:val="6"/>
            <w:tcBorders>
              <w:top w:val="single" w:color="auto" w:sz="4" w:space="0"/>
              <w:left w:val="nil"/>
              <w:bottom w:val="single" w:color="auto" w:sz="4" w:space="0"/>
              <w:right w:val="single" w:color="000000" w:sz="4" w:space="0"/>
            </w:tcBorders>
            <w:noWrap w:val="0"/>
            <w:vAlign w:val="center"/>
          </w:tcPr>
          <w:p>
            <w:pPr>
              <w:widowControl/>
              <w:spacing w:line="360" w:lineRule="exact"/>
              <w:jc w:val="left"/>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lang w:val="en-US" w:eastAsia="zh-CN"/>
              </w:rPr>
              <w:t>深入贯彻落实中央八项规定及其实施细则特神，严格控制“三公”经费开支，严禁超范围、超标准开支，践行精细化管理理念，加强绩效化管理，推进绩效评价结果与预算挂钩，严防资金低效使用，确保财力有效转化为保障力。</w:t>
            </w:r>
            <w:r>
              <w:rPr>
                <w:rFonts w:hint="eastAsia" w:ascii="仿宋_GB2312" w:hAnsi="仿宋_GB2312" w:eastAsia="仿宋_GB2312" w:cs="仿宋_GB2312"/>
                <w:sz w:val="20"/>
                <w:szCs w:val="20"/>
                <w:highlight w:val="none"/>
              </w:rPr>
              <w:t>　</w:t>
            </w:r>
          </w:p>
        </w:tc>
      </w:tr>
    </w:tbl>
    <w:p>
      <w:pPr>
        <w:widowControl/>
        <w:spacing w:afterLines="0" w:line="400" w:lineRule="exact"/>
        <w:jc w:val="left"/>
        <w:rPr>
          <w:rFonts w:hint="default" w:ascii="Times New Roman" w:hAnsi="Times New Roman" w:eastAsia="仿宋_GB2312" w:cs="Times New Roman"/>
          <w:sz w:val="22"/>
          <w:highlight w:val="none"/>
        </w:rPr>
      </w:pPr>
      <w:r>
        <w:rPr>
          <w:rFonts w:hint="default" w:ascii="Times New Roman" w:hAnsi="Times New Roman" w:eastAsia="仿宋_GB2312" w:cs="Times New Roman"/>
          <w:sz w:val="22"/>
          <w:highlight w:val="none"/>
        </w:rPr>
        <w:t>说明：“项目支出”需要填报基本支出以外的所有项目支出情况，“公用经费”填报基本支出中的一般商品和服务支出。</w:t>
      </w:r>
    </w:p>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after="0" w:afterLines="0" w:line="400" w:lineRule="exact"/>
        <w:ind w:left="220" w:hanging="320" w:hangingChars="100"/>
        <w:jc w:val="left"/>
        <w:rPr>
          <w:rFonts w:hint="eastAsia" w:ascii="黑体" w:hAnsi="黑体" w:eastAsia="黑体" w:cs="黑体"/>
          <w:sz w:val="32"/>
          <w:szCs w:val="32"/>
          <w:highlight w:val="none"/>
          <w:lang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2</w:t>
      </w:r>
    </w:p>
    <w:p>
      <w:pPr>
        <w:widowControl/>
        <w:spacing w:after="120" w:afterLines="50"/>
        <w:jc w:val="center"/>
        <w:rPr>
          <w:rFonts w:hint="eastAsia" w:ascii="方正小标宋简体" w:hAnsi="方正小标宋简体" w:eastAsia="方正小标宋简体" w:cs="方正小标宋简体"/>
          <w:color w:val="000000"/>
          <w:sz w:val="36"/>
          <w:szCs w:val="36"/>
          <w:highlight w:val="none"/>
        </w:rPr>
      </w:pPr>
      <w:r>
        <w:rPr>
          <w:rFonts w:hint="eastAsia" w:ascii="方正小标宋简体" w:hAnsi="方正小标宋简体" w:eastAsia="方正小标宋简体" w:cs="方正小标宋简体"/>
          <w:color w:val="000000"/>
          <w:sz w:val="36"/>
          <w:szCs w:val="36"/>
          <w:highlight w:val="none"/>
        </w:rPr>
        <w:t>202</w:t>
      </w:r>
      <w:r>
        <w:rPr>
          <w:rFonts w:hint="eastAsia" w:ascii="方正小标宋简体" w:hAnsi="方正小标宋简体" w:eastAsia="方正小标宋简体" w:cs="方正小标宋简体"/>
          <w:color w:val="000000"/>
          <w:sz w:val="36"/>
          <w:szCs w:val="36"/>
          <w:highlight w:val="none"/>
          <w:lang w:val="en-US" w:eastAsia="zh-CN"/>
        </w:rPr>
        <w:t>3</w:t>
      </w:r>
      <w:r>
        <w:rPr>
          <w:rFonts w:hint="eastAsia" w:ascii="方正小标宋简体" w:hAnsi="方正小标宋简体" w:eastAsia="方正小标宋简体" w:cs="方正小标宋简体"/>
          <w:color w:val="000000"/>
          <w:sz w:val="36"/>
          <w:szCs w:val="36"/>
          <w:highlight w:val="none"/>
        </w:rPr>
        <w:t>年度部门整体支出绩效自评表</w:t>
      </w:r>
    </w:p>
    <w:tbl>
      <w:tblPr>
        <w:tblStyle w:val="4"/>
        <w:tblW w:w="10079" w:type="dxa"/>
        <w:jc w:val="center"/>
        <w:tblLayout w:type="autofit"/>
        <w:tblCellMar>
          <w:top w:w="0" w:type="dxa"/>
          <w:left w:w="108" w:type="dxa"/>
          <w:bottom w:w="0" w:type="dxa"/>
          <w:right w:w="108" w:type="dxa"/>
        </w:tblCellMar>
      </w:tblPr>
      <w:tblGrid>
        <w:gridCol w:w="1080"/>
        <w:gridCol w:w="1080"/>
        <w:gridCol w:w="1034"/>
        <w:gridCol w:w="1270"/>
        <w:gridCol w:w="1311"/>
        <w:gridCol w:w="1269"/>
        <w:gridCol w:w="716"/>
        <w:gridCol w:w="873"/>
        <w:gridCol w:w="1446"/>
      </w:tblGrid>
      <w:tr>
        <w:tblPrEx>
          <w:tblCellMar>
            <w:top w:w="0" w:type="dxa"/>
            <w:left w:w="108" w:type="dxa"/>
            <w:bottom w:w="0" w:type="dxa"/>
            <w:right w:w="108" w:type="dxa"/>
          </w:tblCellMar>
        </w:tblPrEx>
        <w:trPr>
          <w:jc w:val="center"/>
        </w:trPr>
        <w:tc>
          <w:tcPr>
            <w:tcW w:w="108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市</w:t>
            </w:r>
            <w:r>
              <w:rPr>
                <w:rFonts w:hint="eastAsia" w:ascii="仿宋_GB2312" w:hAnsi="仿宋_GB2312" w:eastAsia="仿宋_GB2312" w:cs="仿宋_GB2312"/>
                <w:color w:val="000000"/>
                <w:sz w:val="20"/>
                <w:szCs w:val="20"/>
                <w:highlight w:val="none"/>
              </w:rPr>
              <w:t>级预算部门名称</w:t>
            </w:r>
          </w:p>
        </w:tc>
        <w:tc>
          <w:tcPr>
            <w:tcW w:w="8999" w:type="dxa"/>
            <w:gridSpan w:val="8"/>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君山区</w:t>
            </w:r>
            <w:r>
              <w:rPr>
                <w:rFonts w:hint="eastAsia" w:ascii="仿宋_GB2312" w:hAnsi="仿宋_GB2312" w:eastAsia="仿宋_GB2312" w:cs="仿宋_GB2312"/>
                <w:color w:val="000000"/>
                <w:sz w:val="20"/>
                <w:szCs w:val="20"/>
                <w:highlight w:val="none"/>
                <w:lang w:val="en-US" w:eastAsia="zh-CN"/>
              </w:rPr>
              <w:t>水利工程项目建设管理中心</w:t>
            </w: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年度预</w:t>
            </w:r>
          </w:p>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算申请</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（万元）</w:t>
            </w: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年初预算数</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全年预算数</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全年执行数</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执行率</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得分</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2114" w:type="dxa"/>
            <w:gridSpan w:val="2"/>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color w:val="000000"/>
                <w:sz w:val="20"/>
                <w:szCs w:val="20"/>
                <w:highlight w:val="none"/>
              </w:rPr>
              <w:t>年度资金总额</w:t>
            </w:r>
          </w:p>
        </w:tc>
        <w:tc>
          <w:tcPr>
            <w:tcW w:w="1270"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89.13</w:t>
            </w:r>
          </w:p>
        </w:tc>
        <w:tc>
          <w:tcPr>
            <w:tcW w:w="1311"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100.07</w:t>
            </w:r>
          </w:p>
        </w:tc>
        <w:tc>
          <w:tcPr>
            <w:tcW w:w="1269"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rPr>
            </w:pPr>
            <w:r>
              <w:rPr>
                <w:rFonts w:hint="eastAsia" w:ascii="仿宋_GB2312" w:hAnsi="仿宋_GB2312" w:eastAsia="仿宋_GB2312" w:cs="仿宋_GB2312"/>
                <w:sz w:val="20"/>
                <w:szCs w:val="20"/>
                <w:highlight w:val="none"/>
                <w:lang w:val="en-US" w:eastAsia="zh-CN"/>
              </w:rPr>
              <w:t>100.07</w:t>
            </w:r>
          </w:p>
        </w:tc>
        <w:tc>
          <w:tcPr>
            <w:tcW w:w="716" w:type="dxa"/>
            <w:tcBorders>
              <w:top w:val="nil"/>
              <w:left w:val="nil"/>
              <w:bottom w:val="single" w:color="auto" w:sz="4" w:space="0"/>
              <w:right w:val="single" w:color="auto" w:sz="4" w:space="0"/>
            </w:tcBorders>
            <w:noWrap w:val="0"/>
            <w:vAlign w:val="center"/>
          </w:tcPr>
          <w:p>
            <w:pPr>
              <w:spacing w:line="240" w:lineRule="exact"/>
              <w:jc w:val="center"/>
              <w:rPr>
                <w:rFonts w:hint="eastAsia" w:ascii="仿宋_GB2312" w:hAnsi="仿宋_GB2312" w:eastAsia="仿宋_GB2312" w:cs="仿宋_GB2312"/>
                <w:sz w:val="20"/>
                <w:szCs w:val="20"/>
                <w:highlight w:val="none"/>
              </w:rPr>
            </w:pPr>
            <w:r>
              <w:rPr>
                <w:rFonts w:hint="eastAsia" w:ascii="仿宋_GB2312" w:hAnsi="仿宋_GB2312" w:eastAsia="仿宋_GB2312" w:cs="仿宋_GB2312"/>
                <w:sz w:val="20"/>
                <w:szCs w:val="20"/>
                <w:highlight w:val="none"/>
              </w:rPr>
              <w:t>10</w:t>
            </w:r>
          </w:p>
        </w:tc>
        <w:tc>
          <w:tcPr>
            <w:tcW w:w="873"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100</w:t>
            </w:r>
          </w:p>
        </w:tc>
        <w:tc>
          <w:tcPr>
            <w:tcW w:w="1446" w:type="dxa"/>
            <w:tcBorders>
              <w:top w:val="nil"/>
              <w:left w:val="nil"/>
              <w:bottom w:val="single" w:color="auto" w:sz="4" w:space="0"/>
              <w:right w:val="single" w:color="auto" w:sz="4" w:space="0"/>
            </w:tcBorders>
            <w:noWrap w:val="0"/>
            <w:vAlign w:val="center"/>
          </w:tcPr>
          <w:p>
            <w:pPr>
              <w:spacing w:line="240" w:lineRule="exact"/>
              <w:jc w:val="center"/>
              <w:rPr>
                <w:rFonts w:hint="default" w:ascii="仿宋_GB2312" w:hAnsi="仿宋_GB2312" w:eastAsia="仿宋_GB2312" w:cs="仿宋_GB2312"/>
                <w:sz w:val="20"/>
                <w:szCs w:val="20"/>
                <w:highlight w:val="none"/>
                <w:lang w:val="en-US" w:eastAsia="zh-CN"/>
              </w:rPr>
            </w:pPr>
            <w:r>
              <w:rPr>
                <w:rFonts w:hint="eastAsia" w:ascii="仿宋_GB2312" w:hAnsi="仿宋_GB2312" w:eastAsia="仿宋_GB2312" w:cs="仿宋_GB2312"/>
                <w:sz w:val="20"/>
                <w:szCs w:val="20"/>
                <w:highlight w:val="none"/>
                <w:lang w:val="en-US" w:eastAsia="zh-CN"/>
              </w:rPr>
              <w:t>10</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按收入性质分：</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按支出性质分：</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 xml:space="preserve">  其中：  一般公共预算：</w:t>
            </w:r>
            <w:r>
              <w:rPr>
                <w:rFonts w:hint="eastAsia" w:ascii="仿宋_GB2312" w:hAnsi="仿宋_GB2312" w:eastAsia="仿宋_GB2312" w:cs="仿宋_GB2312"/>
                <w:sz w:val="20"/>
                <w:szCs w:val="20"/>
                <w:highlight w:val="none"/>
                <w:lang w:val="en-US" w:eastAsia="zh-CN"/>
              </w:rPr>
              <w:t>100.07</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rPr>
              <w:t>其中：基本支出：</w:t>
            </w:r>
            <w:r>
              <w:rPr>
                <w:rFonts w:hint="eastAsia" w:ascii="仿宋_GB2312" w:hAnsi="仿宋_GB2312" w:eastAsia="仿宋_GB2312" w:cs="仿宋_GB2312"/>
                <w:sz w:val="20"/>
                <w:szCs w:val="20"/>
                <w:highlight w:val="none"/>
                <w:lang w:val="en-US" w:eastAsia="zh-CN"/>
              </w:rPr>
              <w:t>99.47</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800" w:firstLineChars="4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政府性基金拨款：</w:t>
            </w:r>
            <w:r>
              <w:rPr>
                <w:rFonts w:hint="eastAsia" w:ascii="仿宋_GB2312" w:hAnsi="仿宋_GB2312" w:eastAsia="仿宋_GB2312" w:cs="仿宋_GB2312"/>
                <w:color w:val="000000"/>
                <w:sz w:val="20"/>
                <w:szCs w:val="20"/>
                <w:highlight w:val="none"/>
                <w:lang w:val="en-US" w:eastAsia="zh-CN"/>
              </w:rPr>
              <w:t>0</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ind w:firstLine="600" w:firstLineChars="3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项目支出：</w:t>
            </w:r>
            <w:r>
              <w:rPr>
                <w:rFonts w:hint="eastAsia" w:ascii="仿宋_GB2312" w:hAnsi="仿宋_GB2312" w:eastAsia="仿宋_GB2312" w:cs="仿宋_GB2312"/>
                <w:color w:val="000000"/>
                <w:sz w:val="20"/>
                <w:szCs w:val="20"/>
                <w:highlight w:val="none"/>
                <w:lang w:val="en-US" w:eastAsia="zh-CN"/>
              </w:rPr>
              <w:t>0.6</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纳入专户管理的非税收入拨款：</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continue"/>
            <w:tcBorders>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nil"/>
              <w:left w:val="nil"/>
              <w:bottom w:val="single" w:color="auto" w:sz="4" w:space="0"/>
              <w:right w:val="single" w:color="auto" w:sz="4" w:space="0"/>
            </w:tcBorders>
            <w:noWrap w:val="0"/>
            <w:vAlign w:val="center"/>
          </w:tcPr>
          <w:p>
            <w:pPr>
              <w:widowControl/>
              <w:spacing w:line="240" w:lineRule="exact"/>
              <w:ind w:firstLine="1400" w:firstLineChars="7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其他资金：</w:t>
            </w:r>
          </w:p>
        </w:tc>
        <w:tc>
          <w:tcPr>
            <w:tcW w:w="4304" w:type="dxa"/>
            <w:gridSpan w:val="4"/>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bottom w:val="single" w:color="000000"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年度总体目标</w:t>
            </w: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预期目标</w:t>
            </w:r>
          </w:p>
        </w:tc>
        <w:tc>
          <w:tcPr>
            <w:tcW w:w="4304" w:type="dxa"/>
            <w:gridSpan w:val="4"/>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实际完成情况　</w:t>
            </w:r>
          </w:p>
        </w:tc>
      </w:tr>
      <w:tr>
        <w:tblPrEx>
          <w:tblCellMar>
            <w:top w:w="0" w:type="dxa"/>
            <w:left w:w="108" w:type="dxa"/>
            <w:bottom w:w="0" w:type="dxa"/>
            <w:right w:w="108" w:type="dxa"/>
          </w:tblCellMar>
        </w:tblPrEx>
        <w:trPr>
          <w:jc w:val="center"/>
        </w:trPr>
        <w:tc>
          <w:tcPr>
            <w:tcW w:w="1080" w:type="dxa"/>
            <w:vMerge w:val="continue"/>
            <w:tcBorders>
              <w:top w:val="nil"/>
              <w:left w:val="single" w:color="auto" w:sz="4" w:space="0"/>
              <w:bottom w:val="single" w:color="000000"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4695" w:type="dxa"/>
            <w:gridSpan w:val="4"/>
            <w:tcBorders>
              <w:top w:val="single" w:color="auto" w:sz="4" w:space="0"/>
              <w:left w:val="nil"/>
              <w:bottom w:val="single" w:color="auto" w:sz="4" w:space="0"/>
              <w:right w:val="single" w:color="000000" w:sz="4" w:space="0"/>
            </w:tcBorders>
            <w:noWrap w:val="0"/>
            <w:vAlign w:val="center"/>
          </w:tcPr>
          <w:p>
            <w:pPr>
              <w:widowControl/>
              <w:spacing w:line="240" w:lineRule="exact"/>
              <w:jc w:val="center"/>
              <w:rPr>
                <w:rFonts w:hint="default" w:eastAsia="仿宋_GB2312" w:cs="仿宋"/>
                <w:b/>
                <w:bCs/>
                <w:color w:val="000000"/>
                <w:sz w:val="32"/>
                <w:szCs w:val="24"/>
                <w:lang w:val="en-US" w:eastAsia="zh-CN"/>
              </w:rPr>
            </w:pPr>
            <w:r>
              <w:rPr>
                <w:rFonts w:hint="eastAsia" w:ascii="仿宋_GB2312" w:hAnsi="仿宋_GB2312" w:eastAsia="仿宋_GB2312" w:cs="仿宋_GB2312"/>
                <w:color w:val="000000"/>
                <w:sz w:val="20"/>
                <w:szCs w:val="20"/>
                <w:highlight w:val="none"/>
              </w:rPr>
              <w:t>狠抓工程建设管理和内部管理，各项工程建设</w:t>
            </w:r>
            <w:r>
              <w:rPr>
                <w:rFonts w:hint="eastAsia" w:ascii="仿宋_GB2312" w:hAnsi="仿宋_GB2312" w:eastAsia="仿宋_GB2312" w:cs="仿宋_GB2312"/>
                <w:color w:val="000000"/>
                <w:sz w:val="20"/>
                <w:szCs w:val="20"/>
                <w:highlight w:val="none"/>
                <w:lang w:val="en-US" w:eastAsia="zh-CN"/>
              </w:rPr>
              <w:t>有序开展、</w:t>
            </w:r>
            <w:r>
              <w:rPr>
                <w:rFonts w:hint="eastAsia" w:ascii="仿宋_GB2312" w:hAnsi="仿宋_GB2312" w:eastAsia="仿宋_GB2312" w:cs="仿宋_GB2312"/>
                <w:color w:val="000000"/>
                <w:sz w:val="20"/>
                <w:szCs w:val="20"/>
                <w:highlight w:val="none"/>
              </w:rPr>
              <w:t>顺利推进</w:t>
            </w:r>
            <w:r>
              <w:rPr>
                <w:rFonts w:hint="eastAsia" w:ascii="仿宋_GB2312" w:hAnsi="仿宋_GB2312" w:eastAsia="仿宋_GB2312" w:cs="仿宋_GB2312"/>
                <w:color w:val="000000"/>
                <w:sz w:val="20"/>
                <w:szCs w:val="20"/>
                <w:highlight w:val="none"/>
                <w:lang w:eastAsia="zh-CN"/>
              </w:rPr>
              <w:t>。</w:t>
            </w:r>
          </w:p>
        </w:tc>
        <w:tc>
          <w:tcPr>
            <w:tcW w:w="4304" w:type="dxa"/>
            <w:gridSpan w:val="4"/>
            <w:tcBorders>
              <w:top w:val="single" w:color="auto" w:sz="4" w:space="0"/>
              <w:left w:val="nil"/>
              <w:bottom w:val="single" w:color="auto" w:sz="4" w:space="0"/>
              <w:right w:val="single" w:color="auto" w:sz="4" w:space="0"/>
            </w:tcBorders>
            <w:noWrap w:val="0"/>
            <w:vAlign w:val="top"/>
          </w:tcPr>
          <w:p>
            <w:pPr>
              <w:numPr>
                <w:ilvl w:val="0"/>
                <w:numId w:val="0"/>
              </w:numPr>
              <w:autoSpaceDN w:val="0"/>
              <w:spacing w:line="405" w:lineRule="atLeast"/>
              <w:ind w:firstLine="400" w:firstLineChars="200"/>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以前年度</w:t>
            </w:r>
            <w:r>
              <w:rPr>
                <w:rFonts w:hint="eastAsia" w:ascii="仿宋_GB2312" w:hAnsi="仿宋_GB2312" w:eastAsia="仿宋_GB2312" w:cs="仿宋_GB2312"/>
                <w:color w:val="000000"/>
                <w:sz w:val="20"/>
                <w:szCs w:val="20"/>
                <w:highlight w:val="none"/>
              </w:rPr>
              <w:t>开工建设的君山区2020年度重点中型灌区项目</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华容护城涝区泵站更新改造项目、牛奶铺电排改扩建及配套工程、友谊电排改扩建工程、君山区金龙金家水库除险加固项目以及农村水价综合改革项目于2023</w:t>
            </w:r>
            <w:r>
              <w:rPr>
                <w:rFonts w:hint="eastAsia" w:ascii="仿宋_GB2312" w:hAnsi="仿宋_GB2312" w:eastAsia="仿宋_GB2312" w:cs="仿宋_GB2312"/>
                <w:color w:val="000000"/>
                <w:sz w:val="20"/>
                <w:szCs w:val="20"/>
                <w:highlight w:val="none"/>
              </w:rPr>
              <w:t>年</w:t>
            </w:r>
            <w:r>
              <w:rPr>
                <w:rFonts w:hint="eastAsia" w:ascii="仿宋_GB2312" w:hAnsi="仿宋_GB2312" w:eastAsia="仿宋_GB2312" w:cs="仿宋_GB2312"/>
                <w:color w:val="000000"/>
                <w:sz w:val="20"/>
                <w:szCs w:val="20"/>
                <w:highlight w:val="none"/>
                <w:lang w:val="en-US" w:eastAsia="zh-CN"/>
              </w:rPr>
              <w:t>度</w:t>
            </w:r>
            <w:r>
              <w:rPr>
                <w:rFonts w:hint="eastAsia" w:ascii="仿宋_GB2312" w:hAnsi="仿宋_GB2312" w:eastAsia="仿宋_GB2312" w:cs="仿宋_GB2312"/>
                <w:color w:val="000000"/>
                <w:sz w:val="20"/>
                <w:szCs w:val="20"/>
                <w:highlight w:val="none"/>
              </w:rPr>
              <w:t>顺利通过</w:t>
            </w:r>
            <w:r>
              <w:rPr>
                <w:rFonts w:hint="eastAsia" w:ascii="仿宋_GB2312" w:hAnsi="仿宋_GB2312" w:eastAsia="仿宋_GB2312" w:cs="仿宋_GB2312"/>
                <w:color w:val="000000"/>
                <w:sz w:val="20"/>
                <w:szCs w:val="20"/>
                <w:highlight w:val="none"/>
                <w:lang w:val="en-US" w:eastAsia="zh-CN"/>
              </w:rPr>
              <w:t>竣工</w:t>
            </w:r>
            <w:r>
              <w:rPr>
                <w:rFonts w:hint="eastAsia" w:ascii="仿宋_GB2312" w:hAnsi="仿宋_GB2312" w:eastAsia="仿宋_GB2312" w:cs="仿宋_GB2312"/>
                <w:color w:val="000000"/>
                <w:sz w:val="20"/>
                <w:szCs w:val="20"/>
                <w:highlight w:val="none"/>
              </w:rPr>
              <w:t>验收</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2023</w:t>
            </w:r>
            <w:r>
              <w:rPr>
                <w:rFonts w:hint="eastAsia" w:ascii="仿宋_GB2312" w:hAnsi="仿宋_GB2312" w:eastAsia="仿宋_GB2312" w:cs="仿宋_GB2312"/>
                <w:color w:val="000000"/>
                <w:sz w:val="20"/>
                <w:szCs w:val="20"/>
                <w:highlight w:val="none"/>
              </w:rPr>
              <w:t>年我建管中心新建项目有：</w:t>
            </w:r>
            <w:r>
              <w:rPr>
                <w:rFonts w:hint="eastAsia" w:ascii="仿宋_GB2312" w:hAnsi="仿宋_GB2312" w:eastAsia="仿宋_GB2312" w:cs="仿宋_GB2312"/>
                <w:color w:val="000000"/>
                <w:sz w:val="20"/>
                <w:szCs w:val="20"/>
                <w:highlight w:val="none"/>
                <w:lang w:val="en-US" w:eastAsia="zh-CN"/>
              </w:rPr>
              <w:t>君山区十四五排涝能力建设一期、二期工程，坨龙凤凰鱼溪</w:t>
            </w:r>
            <w:r>
              <w:rPr>
                <w:rFonts w:hint="eastAsia" w:ascii="仿宋_GB2312" w:hAnsi="仿宋_GB2312" w:eastAsia="仿宋_GB2312" w:cs="仿宋_GB2312"/>
                <w:color w:val="000000"/>
                <w:sz w:val="20"/>
                <w:szCs w:val="20"/>
                <w:highlight w:val="none"/>
              </w:rPr>
              <w:t>水库除险加固工程</w:t>
            </w:r>
            <w:r>
              <w:rPr>
                <w:rFonts w:hint="eastAsia" w:ascii="仿宋_GB2312" w:hAnsi="仿宋_GB2312" w:eastAsia="仿宋_GB2312" w:cs="仿宋_GB2312"/>
                <w:color w:val="000000"/>
                <w:sz w:val="20"/>
                <w:szCs w:val="20"/>
                <w:highlight w:val="none"/>
                <w:lang w:eastAsia="zh-CN"/>
              </w:rPr>
              <w:t>，</w:t>
            </w:r>
            <w:r>
              <w:rPr>
                <w:rFonts w:hint="eastAsia" w:ascii="仿宋_GB2312" w:hAnsi="仿宋_GB2312" w:eastAsia="仿宋_GB2312" w:cs="仿宋_GB2312"/>
                <w:color w:val="000000"/>
                <w:sz w:val="20"/>
                <w:szCs w:val="20"/>
                <w:highlight w:val="none"/>
                <w:lang w:val="en-US" w:eastAsia="zh-CN"/>
              </w:rPr>
              <w:t>松木塘石水库除险加固工程。</w:t>
            </w:r>
            <w:r>
              <w:rPr>
                <w:rFonts w:hint="eastAsia" w:ascii="仿宋_GB2312" w:hAnsi="仿宋_GB2312" w:eastAsia="仿宋_GB2312" w:cs="仿宋_GB2312"/>
                <w:color w:val="000000"/>
                <w:sz w:val="20"/>
                <w:szCs w:val="20"/>
                <w:highlight w:val="none"/>
              </w:rPr>
              <w:t>所有项目在计划下达后，将预算提交财政进行投资评审。在设计、监理和招标代理公司、施工单位的选择上，达到招标要求的，严格执行公开招标，代理公司全部实行比选制，做到公开、公平、公正。同时，对参建单位严格实行合同制管理。项目在开始实施时严格执行项目开工审批，做到审批一处开工一处。施工过程严格执行项目监理制，做到对项目全过程监管，并形</w:t>
            </w:r>
            <w:r>
              <w:rPr>
                <w:rFonts w:hint="eastAsia" w:ascii="仿宋_GB2312" w:hAnsi="仿宋_GB2312" w:eastAsia="仿宋_GB2312" w:cs="仿宋_GB2312"/>
                <w:color w:val="000000"/>
                <w:sz w:val="20"/>
                <w:szCs w:val="20"/>
                <w:highlight w:val="none"/>
                <w:lang w:val="en-US" w:eastAsia="zh-CN"/>
              </w:rPr>
              <w:t>成</w:t>
            </w:r>
            <w:r>
              <w:rPr>
                <w:rFonts w:hint="eastAsia" w:ascii="仿宋_GB2312" w:hAnsi="仿宋_GB2312" w:eastAsia="仿宋_GB2312" w:cs="仿宋_GB2312"/>
                <w:color w:val="000000"/>
                <w:sz w:val="20"/>
                <w:szCs w:val="20"/>
                <w:highlight w:val="none"/>
              </w:rPr>
              <w:t>监理日志、监理巡视记录、监理旁站记录等监理资料，作为项目验收依据。</w:t>
            </w:r>
          </w:p>
          <w:p>
            <w:pPr>
              <w:widowControl/>
              <w:spacing w:line="240" w:lineRule="exact"/>
              <w:jc w:val="left"/>
              <w:rPr>
                <w:rFonts w:hint="eastAsia" w:ascii="仿宋_GB2312" w:hAnsi="仿宋_GB2312" w:eastAsia="仿宋_GB2312" w:cs="仿宋_GB2312"/>
                <w:color w:val="000000"/>
                <w:sz w:val="20"/>
                <w:szCs w:val="20"/>
                <w:highlight w:val="none"/>
                <w:lang w:val="en-US" w:eastAsia="zh-CN"/>
              </w:rPr>
            </w:pPr>
          </w:p>
        </w:tc>
      </w:tr>
      <w:tr>
        <w:tblPrEx>
          <w:tblCellMar>
            <w:top w:w="0" w:type="dxa"/>
            <w:left w:w="108" w:type="dxa"/>
            <w:bottom w:w="0" w:type="dxa"/>
            <w:right w:w="108" w:type="dxa"/>
          </w:tblCellMar>
        </w:tblPrEx>
        <w:trPr>
          <w:jc w:val="center"/>
        </w:trPr>
        <w:tc>
          <w:tcPr>
            <w:tcW w:w="1080"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绩</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标</w:t>
            </w:r>
          </w:p>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一级指标</w:t>
            </w:r>
          </w:p>
        </w:tc>
        <w:tc>
          <w:tcPr>
            <w:tcW w:w="1034"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二级指标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三级指标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年度指标值</w:t>
            </w:r>
          </w:p>
        </w:tc>
        <w:tc>
          <w:tcPr>
            <w:tcW w:w="1269" w:type="dxa"/>
            <w:tcBorders>
              <w:top w:val="nil"/>
              <w:left w:val="nil"/>
              <w:bottom w:val="single" w:color="auto" w:sz="4" w:space="0"/>
              <w:right w:val="single" w:color="auto" w:sz="4" w:space="0"/>
            </w:tcBorders>
            <w:noWrap w:val="0"/>
            <w:vAlign w:val="center"/>
          </w:tcPr>
          <w:p>
            <w:pPr>
              <w:widowControl/>
              <w:spacing w:line="240" w:lineRule="exac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实际完成值</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分值</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得分</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both"/>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偏差原因分析及改进措施</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产出指标</w:t>
            </w:r>
          </w:p>
          <w:p>
            <w:pPr>
              <w:widowControl/>
              <w:spacing w:line="240" w:lineRule="exact"/>
              <w:jc w:val="center"/>
              <w:rPr>
                <w:rFonts w:hint="eastAsia" w:ascii="仿宋_GB2312" w:hAnsi="仿宋_GB2312" w:eastAsia="仿宋_GB2312" w:cs="仿宋_GB2312"/>
                <w:color w:val="000000"/>
                <w:sz w:val="20"/>
                <w:szCs w:val="20"/>
                <w:highlight w:val="none"/>
              </w:rPr>
            </w:pP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(50分)</w:t>
            </w: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数量指标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w:t>
            </w:r>
            <w:r>
              <w:rPr>
                <w:rFonts w:hint="eastAsia" w:ascii="仿宋_GB2312" w:hAnsi="仿宋_GB2312" w:eastAsia="仿宋_GB2312" w:cs="仿宋_GB2312"/>
                <w:color w:val="000000"/>
                <w:sz w:val="20"/>
                <w:szCs w:val="20"/>
                <w:highlight w:val="none"/>
              </w:rPr>
              <w:t>年</w:t>
            </w:r>
            <w:r>
              <w:rPr>
                <w:rFonts w:hint="eastAsia" w:ascii="仿宋_GB2312" w:hAnsi="仿宋_GB2312" w:eastAsia="仿宋_GB2312" w:cs="仿宋_GB2312"/>
                <w:color w:val="000000"/>
                <w:sz w:val="20"/>
                <w:szCs w:val="20"/>
                <w:highlight w:val="none"/>
                <w:lang w:val="en-US" w:eastAsia="zh-CN"/>
              </w:rPr>
              <w:t>度完成6个以前年度项目的竣工</w:t>
            </w:r>
            <w:r>
              <w:rPr>
                <w:rFonts w:hint="eastAsia" w:ascii="仿宋_GB2312" w:hAnsi="仿宋_GB2312" w:eastAsia="仿宋_GB2312" w:cs="仿宋_GB2312"/>
                <w:color w:val="000000"/>
                <w:sz w:val="20"/>
                <w:szCs w:val="20"/>
                <w:highlight w:val="none"/>
              </w:rPr>
              <w:t>验收</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≥6个</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已完成6个</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2023年度新增项目顺利开展</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≥4个</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已顺利开展4个</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restart"/>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质量指标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确保施工过程中的完全按照设计方案，确保工程质量</w:t>
            </w: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right w:val="single" w:color="auto" w:sz="4" w:space="0"/>
            </w:tcBorders>
            <w:noWrap w:val="0"/>
            <w:vAlign w:val="center"/>
          </w:tcPr>
          <w:p>
            <w:pPr>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jc w:val="left"/>
              <w:outlineLvl w:val="0"/>
              <w:rPr>
                <w:rFonts w:ascii="宋体" w:hAnsi="宋体"/>
                <w:sz w:val="32"/>
                <w:szCs w:val="32"/>
              </w:rPr>
            </w:pPr>
            <w:r>
              <w:rPr>
                <w:rFonts w:hint="eastAsia" w:ascii="仿宋_GB2312" w:hAnsi="仿宋_GB2312" w:eastAsia="仿宋_GB2312" w:cs="仿宋_GB2312"/>
                <w:color w:val="000000"/>
                <w:sz w:val="20"/>
                <w:szCs w:val="20"/>
                <w:highlight w:val="none"/>
              </w:rPr>
              <w:t>2023年度单位无安全事故发生</w:t>
            </w:r>
          </w:p>
          <w:p>
            <w:pPr>
              <w:widowControl/>
              <w:spacing w:line="240" w:lineRule="exact"/>
              <w:jc w:val="left"/>
              <w:rPr>
                <w:rFonts w:hint="eastAsia" w:ascii="仿宋_GB2312" w:hAnsi="仿宋_GB2312" w:eastAsia="仿宋_GB2312" w:cs="仿宋_GB2312"/>
                <w:color w:val="000000"/>
                <w:sz w:val="20"/>
                <w:szCs w:val="20"/>
                <w:highlight w:val="none"/>
                <w:lang w:eastAsia="zh-CN"/>
              </w:rPr>
            </w:pPr>
          </w:p>
        </w:tc>
        <w:tc>
          <w:tcPr>
            <w:tcW w:w="1311"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＜1次</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rPr>
            </w:pPr>
            <w:r>
              <w:rPr>
                <w:rFonts w:hint="eastAsia" w:ascii="仿宋_GB2312" w:hAnsi="仿宋_GB2312" w:eastAsia="仿宋_GB2312" w:cs="仿宋_GB2312"/>
                <w:color w:val="000000"/>
                <w:sz w:val="20"/>
                <w:szCs w:val="20"/>
                <w:highlight w:val="none"/>
                <w:lang w:val="en-US" w:eastAsia="zh-CN"/>
              </w:rPr>
              <w:t>0次</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vMerge w:val="continue"/>
            <w:tcBorders>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筹划前期工作，落实资金到位</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　＝</w:t>
            </w:r>
            <w:r>
              <w:rPr>
                <w:rFonts w:hint="eastAsia" w:ascii="仿宋_GB2312" w:hAnsi="仿宋_GB2312" w:eastAsia="仿宋_GB2312" w:cs="仿宋_GB2312"/>
                <w:color w:val="000000"/>
                <w:sz w:val="20"/>
                <w:szCs w:val="20"/>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时效指标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年度各项任务完成期限</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2023年12月31日前</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2023年12月20日前</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成本指标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预算控制率</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宋体" w:hAnsi="宋体" w:eastAsia="宋体" w:cs="宋体"/>
                <w:color w:val="000000"/>
                <w:sz w:val="20"/>
                <w:szCs w:val="20"/>
                <w:highlight w:val="none"/>
                <w:lang w:val="en-US" w:eastAsia="zh-CN"/>
              </w:rPr>
              <w:t>≦</w:t>
            </w:r>
            <w:r>
              <w:rPr>
                <w:rFonts w:hint="eastAsia" w:ascii="仿宋_GB2312" w:hAnsi="仿宋_GB2312" w:eastAsia="仿宋_GB2312" w:cs="仿宋_GB2312"/>
                <w:color w:val="000000"/>
                <w:sz w:val="20"/>
                <w:szCs w:val="20"/>
                <w:highlight w:val="none"/>
                <w:lang w:val="en-US" w:eastAsia="zh-CN"/>
              </w:rPr>
              <w:t>100%</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restart"/>
            <w:tcBorders>
              <w:top w:val="nil"/>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效益指标</w:t>
            </w:r>
          </w:p>
          <w:p>
            <w:pPr>
              <w:widowControl/>
              <w:spacing w:line="240" w:lineRule="exact"/>
              <w:jc w:val="left"/>
              <w:rPr>
                <w:rFonts w:hint="eastAsia" w:ascii="仿宋_GB2312" w:hAnsi="仿宋_GB2312" w:eastAsia="仿宋_GB2312" w:cs="仿宋_GB2312"/>
                <w:color w:val="000000"/>
                <w:sz w:val="20"/>
                <w:szCs w:val="20"/>
                <w:highlight w:val="none"/>
              </w:rPr>
            </w:pP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（30分）</w:t>
            </w:r>
          </w:p>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经济效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保障项目顺利开展，推动水利经济持续稳步发展。</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有效推动</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受职能以外多重因素影响</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社会效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eastAsia="zh-CN"/>
              </w:rPr>
              <w:t>保障社会稳定，</w:t>
            </w:r>
            <w:r>
              <w:rPr>
                <w:rFonts w:hint="eastAsia" w:ascii="仿宋_GB2312" w:hAnsi="仿宋_GB2312" w:eastAsia="仿宋_GB2312" w:cs="仿宋_GB2312"/>
                <w:color w:val="000000"/>
                <w:sz w:val="20"/>
                <w:szCs w:val="20"/>
                <w:highlight w:val="none"/>
                <w:lang w:val="en-US" w:eastAsia="zh-CN"/>
              </w:rPr>
              <w:t>保障农民工工资发放到位</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ind w:firstLine="400" w:firstLineChars="200"/>
              <w:jc w:val="left"/>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kern w:val="0"/>
                <w:sz w:val="20"/>
                <w:szCs w:val="20"/>
                <w:highlight w:val="none"/>
                <w:lang w:val="en-US" w:eastAsia="zh-CN" w:bidi="ar-SA"/>
              </w:rPr>
            </w:pPr>
            <w:r>
              <w:rPr>
                <w:rFonts w:hint="eastAsia" w:ascii="仿宋_GB2312" w:hAnsi="仿宋_GB2312" w:eastAsia="仿宋_GB2312" w:cs="仿宋_GB2312"/>
                <w:color w:val="000000"/>
                <w:sz w:val="20"/>
                <w:szCs w:val="20"/>
                <w:highlight w:val="none"/>
                <w:lang w:val="en-US" w:eastAsia="zh-CN"/>
              </w:rPr>
              <w:t>有效提升</w:t>
            </w:r>
          </w:p>
        </w:tc>
        <w:tc>
          <w:tcPr>
            <w:tcW w:w="71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生态效</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益指标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提升了河湖水生态环境</w:t>
            </w:r>
          </w:p>
        </w:tc>
        <w:tc>
          <w:tcPr>
            <w:tcW w:w="1311"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定性</w:t>
            </w:r>
          </w:p>
        </w:tc>
        <w:tc>
          <w:tcPr>
            <w:tcW w:w="1269" w:type="dxa"/>
            <w:tcBorders>
              <w:top w:val="nil"/>
              <w:left w:val="nil"/>
              <w:bottom w:val="single" w:color="auto" w:sz="4" w:space="0"/>
              <w:right w:val="single" w:color="auto" w:sz="4" w:space="0"/>
            </w:tcBorders>
            <w:noWrap w:val="0"/>
            <w:vAlign w:val="center"/>
          </w:tcPr>
          <w:p>
            <w:pPr>
              <w:keepNext w:val="0"/>
              <w:keepLines w:val="0"/>
              <w:widowControl/>
              <w:suppressLineNumbers w:val="0"/>
              <w:jc w:val="center"/>
              <w:textAlignment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有效加强</w:t>
            </w:r>
          </w:p>
        </w:tc>
        <w:tc>
          <w:tcPr>
            <w:tcW w:w="716" w:type="dxa"/>
            <w:tcBorders>
              <w:top w:val="nil"/>
              <w:left w:val="nil"/>
              <w:bottom w:val="single" w:color="auto" w:sz="4" w:space="0"/>
              <w:right w:val="single" w:color="auto" w:sz="4" w:space="0"/>
            </w:tcBorders>
            <w:noWrap w:val="0"/>
            <w:vAlign w:val="center"/>
          </w:tcPr>
          <w:p>
            <w:pPr>
              <w:widowControl/>
              <w:spacing w:line="240" w:lineRule="exact"/>
              <w:ind w:firstLine="200" w:firstLineChars="100"/>
              <w:jc w:val="left"/>
              <w:rPr>
                <w:rFonts w:hint="eastAsia"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5</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90" w:hRule="atLeast"/>
          <w:jc w:val="center"/>
        </w:trPr>
        <w:tc>
          <w:tcPr>
            <w:tcW w:w="1080" w:type="dxa"/>
            <w:vMerge w:val="continue"/>
            <w:tcBorders>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p>
        </w:tc>
        <w:tc>
          <w:tcPr>
            <w:tcW w:w="1080" w:type="dxa"/>
            <w:vMerge w:val="continue"/>
            <w:tcBorders>
              <w:left w:val="nil"/>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p>
        </w:tc>
        <w:tc>
          <w:tcPr>
            <w:tcW w:w="1034" w:type="dxa"/>
            <w:tcBorders>
              <w:top w:val="single" w:color="auto" w:sz="4" w:space="0"/>
              <w:left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可持续影响指标</w:t>
            </w:r>
          </w:p>
        </w:tc>
        <w:tc>
          <w:tcPr>
            <w:tcW w:w="1270"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lang w:eastAsia="zh-CN"/>
              </w:rPr>
            </w:pPr>
            <w:r>
              <w:rPr>
                <w:rFonts w:hint="eastAsia" w:ascii="仿宋_GB2312" w:hAnsi="仿宋_GB2312" w:eastAsia="仿宋_GB2312" w:cs="仿宋_GB2312"/>
                <w:color w:val="000000"/>
                <w:sz w:val="20"/>
                <w:szCs w:val="20"/>
              </w:rPr>
              <w:t>综合防汛抗旱能力提升</w:t>
            </w:r>
            <w:bookmarkStart w:id="0" w:name="_GoBack"/>
            <w:bookmarkEnd w:id="0"/>
            <w:r>
              <w:rPr>
                <w:rFonts w:hint="eastAsia" w:ascii="仿宋_GB2312" w:hAnsi="仿宋_GB2312" w:eastAsia="仿宋_GB2312" w:cs="仿宋_GB2312"/>
                <w:color w:val="000000"/>
                <w:sz w:val="20"/>
                <w:szCs w:val="20"/>
              </w:rPr>
              <w:t>。</w:t>
            </w:r>
          </w:p>
        </w:tc>
        <w:tc>
          <w:tcPr>
            <w:tcW w:w="1311"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rPr>
            </w:pPr>
            <w:r>
              <w:rPr>
                <w:rFonts w:hint="eastAsia" w:ascii="仿宋_GB2312" w:hAnsi="仿宋_GB2312" w:eastAsia="仿宋_GB2312" w:cs="仿宋_GB2312"/>
                <w:color w:val="000000"/>
                <w:sz w:val="20"/>
                <w:szCs w:val="20"/>
              </w:rPr>
              <w:t>　</w:t>
            </w:r>
            <w:r>
              <w:rPr>
                <w:rFonts w:hint="eastAsia" w:ascii="仿宋_GB2312" w:hAnsi="仿宋_GB2312" w:eastAsia="仿宋_GB2312" w:cs="仿宋_GB2312"/>
                <w:color w:val="000000"/>
                <w:sz w:val="20"/>
                <w:szCs w:val="20"/>
                <w:lang w:eastAsia="zh-CN"/>
              </w:rPr>
              <w:t>效果显著</w:t>
            </w:r>
          </w:p>
        </w:tc>
        <w:tc>
          <w:tcPr>
            <w:tcW w:w="1269"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效果显著</w:t>
            </w:r>
          </w:p>
        </w:tc>
        <w:tc>
          <w:tcPr>
            <w:tcW w:w="71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val="en-US" w:eastAsia="zh-CN"/>
              </w:rPr>
              <w:t>10</w:t>
            </w:r>
          </w:p>
        </w:tc>
        <w:tc>
          <w:tcPr>
            <w:tcW w:w="873"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single" w:color="auto" w:sz="4" w:space="0"/>
              <w:left w:val="single" w:color="auto" w:sz="4" w:space="0"/>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330" w:hRule="atLeast"/>
          <w:jc w:val="center"/>
        </w:trPr>
        <w:tc>
          <w:tcPr>
            <w:tcW w:w="1080" w:type="dxa"/>
            <w:vMerge w:val="continue"/>
            <w:tcBorders>
              <w:left w:val="single" w:color="auto" w:sz="4" w:space="0"/>
              <w:right w:val="single" w:color="auto" w:sz="4" w:space="0"/>
            </w:tcBorders>
            <w:noWrap w:val="0"/>
            <w:vAlign w:val="center"/>
          </w:tcPr>
          <w:p>
            <w:pPr>
              <w:spacing w:line="240" w:lineRule="exact"/>
              <w:jc w:val="left"/>
              <w:rPr>
                <w:rFonts w:hint="eastAsia" w:ascii="仿宋_GB2312" w:hAnsi="仿宋_GB2312" w:eastAsia="仿宋_GB2312" w:cs="仿宋_GB2312"/>
                <w:color w:val="000000"/>
                <w:sz w:val="20"/>
                <w:szCs w:val="20"/>
                <w:highlight w:val="none"/>
              </w:rPr>
            </w:pPr>
          </w:p>
        </w:tc>
        <w:tc>
          <w:tcPr>
            <w:tcW w:w="1080"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满意度</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指标</w:t>
            </w:r>
          </w:p>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（10分）</w:t>
            </w:r>
          </w:p>
        </w:tc>
        <w:tc>
          <w:tcPr>
            <w:tcW w:w="1034" w:type="dxa"/>
            <w:tcBorders>
              <w:top w:val="nil"/>
              <w:left w:val="nil"/>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服务对象满意度指标</w:t>
            </w:r>
          </w:p>
        </w:tc>
        <w:tc>
          <w:tcPr>
            <w:tcW w:w="127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lang w:eastAsia="zh-CN"/>
              </w:rPr>
            </w:pPr>
            <w:r>
              <w:rPr>
                <w:rFonts w:hint="eastAsia" w:ascii="仿宋_GB2312" w:hAnsi="仿宋_GB2312" w:eastAsia="仿宋_GB2312" w:cs="仿宋_GB2312"/>
                <w:color w:val="000000"/>
                <w:sz w:val="20"/>
                <w:szCs w:val="20"/>
                <w:highlight w:val="none"/>
                <w:lang w:eastAsia="zh-CN"/>
              </w:rPr>
              <w:t>群众满意度</w:t>
            </w:r>
          </w:p>
        </w:tc>
        <w:tc>
          <w:tcPr>
            <w:tcW w:w="1311"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95%</w:t>
            </w:r>
          </w:p>
        </w:tc>
        <w:tc>
          <w:tcPr>
            <w:tcW w:w="1269"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rPr>
              <w:t>≥</w:t>
            </w:r>
            <w:r>
              <w:rPr>
                <w:rFonts w:hint="eastAsia" w:ascii="仿宋_GB2312" w:hAnsi="仿宋_GB2312" w:eastAsia="仿宋_GB2312" w:cs="仿宋_GB2312"/>
                <w:color w:val="000000"/>
                <w:sz w:val="20"/>
                <w:szCs w:val="20"/>
                <w:highlight w:val="none"/>
                <w:lang w:val="en-US" w:eastAsia="zh-CN"/>
              </w:rPr>
              <w:t>95%</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lang w:val="en-US" w:eastAsia="zh-CN"/>
              </w:rPr>
              <w:t>10</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r>
              <w:rPr>
                <w:rFonts w:hint="eastAsia" w:ascii="仿宋_GB2312" w:hAnsi="仿宋_GB2312" w:eastAsia="仿宋_GB2312" w:cs="仿宋_GB2312"/>
                <w:color w:val="000000"/>
                <w:sz w:val="20"/>
                <w:szCs w:val="20"/>
                <w:highlight w:val="none"/>
                <w:lang w:eastAsia="zh-CN"/>
              </w:rPr>
              <w:t>无偏差</w:t>
            </w:r>
          </w:p>
        </w:tc>
      </w:tr>
      <w:tr>
        <w:tblPrEx>
          <w:tblCellMar>
            <w:top w:w="0" w:type="dxa"/>
            <w:left w:w="108" w:type="dxa"/>
            <w:bottom w:w="0" w:type="dxa"/>
            <w:right w:w="108" w:type="dxa"/>
          </w:tblCellMar>
        </w:tblPrEx>
        <w:trPr>
          <w:trHeight w:val="270" w:hRule="atLeast"/>
          <w:jc w:val="center"/>
        </w:trPr>
        <w:tc>
          <w:tcPr>
            <w:tcW w:w="7044" w:type="dxa"/>
            <w:gridSpan w:val="6"/>
            <w:tcBorders>
              <w:top w:val="single" w:color="auto" w:sz="4" w:space="0"/>
              <w:left w:val="single" w:color="auto" w:sz="4" w:space="0"/>
              <w:bottom w:val="single" w:color="auto" w:sz="4" w:space="0"/>
              <w:right w:val="single" w:color="000000"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总分</w:t>
            </w:r>
          </w:p>
        </w:tc>
        <w:tc>
          <w:tcPr>
            <w:tcW w:w="716"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100</w:t>
            </w:r>
          </w:p>
        </w:tc>
        <w:tc>
          <w:tcPr>
            <w:tcW w:w="873"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仿宋_GB2312" w:hAnsi="仿宋_GB2312" w:eastAsia="仿宋_GB2312" w:cs="仿宋_GB2312"/>
                <w:color w:val="000000"/>
                <w:sz w:val="20"/>
                <w:szCs w:val="20"/>
                <w:highlight w:val="none"/>
                <w:lang w:val="en-US" w:eastAsia="zh-CN"/>
              </w:rPr>
            </w:pPr>
            <w:r>
              <w:rPr>
                <w:rFonts w:hint="eastAsia" w:ascii="仿宋_GB2312" w:hAnsi="仿宋_GB2312" w:eastAsia="仿宋_GB2312" w:cs="仿宋_GB2312"/>
                <w:color w:val="000000"/>
                <w:sz w:val="20"/>
                <w:szCs w:val="20"/>
                <w:highlight w:val="none"/>
                <w:lang w:val="en-US" w:eastAsia="zh-CN"/>
              </w:rPr>
              <w:t>98</w:t>
            </w:r>
          </w:p>
        </w:tc>
        <w:tc>
          <w:tcPr>
            <w:tcW w:w="1446"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仿宋_GB2312" w:eastAsia="仿宋_GB2312" w:cs="仿宋_GB2312"/>
                <w:color w:val="000000"/>
                <w:sz w:val="20"/>
                <w:szCs w:val="20"/>
                <w:highlight w:val="none"/>
              </w:rPr>
            </w:pPr>
            <w:r>
              <w:rPr>
                <w:rFonts w:hint="eastAsia" w:ascii="仿宋_GB2312" w:hAnsi="仿宋_GB2312" w:eastAsia="仿宋_GB2312" w:cs="仿宋_GB2312"/>
                <w:color w:val="000000"/>
                <w:sz w:val="20"/>
                <w:szCs w:val="20"/>
                <w:highlight w:val="none"/>
              </w:rPr>
              <w:t>　</w:t>
            </w:r>
          </w:p>
        </w:tc>
      </w:tr>
    </w:tbl>
    <w:p>
      <w:pPr>
        <w:widowControl/>
        <w:spacing w:after="0" w:afterLines="0" w:line="400" w:lineRule="exact"/>
        <w:ind w:left="220" w:hanging="220" w:hangingChars="100"/>
        <w:jc w:val="left"/>
        <w:rPr>
          <w:rFonts w:hint="eastAsia" w:ascii="Times New Roman" w:hAnsi="Times New Roman" w:eastAsia="仿宋_GB2312" w:cs="Times New Roman"/>
          <w:sz w:val="22"/>
          <w:highlight w:val="none"/>
          <w:lang w:val="en-US" w:eastAsia="zh-CN"/>
        </w:rPr>
      </w:pPr>
      <w:r>
        <w:rPr>
          <w:rFonts w:hint="default" w:ascii="Times New Roman" w:hAnsi="Times New Roman" w:eastAsia="仿宋_GB2312" w:cs="Times New Roman"/>
          <w:sz w:val="22"/>
          <w:highlight w:val="none"/>
        </w:rPr>
        <w:t>填表人</w:t>
      </w:r>
      <w:r>
        <w:rPr>
          <w:rFonts w:hint="eastAsia" w:ascii="Times New Roman" w:hAnsi="Times New Roman" w:eastAsia="仿宋_GB2312" w:cs="Times New Roman"/>
          <w:sz w:val="22"/>
          <w:highlight w:val="none"/>
          <w:lang w:eastAsia="zh-CN"/>
        </w:rPr>
        <w:t>：</w:t>
      </w:r>
      <w:r>
        <w:rPr>
          <w:rFonts w:hint="default" w:ascii="Times New Roman" w:hAnsi="Times New Roman" w:eastAsia="仿宋_GB2312" w:cs="Times New Roman"/>
          <w:sz w:val="22"/>
          <w:highlight w:val="none"/>
        </w:rPr>
        <w:t>填报日期：</w:t>
      </w:r>
      <w:r>
        <w:rPr>
          <w:rFonts w:hint="eastAsia" w:ascii="Times New Roman" w:hAnsi="Times New Roman" w:eastAsia="仿宋_GB2312" w:cs="Times New Roman"/>
          <w:sz w:val="22"/>
          <w:highlight w:val="none"/>
          <w:lang w:val="en-US" w:eastAsia="zh-CN"/>
        </w:rPr>
        <w:t>2024.6.19</w:t>
      </w:r>
      <w:r>
        <w:rPr>
          <w:rFonts w:hint="default" w:ascii="Times New Roman" w:hAnsi="Times New Roman" w:eastAsia="仿宋_GB2312" w:cs="Times New Roman"/>
          <w:sz w:val="22"/>
          <w:highlight w:val="none"/>
        </w:rPr>
        <w:t xml:space="preserve"> 联系电话：单位负责人签字：</w:t>
      </w: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widowControl/>
        <w:spacing w:line="600" w:lineRule="exact"/>
        <w:jc w:val="left"/>
        <w:rPr>
          <w:rFonts w:hint="eastAsia" w:ascii="黑体" w:hAnsi="黑体" w:eastAsia="黑体" w:cs="黑体"/>
          <w:sz w:val="32"/>
          <w:szCs w:val="32"/>
          <w:highlight w:val="none"/>
        </w:rPr>
      </w:pPr>
    </w:p>
    <w:p>
      <w:pPr>
        <w:keepNext w:val="0"/>
        <w:keepLines w:val="0"/>
        <w:pageBreakBefore w:val="0"/>
        <w:widowControl/>
        <w:kinsoku/>
        <w:wordWrap/>
        <w:overflowPunct/>
        <w:topLinePunct w:val="0"/>
        <w:autoSpaceDE/>
        <w:autoSpaceDN/>
        <w:bidi w:val="0"/>
        <w:adjustRightInd/>
        <w:snapToGrid/>
        <w:spacing w:line="640" w:lineRule="exact"/>
        <w:jc w:val="both"/>
        <w:textAlignment w:val="auto"/>
        <w:rPr>
          <w:rFonts w:hint="default" w:ascii="黑体" w:hAnsi="黑体" w:eastAsia="黑体" w:cs="黑体"/>
          <w:sz w:val="32"/>
          <w:szCs w:val="32"/>
          <w:highlight w:val="none"/>
          <w:lang w:val="en-US" w:eastAsia="zh-CN"/>
        </w:rPr>
      </w:pPr>
      <w:r>
        <w:rPr>
          <w:rFonts w:hint="eastAsia" w:ascii="黑体" w:hAnsi="黑体" w:eastAsia="黑体" w:cs="黑体"/>
          <w:sz w:val="32"/>
          <w:szCs w:val="32"/>
          <w:highlight w:val="none"/>
        </w:rPr>
        <w:t>附件</w:t>
      </w:r>
      <w:r>
        <w:rPr>
          <w:rFonts w:hint="eastAsia" w:ascii="黑体" w:hAnsi="黑体" w:eastAsia="黑体" w:cs="黑体"/>
          <w:sz w:val="32"/>
          <w:szCs w:val="32"/>
          <w:highlight w:val="none"/>
          <w:lang w:val="en-US" w:eastAsia="zh-CN"/>
        </w:rPr>
        <w:t>3</w:t>
      </w:r>
    </w:p>
    <w:p>
      <w:pPr>
        <w:spacing w:before="120" w:beforeLines="50" w:after="120" w:afterLines="50"/>
        <w:jc w:val="center"/>
        <w:rPr>
          <w:rFonts w:hint="eastAsia" w:ascii="方正小标宋简体" w:hAnsi="方正小标宋简体" w:eastAsia="方正小标宋简体" w:cs="方正小标宋简体"/>
          <w:spacing w:val="-6"/>
          <w:sz w:val="36"/>
          <w:szCs w:val="36"/>
          <w:highlight w:val="none"/>
        </w:rPr>
      </w:pPr>
      <w:r>
        <w:rPr>
          <w:rFonts w:hint="eastAsia" w:ascii="方正小标宋简体" w:hAnsi="方正小标宋简体" w:eastAsia="方正小标宋简体" w:cs="方正小标宋简体"/>
          <w:sz w:val="36"/>
          <w:szCs w:val="36"/>
          <w:highlight w:val="none"/>
        </w:rPr>
        <w:t>部门整体支出</w:t>
      </w:r>
      <w:r>
        <w:rPr>
          <w:rFonts w:hint="eastAsia" w:ascii="方正小标宋简体" w:hAnsi="方正小标宋简体" w:eastAsia="方正小标宋简体" w:cs="方正小标宋简体"/>
          <w:spacing w:val="-6"/>
          <w:sz w:val="36"/>
          <w:szCs w:val="36"/>
          <w:highlight w:val="none"/>
        </w:rPr>
        <w:t>绩效自评工作考核评分表</w:t>
      </w:r>
    </w:p>
    <w:tbl>
      <w:tblPr>
        <w:tblStyle w:val="4"/>
        <w:tblW w:w="9941" w:type="dxa"/>
        <w:jc w:val="center"/>
        <w:tblLayout w:type="fixed"/>
        <w:tblCellMar>
          <w:top w:w="0" w:type="dxa"/>
          <w:left w:w="108" w:type="dxa"/>
          <w:bottom w:w="0" w:type="dxa"/>
          <w:right w:w="108" w:type="dxa"/>
        </w:tblCellMar>
      </w:tblPr>
      <w:tblGrid>
        <w:gridCol w:w="745"/>
        <w:gridCol w:w="1174"/>
        <w:gridCol w:w="5000"/>
        <w:gridCol w:w="3022"/>
      </w:tblGrid>
      <w:tr>
        <w:tblPrEx>
          <w:tblCellMar>
            <w:top w:w="0" w:type="dxa"/>
            <w:left w:w="108" w:type="dxa"/>
            <w:bottom w:w="0" w:type="dxa"/>
            <w:right w:w="108" w:type="dxa"/>
          </w:tblCellMar>
        </w:tblPrEx>
        <w:trPr>
          <w:tblHeader/>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一级指标</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二级指标</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评分标准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黑体" w:cs="Times New Roman"/>
                <w:bCs/>
                <w:sz w:val="21"/>
                <w:szCs w:val="21"/>
                <w:highlight w:val="none"/>
              </w:rPr>
            </w:pPr>
            <w:r>
              <w:rPr>
                <w:rFonts w:hint="default" w:ascii="Times New Roman" w:hAnsi="Times New Roman" w:eastAsia="黑体" w:cs="Times New Roman"/>
                <w:bCs/>
                <w:sz w:val="21"/>
                <w:szCs w:val="21"/>
                <w:highlight w:val="none"/>
              </w:rPr>
              <w:t>所需佐证材料</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布置工作</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自评通知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（8分）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印发绩效自评通知的得2分，否则不得分。</w:t>
            </w:r>
          </w:p>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按照本规程规定，绩效自评通知包括自评范围、自评主要依据、自评主要内容、自评程序和步骤、有关要求等内容，并附有本通知要求的附件的，得6分；否则缺1项扣1分，最多扣6分。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绩效自评通知盖章的电子版</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工作小组</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成立绩效自评工作小组的得2分，否则不得分。</w:t>
            </w:r>
          </w:p>
        </w:tc>
        <w:tc>
          <w:tcPr>
            <w:tcW w:w="3022"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本部门、本单位预算绩效管理领导小组</w:t>
            </w:r>
            <w:r>
              <w:rPr>
                <w:rFonts w:hint="default" w:ascii="Times New Roman" w:hAnsi="Times New Roman" w:eastAsia="仿宋_GB2312" w:cs="Times New Roman"/>
                <w:spacing w:val="0"/>
                <w:sz w:val="20"/>
                <w:szCs w:val="20"/>
                <w:highlight w:val="none"/>
                <w:lang w:val="en-US" w:eastAsia="zh-CN"/>
              </w:rPr>
              <w:t>/</w:t>
            </w:r>
            <w:r>
              <w:rPr>
                <w:rFonts w:hint="default" w:ascii="Times New Roman" w:hAnsi="Times New Roman" w:eastAsia="仿宋_GB2312" w:cs="Times New Roman"/>
                <w:sz w:val="20"/>
                <w:szCs w:val="20"/>
                <w:highlight w:val="none"/>
              </w:rPr>
              <w:t>绩效评价工作小组</w:t>
            </w:r>
            <w:r>
              <w:rPr>
                <w:rFonts w:hint="default" w:ascii="Times New Roman" w:hAnsi="Times New Roman" w:eastAsia="仿宋_GB2312" w:cs="Times New Roman"/>
                <w:sz w:val="20"/>
                <w:szCs w:val="20"/>
                <w:highlight w:val="none"/>
                <w:lang w:eastAsia="zh-CN"/>
              </w:rPr>
              <w:t>有关</w:t>
            </w:r>
            <w:r>
              <w:rPr>
                <w:rFonts w:hint="default" w:ascii="Times New Roman" w:hAnsi="Times New Roman" w:eastAsia="仿宋_GB2312" w:cs="Times New Roman"/>
                <w:spacing w:val="0"/>
                <w:sz w:val="20"/>
                <w:szCs w:val="20"/>
                <w:highlight w:val="none"/>
              </w:rPr>
              <w:t>文件</w:t>
            </w:r>
            <w:r>
              <w:rPr>
                <w:rFonts w:hint="default" w:ascii="Times New Roman" w:hAnsi="Times New Roman" w:eastAsia="仿宋_GB2312" w:cs="Times New Roman"/>
                <w:sz w:val="20"/>
                <w:szCs w:val="20"/>
                <w:highlight w:val="none"/>
              </w:rPr>
              <w:t>盖章的电子版</w:t>
            </w:r>
          </w:p>
        </w:tc>
      </w:tr>
      <w:tr>
        <w:tblPrEx>
          <w:tblCellMar>
            <w:top w:w="0" w:type="dxa"/>
            <w:left w:w="108" w:type="dxa"/>
            <w:bottom w:w="0" w:type="dxa"/>
            <w:right w:w="108" w:type="dxa"/>
          </w:tblCellMar>
        </w:tblPrEx>
        <w:trPr>
          <w:jc w:val="center"/>
        </w:trPr>
        <w:tc>
          <w:tcPr>
            <w:tcW w:w="745" w:type="dxa"/>
            <w:vMerge w:val="restart"/>
            <w:tcBorders>
              <w:top w:val="single" w:color="auto" w:sz="4" w:space="0"/>
              <w:left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实施评价</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单位自查</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5000" w:type="dxa"/>
            <w:tcBorders>
              <w:top w:val="single" w:color="auto" w:sz="4" w:space="0"/>
              <w:left w:val="nil"/>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r>
              <w:rPr>
                <w:rFonts w:hint="eastAsia" w:ascii="Times New Roman" w:hAnsi="Times New Roman" w:eastAsia="仿宋_GB2312" w:cs="Times New Roman"/>
                <w:sz w:val="20"/>
                <w:szCs w:val="20"/>
                <w:highlight w:val="none"/>
                <w:lang w:eastAsia="zh-CN"/>
              </w:rPr>
              <w:t>市级</w:t>
            </w:r>
            <w:r>
              <w:rPr>
                <w:rFonts w:hint="default" w:ascii="Times New Roman" w:hAnsi="Times New Roman" w:eastAsia="仿宋_GB2312" w:cs="Times New Roman"/>
                <w:sz w:val="20"/>
                <w:szCs w:val="20"/>
                <w:highlight w:val="none"/>
              </w:rPr>
              <w:t>预算部门本级和所属单位都要开展绩效自查，转移支付项目单位都要开展绩效自查，</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级主管部门都要汇总本区域转移支付情况；以上各项每发现一个单位没有做相应工作的，扣1分，最多扣10分。</w:t>
            </w:r>
          </w:p>
        </w:tc>
        <w:tc>
          <w:tcPr>
            <w:tcW w:w="3022" w:type="dxa"/>
            <w:tcBorders>
              <w:top w:val="single" w:color="auto" w:sz="4" w:space="0"/>
              <w:left w:val="nil"/>
              <w:bottom w:val="single" w:color="auto" w:sz="4" w:space="0"/>
              <w:right w:val="single" w:color="auto" w:sz="4" w:space="0"/>
            </w:tcBorders>
            <w:noWrap w:val="0"/>
            <w:vAlign w:val="center"/>
          </w:tcPr>
          <w:p>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转移支付项目单位名称和资</w:t>
            </w:r>
            <w:r>
              <w:rPr>
                <w:rFonts w:hint="eastAsia" w:ascii="Times New Roman" w:hAnsi="Times New Roman" w:eastAsia="仿宋_GB2312" w:cs="Times New Roman"/>
                <w:sz w:val="20"/>
                <w:szCs w:val="20"/>
                <w:highlight w:val="none"/>
                <w:lang w:val="en-US" w:eastAsia="zh-CN"/>
              </w:rPr>
              <w:t xml:space="preserve"> </w:t>
            </w:r>
            <w:r>
              <w:rPr>
                <w:rFonts w:hint="default" w:ascii="Times New Roman" w:hAnsi="Times New Roman" w:eastAsia="仿宋_GB2312" w:cs="Times New Roman"/>
                <w:sz w:val="20"/>
                <w:szCs w:val="20"/>
                <w:highlight w:val="none"/>
              </w:rPr>
              <w:t>金情况清单</w:t>
            </w:r>
          </w:p>
          <w:p>
            <w:pPr>
              <w:numPr>
                <w:ilvl w:val="0"/>
                <w:numId w:val="5"/>
              </w:numPr>
              <w:spacing w:line="300" w:lineRule="exac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有转移支付资金的各</w:t>
            </w:r>
            <w:r>
              <w:rPr>
                <w:rFonts w:hint="eastAsia" w:ascii="Times New Roman" w:hAnsi="Times New Roman" w:eastAsia="仿宋_GB2312" w:cs="Times New Roman"/>
                <w:sz w:val="20"/>
                <w:szCs w:val="20"/>
                <w:highlight w:val="none"/>
                <w:lang w:eastAsia="zh-CN"/>
              </w:rPr>
              <w:t>县区</w:t>
            </w:r>
            <w:r>
              <w:rPr>
                <w:rFonts w:hint="default" w:ascii="Times New Roman" w:hAnsi="Times New Roman" w:eastAsia="仿宋_GB2312" w:cs="Times New Roman"/>
                <w:sz w:val="20"/>
                <w:szCs w:val="20"/>
                <w:highlight w:val="none"/>
              </w:rPr>
              <w:t>主管部门汇总情况的盖章PDF版　</w:t>
            </w:r>
          </w:p>
        </w:tc>
      </w:tr>
      <w:tr>
        <w:tblPrEx>
          <w:tblCellMar>
            <w:top w:w="0" w:type="dxa"/>
            <w:left w:w="108" w:type="dxa"/>
            <w:bottom w:w="0" w:type="dxa"/>
            <w:right w:w="108" w:type="dxa"/>
          </w:tblCellMar>
        </w:tblPrEx>
        <w:trPr>
          <w:jc w:val="center"/>
        </w:trPr>
        <w:tc>
          <w:tcPr>
            <w:tcW w:w="745" w:type="dxa"/>
            <w:vMerge w:val="continue"/>
            <w:tcBorders>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提交报告</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（10分）</w:t>
            </w:r>
          </w:p>
        </w:tc>
        <w:tc>
          <w:tcPr>
            <w:tcW w:w="8022" w:type="dxa"/>
            <w:gridSpan w:val="2"/>
            <w:tcBorders>
              <w:top w:val="nil"/>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按时向</w:t>
            </w:r>
            <w:r>
              <w:rPr>
                <w:rFonts w:hint="eastAsia" w:ascii="Times New Roman" w:hAnsi="Times New Roman" w:eastAsia="仿宋_GB2312" w:cs="Times New Roman"/>
                <w:sz w:val="20"/>
                <w:szCs w:val="20"/>
                <w:highlight w:val="none"/>
                <w:lang w:eastAsia="zh-CN"/>
              </w:rPr>
              <w:t>市财政局</w:t>
            </w:r>
            <w:r>
              <w:rPr>
                <w:rFonts w:hint="default" w:ascii="Times New Roman" w:hAnsi="Times New Roman" w:eastAsia="仿宋_GB2312" w:cs="Times New Roman"/>
                <w:sz w:val="20"/>
                <w:szCs w:val="20"/>
                <w:highlight w:val="none"/>
              </w:rPr>
              <w:t>报送报告的得10分；每推迟一个工作日报送报告的扣1分，最多扣10分。</w:t>
            </w:r>
          </w:p>
        </w:tc>
      </w:tr>
      <w:tr>
        <w:tblPrEx>
          <w:tblCellMar>
            <w:top w:w="0" w:type="dxa"/>
            <w:left w:w="108" w:type="dxa"/>
            <w:bottom w:w="0" w:type="dxa"/>
            <w:right w:w="108" w:type="dxa"/>
          </w:tblCellMar>
        </w:tblPrEx>
        <w:trPr>
          <w:trHeight w:val="740" w:hRule="atLeast"/>
          <w:jc w:val="center"/>
        </w:trPr>
        <w:tc>
          <w:tcPr>
            <w:tcW w:w="745"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自评报告</w:t>
            </w:r>
          </w:p>
          <w:p>
            <w:pPr>
              <w:spacing w:line="300" w:lineRule="exact"/>
              <w:jc w:val="center"/>
              <w:rPr>
                <w:rFonts w:hint="default" w:ascii="Times New Roman" w:hAnsi="Times New Roman" w:eastAsia="仿宋_GB2312" w:cs="Times New Roman"/>
                <w:sz w:val="20"/>
                <w:szCs w:val="20"/>
                <w:highlight w:val="none"/>
              </w:rPr>
            </w:pP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70分</w:t>
            </w: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完整性</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绩效自评报告正文部分内容齐全的，得8分；否则每少一个部分扣2分，最多扣8分。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绩效自评报告附件部分内容齐全的，得7分；否则每少一个部分扣2分，最多扣7分。</w:t>
            </w:r>
          </w:p>
        </w:tc>
      </w:tr>
      <w:tr>
        <w:tblPrEx>
          <w:tblCellMar>
            <w:top w:w="0" w:type="dxa"/>
            <w:left w:w="108" w:type="dxa"/>
            <w:bottom w:w="0" w:type="dxa"/>
            <w:right w:w="108" w:type="dxa"/>
          </w:tblCellMar>
        </w:tblPrEx>
        <w:trPr>
          <w:trHeight w:val="2143"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绩效</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自评表</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1、部门整体支出和项目支出绩效指标反映产出、效益、服务对象满意度方面的指标和预算执行率的权重符合《</w:t>
            </w:r>
            <w:r>
              <w:rPr>
                <w:rFonts w:hint="eastAsia" w:ascii="Times New Roman" w:hAnsi="Times New Roman" w:eastAsia="仿宋_GB2312" w:cs="Times New Roman"/>
                <w:sz w:val="20"/>
                <w:szCs w:val="20"/>
                <w:highlight w:val="none"/>
                <w:lang w:eastAsia="zh-CN"/>
              </w:rPr>
              <w:t>岳阳市市级</w:t>
            </w:r>
            <w:r>
              <w:rPr>
                <w:rFonts w:hint="default" w:ascii="Times New Roman" w:hAnsi="Times New Roman" w:eastAsia="仿宋_GB2312" w:cs="Times New Roman"/>
                <w:sz w:val="20"/>
                <w:szCs w:val="20"/>
                <w:highlight w:val="none"/>
              </w:rPr>
              <w:t>预算部门绩效自评操作规程》要求的，得5分，否则按比例扣除相应的分数。</w:t>
            </w:r>
          </w:p>
          <w:p>
            <w:pPr>
              <w:spacing w:line="240" w:lineRule="auto"/>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部门整体支出和项目支出绩效指标全部细化到三级指标的，得5分；部分细化的，酌情扣分；没有细化的，不得分。</w:t>
            </w:r>
          </w:p>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3</w:t>
            </w:r>
            <w:r>
              <w:rPr>
                <w:rFonts w:hint="eastAsia" w:ascii="Times New Roman" w:hAnsi="Times New Roman" w:eastAsia="仿宋_GB2312" w:cs="Times New Roman"/>
                <w:sz w:val="20"/>
                <w:szCs w:val="20"/>
                <w:highlight w:val="none"/>
                <w:lang w:val="en-US" w:eastAsia="zh-CN"/>
              </w:rPr>
              <w:t>.</w:t>
            </w:r>
            <w:r>
              <w:rPr>
                <w:rFonts w:hint="default" w:ascii="Times New Roman" w:hAnsi="Times New Roman" w:eastAsia="仿宋_GB2312" w:cs="Times New Roman"/>
                <w:sz w:val="20"/>
                <w:szCs w:val="20"/>
                <w:highlight w:val="none"/>
              </w:rPr>
              <w:t>部门整体支出和项目支出三级绩效指标内涵明确、具体、可衡量的得5分；突出核心指标，精简实用的得3分；指标与部门整体支出和项目支出密切相关，全面反映产出和效益的得2分；否则，每项酌情扣分，最多扣10分。</w:t>
            </w:r>
          </w:p>
        </w:tc>
      </w:tr>
      <w:tr>
        <w:tblPrEx>
          <w:tblCellMar>
            <w:top w:w="0" w:type="dxa"/>
            <w:left w:w="108" w:type="dxa"/>
            <w:bottom w:w="0" w:type="dxa"/>
            <w:right w:w="108" w:type="dxa"/>
          </w:tblCellMar>
        </w:tblPrEx>
        <w:trPr>
          <w:trHeight w:val="119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cs="Times New Roman"/>
                <w:highlight w:val="none"/>
              </w:rPr>
            </w:pP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反映问</w:t>
            </w:r>
          </w:p>
          <w:p>
            <w:pPr>
              <w:spacing w:line="240" w:lineRule="auto"/>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题情况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（20分）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从预算和预算绩效管理，部门履职效能，资金分配、使用和管理，资产和财务管理，政府采购等方面归纳问题、分析原因全面的，得20分；反映问题、分析原因较全面的，得16—18分；反映问题、分析原因不全面的，得13—15分；问题未归纳且过于简单的，得10—12分；只提出资金不足问题的不得分；其他情况酌情扣分。　</w:t>
            </w:r>
          </w:p>
        </w:tc>
      </w:tr>
      <w:tr>
        <w:tblPrEx>
          <w:tblCellMar>
            <w:top w:w="0" w:type="dxa"/>
            <w:left w:w="108" w:type="dxa"/>
            <w:bottom w:w="0" w:type="dxa"/>
            <w:right w:w="108" w:type="dxa"/>
          </w:tblCellMar>
        </w:tblPrEx>
        <w:trPr>
          <w:trHeight w:val="627" w:hRule="atLeast"/>
          <w:jc w:val="center"/>
        </w:trPr>
        <w:tc>
          <w:tcPr>
            <w:tcW w:w="745" w:type="dxa"/>
            <w:vMerge w:val="continue"/>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rPr>
            </w:pPr>
          </w:p>
        </w:tc>
        <w:tc>
          <w:tcPr>
            <w:tcW w:w="1174" w:type="dxa"/>
            <w:tcBorders>
              <w:top w:val="single" w:color="auto" w:sz="4" w:space="0"/>
              <w:left w:val="nil"/>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建议情况</w:t>
            </w:r>
          </w:p>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（15分）</w:t>
            </w:r>
          </w:p>
        </w:tc>
        <w:tc>
          <w:tcPr>
            <w:tcW w:w="8022" w:type="dxa"/>
            <w:gridSpan w:val="2"/>
            <w:tcBorders>
              <w:top w:val="single" w:color="auto" w:sz="4" w:space="0"/>
              <w:left w:val="nil"/>
              <w:bottom w:val="single" w:color="auto" w:sz="4" w:space="0"/>
              <w:right w:val="single" w:color="auto" w:sz="4" w:space="0"/>
            </w:tcBorders>
            <w:noWrap w:val="0"/>
            <w:vAlign w:val="center"/>
          </w:tcPr>
          <w:p>
            <w:pPr>
              <w:spacing w:line="240" w:lineRule="auto"/>
              <w:jc w:val="left"/>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建议与问题对应且全面的得15分，建议比较全面的得12—14分，建议不全面的得9—11分，建议过于简单的得6—8分，只提出加大资金投入建议的不得分；其他情况酌情扣分。</w:t>
            </w:r>
          </w:p>
        </w:tc>
      </w:tr>
      <w:tr>
        <w:tblPrEx>
          <w:tblCellMar>
            <w:top w:w="0" w:type="dxa"/>
            <w:left w:w="108" w:type="dxa"/>
            <w:bottom w:w="0" w:type="dxa"/>
            <w:right w:w="108" w:type="dxa"/>
          </w:tblCellMar>
        </w:tblPrEx>
        <w:trPr>
          <w:trHeight w:val="495" w:hRule="atLeast"/>
          <w:jc w:val="center"/>
        </w:trPr>
        <w:tc>
          <w:tcPr>
            <w:tcW w:w="745"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合计</w:t>
            </w:r>
          </w:p>
        </w:tc>
        <w:tc>
          <w:tcPr>
            <w:tcW w:w="1174" w:type="dxa"/>
            <w:tcBorders>
              <w:top w:val="single" w:color="auto" w:sz="4" w:space="0"/>
              <w:left w:val="single" w:color="auto" w:sz="4" w:space="0"/>
              <w:bottom w:val="single" w:color="auto" w:sz="4" w:space="0"/>
              <w:right w:val="single" w:color="auto" w:sz="4" w:space="0"/>
            </w:tcBorders>
            <w:noWrap w:val="0"/>
            <w:vAlign w:val="center"/>
          </w:tcPr>
          <w:p>
            <w:pPr>
              <w:spacing w:line="300" w:lineRule="exact"/>
              <w:jc w:val="center"/>
              <w:rPr>
                <w:rFonts w:hint="default" w:ascii="Times New Roman" w:hAnsi="Times New Roman" w:eastAsia="仿宋_GB2312" w:cs="Times New Roman"/>
                <w:sz w:val="20"/>
                <w:szCs w:val="20"/>
                <w:highlight w:val="none"/>
              </w:rPr>
            </w:pPr>
            <w:r>
              <w:rPr>
                <w:rFonts w:hint="default" w:ascii="Times New Roman" w:hAnsi="Times New Roman" w:eastAsia="仿宋_GB2312" w:cs="Times New Roman"/>
                <w:sz w:val="20"/>
                <w:szCs w:val="20"/>
                <w:highlight w:val="none"/>
              </w:rPr>
              <w:t>100分</w:t>
            </w:r>
          </w:p>
        </w:tc>
        <w:tc>
          <w:tcPr>
            <w:tcW w:w="8022" w:type="dxa"/>
            <w:gridSpan w:val="2"/>
            <w:tcBorders>
              <w:top w:val="single" w:color="auto" w:sz="4" w:space="0"/>
              <w:left w:val="single" w:color="auto" w:sz="4" w:space="0"/>
              <w:bottom w:val="single" w:color="auto" w:sz="4" w:space="0"/>
              <w:right w:val="single" w:color="auto" w:sz="4" w:space="0"/>
            </w:tcBorders>
            <w:noWrap w:val="0"/>
            <w:vAlign w:val="center"/>
          </w:tcPr>
          <w:p>
            <w:pPr>
              <w:spacing w:line="300" w:lineRule="exact"/>
              <w:rPr>
                <w:rFonts w:hint="default" w:ascii="Times New Roman" w:hAnsi="Times New Roman" w:eastAsia="仿宋_GB2312" w:cs="Times New Roman"/>
                <w:sz w:val="20"/>
                <w:szCs w:val="20"/>
                <w:highlight w:val="none"/>
                <w:lang w:val="en-US" w:eastAsia="zh-CN"/>
              </w:rPr>
            </w:pPr>
            <w:r>
              <w:rPr>
                <w:rFonts w:hint="default" w:ascii="Times New Roman" w:hAnsi="Times New Roman" w:eastAsia="仿宋_GB2312" w:cs="Times New Roman"/>
                <w:sz w:val="20"/>
                <w:szCs w:val="20"/>
                <w:highlight w:val="none"/>
              </w:rPr>
              <w:t>　</w:t>
            </w:r>
            <w:r>
              <w:rPr>
                <w:rFonts w:hint="eastAsia" w:ascii="Times New Roman" w:hAnsi="Times New Roman" w:eastAsia="仿宋_GB2312" w:cs="Times New Roman"/>
                <w:sz w:val="20"/>
                <w:szCs w:val="20"/>
                <w:highlight w:val="none"/>
                <w:lang w:val="en-US" w:eastAsia="zh-CN"/>
              </w:rPr>
              <w:t>98</w:t>
            </w:r>
          </w:p>
        </w:tc>
      </w:tr>
    </w:tbl>
    <w:p>
      <w:pPr>
        <w:keepNext w:val="0"/>
        <w:keepLines w:val="0"/>
        <w:pageBreakBefore w:val="0"/>
        <w:widowControl w:val="0"/>
        <w:kinsoku/>
        <w:wordWrap/>
        <w:overflowPunct/>
        <w:topLinePunct w:val="0"/>
        <w:autoSpaceDE/>
        <w:autoSpaceDN/>
        <w:bidi w:val="0"/>
        <w:adjustRightInd/>
        <w:snapToGrid/>
        <w:spacing w:afterLines="0" w:line="360" w:lineRule="auto"/>
        <w:ind w:right="0" w:rightChars="0"/>
        <w:jc w:val="both"/>
        <w:textAlignment w:val="auto"/>
        <w:rPr>
          <w:rFonts w:hint="eastAsia" w:ascii="仿宋_GB2312" w:hAnsi="仿宋_GB2312" w:eastAsia="仿宋_GB2312" w:cs="仿宋_GB2312"/>
          <w:sz w:val="32"/>
          <w:szCs w:val="32"/>
          <w:highlight w:val="none"/>
          <w:lang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小标宋简体">
    <w:panose1 w:val="02010601030101010101"/>
    <w:charset w:val="86"/>
    <w:family w:val="auto"/>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BCD131B"/>
    <w:multiLevelType w:val="singleLevel"/>
    <w:tmpl w:val="1BCD131B"/>
    <w:lvl w:ilvl="0" w:tentative="0">
      <w:start w:val="8"/>
      <w:numFmt w:val="chineseCounting"/>
      <w:suff w:val="nothing"/>
      <w:lvlText w:val="%1、"/>
      <w:lvlJc w:val="left"/>
      <w:rPr>
        <w:rFonts w:hint="eastAsia"/>
      </w:rPr>
    </w:lvl>
  </w:abstractNum>
  <w:abstractNum w:abstractNumId="1">
    <w:nsid w:val="1DD36296"/>
    <w:multiLevelType w:val="singleLevel"/>
    <w:tmpl w:val="1DD36296"/>
    <w:lvl w:ilvl="0" w:tentative="0">
      <w:start w:val="1"/>
      <w:numFmt w:val="chineseCounting"/>
      <w:suff w:val="nothing"/>
      <w:lvlText w:val="%1、"/>
      <w:lvlJc w:val="left"/>
      <w:rPr>
        <w:rFonts w:hint="eastAsia"/>
      </w:rPr>
    </w:lvl>
  </w:abstractNum>
  <w:abstractNum w:abstractNumId="2">
    <w:nsid w:val="59CC8B3D"/>
    <w:multiLevelType w:val="singleLevel"/>
    <w:tmpl w:val="59CC8B3D"/>
    <w:lvl w:ilvl="0" w:tentative="0">
      <w:start w:val="1"/>
      <w:numFmt w:val="chineseCounting"/>
      <w:suff w:val="nothing"/>
      <w:lvlText w:val="（%1）"/>
      <w:lvlJc w:val="left"/>
      <w:rPr>
        <w:rFonts w:hint="eastAsia"/>
      </w:rPr>
    </w:lvl>
  </w:abstractNum>
  <w:abstractNum w:abstractNumId="3">
    <w:nsid w:val="5DDF8822"/>
    <w:multiLevelType w:val="singleLevel"/>
    <w:tmpl w:val="5DDF8822"/>
    <w:lvl w:ilvl="0" w:tentative="0">
      <w:start w:val="1"/>
      <w:numFmt w:val="decimal"/>
      <w:suff w:val="nothing"/>
      <w:lvlText w:val="%1、"/>
      <w:lvlJc w:val="left"/>
    </w:lvl>
  </w:abstractNum>
  <w:abstractNum w:abstractNumId="4">
    <w:nsid w:val="72666873"/>
    <w:multiLevelType w:val="singleLevel"/>
    <w:tmpl w:val="72666873"/>
    <w:lvl w:ilvl="0" w:tentative="0">
      <w:start w:val="4"/>
      <w:numFmt w:val="chineseCounting"/>
      <w:suff w:val="nothing"/>
      <w:lvlText w:val="%1、"/>
      <w:lvlJc w:val="left"/>
      <w:rPr>
        <w:rFonts w:hint="eastAsia"/>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MwMmNkMDcwZjcwYzc0YmYxNGM2ODk0OTU4ZWM3ZDYifQ=="/>
  </w:docVars>
  <w:rsids>
    <w:rsidRoot w:val="59886344"/>
    <w:rsid w:val="0A467A21"/>
    <w:rsid w:val="0E710FB3"/>
    <w:rsid w:val="1356560D"/>
    <w:rsid w:val="1AD81A1B"/>
    <w:rsid w:val="1CB462C1"/>
    <w:rsid w:val="1D2A3E2C"/>
    <w:rsid w:val="1F38206B"/>
    <w:rsid w:val="22220C72"/>
    <w:rsid w:val="25150C86"/>
    <w:rsid w:val="271B07FB"/>
    <w:rsid w:val="274176DD"/>
    <w:rsid w:val="28C606E7"/>
    <w:rsid w:val="29D84BC1"/>
    <w:rsid w:val="2CB52ADF"/>
    <w:rsid w:val="2D7A1A9E"/>
    <w:rsid w:val="2E114AFB"/>
    <w:rsid w:val="33DB7B54"/>
    <w:rsid w:val="36C93C0A"/>
    <w:rsid w:val="38031D03"/>
    <w:rsid w:val="3A0164D6"/>
    <w:rsid w:val="3CAC7C7D"/>
    <w:rsid w:val="3CE26112"/>
    <w:rsid w:val="3DD57CCC"/>
    <w:rsid w:val="49C65963"/>
    <w:rsid w:val="4AD53127"/>
    <w:rsid w:val="4B5B6BCB"/>
    <w:rsid w:val="4C570325"/>
    <w:rsid w:val="502E0FDC"/>
    <w:rsid w:val="52CE75CF"/>
    <w:rsid w:val="55004DFD"/>
    <w:rsid w:val="58670CF0"/>
    <w:rsid w:val="597B2CA5"/>
    <w:rsid w:val="59886344"/>
    <w:rsid w:val="5A5A0E47"/>
    <w:rsid w:val="5C5A0BD2"/>
    <w:rsid w:val="5CC2508E"/>
    <w:rsid w:val="5CCD6BA5"/>
    <w:rsid w:val="5CF9234B"/>
    <w:rsid w:val="61B03707"/>
    <w:rsid w:val="6516562F"/>
    <w:rsid w:val="6684666A"/>
    <w:rsid w:val="66954A48"/>
    <w:rsid w:val="66D77B48"/>
    <w:rsid w:val="68193552"/>
    <w:rsid w:val="6AD037C8"/>
    <w:rsid w:val="702D7069"/>
    <w:rsid w:val="70C62A07"/>
    <w:rsid w:val="7A050594"/>
    <w:rsid w:val="DFEF88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 w:hAnsi="仿宋" w:eastAsia="宋体" w:cs="Times New Roman"/>
      <w:kern w:val="0"/>
      <w:sz w:val="28"/>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6">
    <w:name w:val="列出段落1"/>
    <w:basedOn w:val="1"/>
    <w:qFormat/>
    <w:uiPriority w:val="34"/>
    <w:pPr>
      <w:ind w:firstLine="420" w:firstLineChars="200"/>
    </w:pPr>
  </w:style>
  <w:style w:type="paragraph" w:styleId="7">
    <w:name w:val="List Paragraph"/>
    <w:basedOn w:val="1"/>
    <w:qFormat/>
    <w:uiPriority w:val="99"/>
    <w:pPr>
      <w:ind w:firstLine="420" w:firstLineChars="200"/>
    </w:pPr>
    <w:rPr>
      <w:rFonts w:ascii="Calibri" w:hAnsi="Calibri"/>
      <w:szCs w:val="22"/>
    </w:rPr>
  </w:style>
  <w:style w:type="paragraph" w:customStyle="1" w:styleId="8">
    <w:name w:val="Normal_0"/>
    <w:unhideWhenUsed/>
    <w:qFormat/>
    <w:uiPriority w:val="0"/>
    <w:pPr>
      <w:spacing w:before="120" w:beforeLines="0" w:after="240" w:afterLines="0"/>
      <w:jc w:val="both"/>
    </w:pPr>
    <w:rPr>
      <w:rFonts w:hint="default" w:ascii="Calibri" w:hAnsi="Calibri" w:eastAsia="宋体" w:cs="Times New Roman"/>
      <w:sz w:val="22"/>
      <w:szCs w:val="24"/>
      <w:lang w:val="en-US" w:eastAsia="en-US" w:bidi="ar-SA"/>
    </w:rPr>
  </w:style>
  <w:style w:type="paragraph" w:customStyle="1" w:styleId="9">
    <w:name w:val="Normal_1"/>
    <w:qFormat/>
    <w:uiPriority w:val="0"/>
    <w:pPr>
      <w:spacing w:before="120" w:after="240"/>
      <w:jc w:val="both"/>
    </w:pPr>
    <w:rPr>
      <w:rFonts w:ascii="Calibri" w:hAnsi="Calibri" w:eastAsia="宋体" w:cs="Times New Roman"/>
      <w:sz w:val="22"/>
      <w:szCs w:val="22"/>
      <w:lang w:val="en-US" w:eastAsia="en-US" w:bidi="ar-SA"/>
    </w:rPr>
  </w:style>
  <w:style w:type="character" w:customStyle="1" w:styleId="10">
    <w:name w:val="NormalCharacter"/>
    <w:autoRedefine/>
    <w:qFormat/>
    <w:uiPriority w:val="0"/>
    <w:rPr>
      <w:rFonts w:ascii="Calibri" w:hAnsi="Calibri" w:eastAsia="宋体" w:cs="Calibri"/>
      <w:kern w:val="2"/>
      <w:sz w:val="21"/>
      <w:szCs w:val="21"/>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5781</Words>
  <Characters>6221</Characters>
  <Lines>0</Lines>
  <Paragraphs>0</Paragraphs>
  <TotalTime>2</TotalTime>
  <ScaleCrop>false</ScaleCrop>
  <LinksUpToDate>false</LinksUpToDate>
  <CharactersWithSpaces>6378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2024-03-18T08:36:00Z</dcterms:created>
  <dc:creator>Administrator</dc:creator>
  <cp:lastModifiedBy>甜甜妈</cp:lastModifiedBy>
  <dcterms:modified xsi:type="dcterms:W3CDTF">2024-06-27T08:05:49Z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0BDAFD84E93F41E789BE8F60CD2B380B_13</vt:lpwstr>
  </property>
</Properties>
</file>