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岳阳市君山区水利局</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spacing w:line="600" w:lineRule="exact"/>
        <w:ind w:firstLine="1920" w:firstLineChars="600"/>
        <w:jc w:val="both"/>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年  月  日</w:t>
      </w:r>
    </w:p>
    <w:p>
      <w:pPr>
        <w:jc w:val="center"/>
        <w:rPr>
          <w:rFonts w:hint="eastAsia" w:ascii="方正小标宋简体" w:hAnsi="方正小标宋简体" w:eastAsia="方正小标宋简体" w:cs="方正小标宋简体"/>
          <w:sz w:val="44"/>
          <w:szCs w:val="44"/>
          <w:highlight w:val="none"/>
          <w:lang w:val="en-US" w:eastAsia="zh-CN"/>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岳阳市君山区水利局</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eastAsia" w:ascii="方正小标宋简体" w:hAnsi="方正小标宋简体" w:eastAsia="方正小标宋简体" w:cs="方正小标宋简体"/>
          <w:sz w:val="44"/>
          <w:szCs w:val="44"/>
          <w:highlight w:val="none"/>
        </w:rPr>
      </w:pP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numPr>
          <w:ilvl w:val="0"/>
          <w:numId w:val="2"/>
        </w:numPr>
        <w:spacing w:line="560" w:lineRule="exact"/>
        <w:ind w:firstLine="643" w:firstLineChars="200"/>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rPr>
        <w:t>、</w:t>
      </w:r>
      <w:r>
        <w:rPr>
          <w:rFonts w:hint="eastAsia" w:ascii="仿宋_GB2312" w:hAnsi="仿宋_GB2312" w:eastAsia="仿宋_GB2312" w:cs="仿宋_GB2312"/>
          <w:b/>
          <w:bCs w:val="0"/>
          <w:sz w:val="32"/>
          <w:szCs w:val="32"/>
          <w:lang w:eastAsia="zh-CN"/>
        </w:rPr>
        <w:t>单位职能</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1、负责保障全区水资源合理开发和利用。</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2、负责生活、生产经营和生态环境用水的统筹兼顾和保障。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3、按规定制定水利工程建设和运行管理有关制度并组织实施，负责提出水利固定资产投资规模、方向、具体安排建议并组织指导实施，按区人民政府规定权限审批、核准规划内和年度计划规模内固定资产投资项目，提出水利资金安排建议并负责项目实施的监督管理。</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4、指导水资源的保护工作。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5、负责节约用水工作。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6、按规定组织开展水资源调查评价和水资源承载能力监测预警工作。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7、组织指导水利工程设施、水域、滩涂及其岸线的管理、保护与综合利用；组织指导江河、湖泊、水库及河口的安全监管；负责长江岸线和河势控制工程运行管理；负责河道、堤防、湖州滩涂管理工作；指导河湖水生态保护与修复、河湖生态流量水量管理及河湖水系连通工作；承担河（湖）长制组织实施具体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8、组织指导水利工程建设与运行管理。</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9、负责水土保持工作。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10、指导全区农村水利工作。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11、负责全区水利固定资产监管工作，对水利资金的使用进行监督；负责水利经济和生态水利建设与管理工作。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12、负责落实综合防灾减灾规划相关要求，指导编制洪水干旱灾害防治回话和防护标准并指导实施；组织编制洪水干旱灾害防治规划和防护标准并指导实施；组织编制重要江河湖泊和重要水工程的防御洪水抗御旱灾调度及应急水量调度方案，按程序报批并组织实施；承担防御洪水应急抢险的技术支撑工作；承担台风防御期间重要水工程调度工作。</w:t>
      </w:r>
    </w:p>
    <w:p>
      <w:pPr>
        <w:spacing w:line="600" w:lineRule="exact"/>
        <w:ind w:firstLine="660"/>
        <w:rPr>
          <w:rFonts w:ascii="仿宋_GB2312" w:eastAsia="仿宋_GB2312"/>
          <w:sz w:val="32"/>
          <w:szCs w:val="32"/>
        </w:rPr>
      </w:pPr>
      <w:r>
        <w:rPr>
          <w:rFonts w:hint="eastAsia" w:ascii="仿宋_GB2312" w:eastAsia="仿宋_GB2312"/>
          <w:sz w:val="32"/>
          <w:szCs w:val="32"/>
        </w:rPr>
        <w:t>13、负责全区水利系统的科技教育和对外合作工作及水利统计信息工作；负责机关和所属单位的党群、人事劳资、机构编制、计划生育等工作；负责全区水利行业队伍建设。</w:t>
      </w:r>
    </w:p>
    <w:p>
      <w:pPr>
        <w:spacing w:line="600" w:lineRule="exact"/>
        <w:ind w:firstLine="660"/>
        <w:rPr>
          <w:rFonts w:ascii="仿宋_GB2312" w:eastAsia="仿宋_GB2312"/>
          <w:sz w:val="32"/>
          <w:szCs w:val="32"/>
        </w:rPr>
      </w:pPr>
      <w:r>
        <w:rPr>
          <w:rFonts w:hint="eastAsia" w:ascii="仿宋_GB2312" w:eastAsia="仿宋_GB2312"/>
          <w:sz w:val="32"/>
          <w:szCs w:val="32"/>
        </w:rPr>
        <w:t>14、负责水库移民管理工作。</w:t>
      </w:r>
    </w:p>
    <w:p>
      <w:pPr>
        <w:spacing w:line="600" w:lineRule="exact"/>
        <w:ind w:firstLine="660"/>
        <w:rPr>
          <w:rFonts w:ascii="仿宋_GB2312" w:eastAsia="仿宋_GB2312"/>
          <w:sz w:val="32"/>
          <w:szCs w:val="32"/>
        </w:rPr>
      </w:pPr>
      <w:r>
        <w:rPr>
          <w:rFonts w:hint="eastAsia" w:ascii="仿宋_GB2312" w:eastAsia="仿宋_GB2312"/>
          <w:sz w:val="32"/>
          <w:szCs w:val="32"/>
        </w:rPr>
        <w:t>15、完成区委、区政府交办的其他任务。</w:t>
      </w:r>
    </w:p>
    <w:p>
      <w:pPr>
        <w:spacing w:line="600" w:lineRule="exact"/>
        <w:ind w:firstLine="660"/>
        <w:rPr>
          <w:color w:val="000000"/>
          <w:sz w:val="32"/>
        </w:rPr>
      </w:pPr>
      <w:r>
        <w:rPr>
          <w:rFonts w:hint="eastAsia" w:ascii="仿宋_GB2312" w:eastAsia="仿宋_GB2312"/>
          <w:sz w:val="32"/>
          <w:szCs w:val="32"/>
        </w:rPr>
        <w:t>16、职能转变。</w:t>
      </w:r>
    </w:p>
    <w:p>
      <w:pPr>
        <w:widowControl/>
        <w:spacing w:line="600" w:lineRule="exact"/>
        <w:ind w:firstLine="627" w:firstLineChars="196"/>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drawing>
          <wp:anchor distT="0" distB="0" distL="114300" distR="114300" simplePos="0" relativeHeight="251659264" behindDoc="1" locked="0" layoutInCell="1" allowOverlap="1">
            <wp:simplePos x="0" y="0"/>
            <wp:positionH relativeFrom="page">
              <wp:posOffset>-7937500</wp:posOffset>
            </wp:positionH>
            <wp:positionV relativeFrom="page">
              <wp:posOffset>482600</wp:posOffset>
            </wp:positionV>
            <wp:extent cx="7581900" cy="10706100"/>
            <wp:effectExtent l="0" t="0" r="0" b="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4"/>
                    <a:stretch>
                      <a:fillRect/>
                    </a:stretch>
                  </pic:blipFill>
                  <pic:spPr>
                    <a:xfrm>
                      <a:off x="0" y="0"/>
                      <a:ext cx="7581900" cy="10706100"/>
                    </a:xfrm>
                    <a:prstGeom prst="rect">
                      <a:avLst/>
                    </a:prstGeom>
                    <a:noFill/>
                    <a:ln>
                      <a:noFill/>
                    </a:ln>
                  </pic:spPr>
                </pic:pic>
              </a:graphicData>
            </a:graphic>
          </wp:anchor>
        </w:drawing>
      </w:r>
    </w:p>
    <w:p>
      <w:pPr>
        <w:spacing w:line="560" w:lineRule="exact"/>
        <w:ind w:firstLine="643" w:firstLineChars="200"/>
        <w:rPr>
          <w:rFonts w:hint="eastAsia" w:ascii="仿宋_GB2312" w:hAnsi="仿宋_GB2312" w:eastAsia="仿宋_GB2312" w:cs="仿宋_GB2312"/>
          <w:bCs/>
          <w:sz w:val="32"/>
          <w:szCs w:val="32"/>
        </w:rPr>
      </w:pPr>
      <w:r>
        <w:rPr>
          <w:rFonts w:hint="default" w:ascii="Times New Roman" w:hAnsi="Times New Roman" w:eastAsia="楷体_GB2312" w:cs="Times New Roman"/>
          <w:b/>
          <w:sz w:val="32"/>
          <w:szCs w:val="32"/>
          <w:highlight w:val="none"/>
        </w:rPr>
        <w:t>（</w:t>
      </w:r>
      <w:r>
        <w:rPr>
          <w:rFonts w:hint="eastAsia" w:ascii="Times New Roman" w:hAnsi="Times New Roman" w:eastAsia="楷体_GB2312" w:cs="Times New Roman"/>
          <w:b/>
          <w:sz w:val="32"/>
          <w:szCs w:val="32"/>
          <w:highlight w:val="none"/>
          <w:lang w:eastAsia="zh-CN"/>
        </w:rPr>
        <w:t>二</w:t>
      </w:r>
      <w:r>
        <w:rPr>
          <w:rFonts w:hint="default" w:ascii="Times New Roman" w:hAnsi="Times New Roman" w:eastAsia="楷体_GB2312" w:cs="Times New Roman"/>
          <w:b/>
          <w:sz w:val="32"/>
          <w:szCs w:val="32"/>
          <w:highlight w:val="none"/>
        </w:rPr>
        <w:t>）</w:t>
      </w:r>
      <w:r>
        <w:rPr>
          <w:rFonts w:hint="eastAsia" w:ascii="仿宋_GB2312" w:hAnsi="仿宋_GB2312" w:eastAsia="仿宋_GB2312" w:cs="仿宋_GB2312"/>
          <w:b/>
          <w:bCs w:val="0"/>
          <w:sz w:val="32"/>
          <w:szCs w:val="32"/>
        </w:rPr>
        <w:t>、机构设置</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1、办公室（政策法规股）</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2、规划计划与设计股</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3、机电排灌股</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4、水库移民股</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5、河湖堤防管理和工程股（加挂区河长制工作办公室牌子）</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6、财务股</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7、党建办（政工人事股）</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8、水资源管理和水土保持股（行政审批股）</w:t>
      </w:r>
    </w:p>
    <w:p>
      <w:pPr>
        <w:widowControl/>
        <w:spacing w:line="570" w:lineRule="atLeast"/>
        <w:ind w:firstLine="640" w:firstLineChars="200"/>
        <w:rPr>
          <w:rFonts w:hint="eastAsia" w:eastAsia="仿宋_GB2312"/>
          <w:sz w:val="32"/>
          <w:szCs w:val="32"/>
        </w:rPr>
      </w:pPr>
    </w:p>
    <w:p>
      <w:pPr>
        <w:pStyle w:val="14"/>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14"/>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14"/>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Times New Roman" w:hAnsi="Times New Roman" w:eastAsia="楷体_GB2312" w:cs="Times New Roman"/>
          <w:b w:val="0"/>
          <w:bCs/>
          <w:sz w:val="32"/>
          <w:szCs w:val="32"/>
          <w:lang w:eastAsia="zh-CN"/>
        </w:rPr>
      </w:pPr>
      <w:r>
        <w:rPr>
          <w:rFonts w:hint="eastAsia" w:ascii="仿宋_GB2312" w:hAnsi="仿宋_GB2312" w:eastAsia="仿宋_GB2312" w:cs="仿宋_GB2312"/>
          <w:kern w:val="2"/>
          <w:sz w:val="32"/>
          <w:szCs w:val="32"/>
          <w:lang w:val="en-US" w:eastAsia="zh-CN" w:bidi="ar-SA"/>
        </w:rPr>
        <w:t>2023年本单位部门预算资金16574.69万元（基本支出1298.21万元，项目支出15276.48万元），全年实际支出16574.69万元，其中基本支出1298.21万元，项目支出15276.48万元，预算执行率100%。　　　　　　</w:t>
      </w:r>
    </w:p>
    <w:p>
      <w:pPr>
        <w:pStyle w:val="14"/>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单位2023年度全年预算16574.69万元（工资福利支出452.86万元、商品和服务支出15701.58万元、对个人和家庭的补助214.75万元、资本性支出205.51万元、），其中一般公共预算财政拨款14621.28万元。本单位2023年度基本支出1298.21万元，其中人员经费613.03万元，公用经费685.18万元。</w:t>
      </w:r>
    </w:p>
    <w:p>
      <w:pPr>
        <w:pStyle w:val="14"/>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eastAsia="仿宋_GB2312" w:cs="仿宋_GB2312"/>
          <w:kern w:val="0"/>
          <w:sz w:val="32"/>
          <w:szCs w:val="32"/>
          <w:lang w:val="en-US" w:eastAsia="zh-CN"/>
        </w:rPr>
      </w:pPr>
      <w:r>
        <w:rPr>
          <w:rFonts w:hint="eastAsia" w:ascii="仿宋_GB2312" w:hAnsi="仿宋_GB2312" w:eastAsia="仿宋_GB2312" w:cs="仿宋_GB2312"/>
          <w:kern w:val="2"/>
          <w:sz w:val="32"/>
          <w:szCs w:val="32"/>
          <w:lang w:val="en-US" w:eastAsia="zh-CN" w:bidi="ar-SA"/>
        </w:rPr>
        <w:t>基本支出主要</w:t>
      </w:r>
      <w:r>
        <w:rPr>
          <w:rFonts w:hint="eastAsia" w:eastAsia="仿宋_GB2312" w:cs="仿宋_GB2312"/>
          <w:kern w:val="0"/>
          <w:sz w:val="32"/>
          <w:szCs w:val="32"/>
          <w:lang w:eastAsia="zh-CN"/>
        </w:rPr>
        <w:t>是指为保障单位机构正常运转、完成日常工作任务而发生的各项支出，包括用于基本工资、</w:t>
      </w:r>
      <w:r>
        <w:rPr>
          <w:rFonts w:hint="eastAsia" w:eastAsia="仿宋_GB2312" w:cs="仿宋_GB2312"/>
          <w:kern w:val="0"/>
          <w:sz w:val="32"/>
          <w:szCs w:val="32"/>
          <w:lang w:val="en-US" w:eastAsia="zh-CN"/>
        </w:rPr>
        <w:t>绩效工资、</w:t>
      </w:r>
      <w:r>
        <w:rPr>
          <w:rFonts w:hint="eastAsia" w:eastAsia="仿宋_GB2312" w:cs="仿宋_GB2312"/>
          <w:kern w:val="0"/>
          <w:sz w:val="32"/>
          <w:szCs w:val="32"/>
          <w:lang w:eastAsia="zh-CN"/>
        </w:rPr>
        <w:t>津贴补贴、</w:t>
      </w:r>
      <w:r>
        <w:rPr>
          <w:rFonts w:hint="eastAsia" w:eastAsia="仿宋_GB2312" w:cs="仿宋_GB2312"/>
          <w:kern w:val="0"/>
          <w:sz w:val="32"/>
          <w:szCs w:val="32"/>
          <w:lang w:val="en-US" w:eastAsia="zh-CN"/>
        </w:rPr>
        <w:t>社会保障缴费</w:t>
      </w:r>
      <w:r>
        <w:rPr>
          <w:rFonts w:hint="eastAsia" w:eastAsia="仿宋_GB2312" w:cs="仿宋_GB2312"/>
          <w:kern w:val="0"/>
          <w:sz w:val="32"/>
          <w:szCs w:val="32"/>
          <w:lang w:eastAsia="zh-CN"/>
        </w:rPr>
        <w:t>等人员经费，办公费、印刷费、水电费、差旅费、</w:t>
      </w:r>
      <w:r>
        <w:rPr>
          <w:rFonts w:hint="eastAsia" w:eastAsia="仿宋_GB2312" w:cs="仿宋_GB2312"/>
          <w:kern w:val="0"/>
          <w:sz w:val="32"/>
          <w:szCs w:val="32"/>
          <w:lang w:val="en-US" w:eastAsia="zh-CN"/>
        </w:rPr>
        <w:t>公务接待费、维修（护）费</w:t>
      </w:r>
      <w:r>
        <w:rPr>
          <w:rFonts w:hint="eastAsia" w:eastAsia="仿宋_GB2312" w:cs="仿宋_GB2312"/>
          <w:kern w:val="0"/>
          <w:sz w:val="32"/>
          <w:szCs w:val="32"/>
          <w:lang w:eastAsia="zh-CN"/>
        </w:rPr>
        <w:t>等日常公用经费，</w:t>
      </w:r>
      <w:r>
        <w:rPr>
          <w:rFonts w:hint="eastAsia" w:eastAsia="仿宋_GB2312" w:cs="仿宋_GB2312"/>
          <w:kern w:val="0"/>
          <w:sz w:val="32"/>
          <w:szCs w:val="32"/>
          <w:lang w:val="en-US" w:eastAsia="zh-CN"/>
        </w:rPr>
        <w:t>以及离退休费用等其他对个人和家庭的补助支出。</w:t>
      </w:r>
    </w:p>
    <w:p>
      <w:pPr>
        <w:pStyle w:val="14"/>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（二）项目支出情况</w:t>
      </w:r>
    </w:p>
    <w:p>
      <w:pPr>
        <w:pStyle w:val="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2024年本单位项目支出15276.48万元，</w:t>
      </w:r>
      <w:r>
        <w:rPr>
          <w:rFonts w:hint="eastAsia" w:eastAsia="仿宋_GB2312"/>
          <w:sz w:val="32"/>
          <w:szCs w:val="32"/>
        </w:rPr>
        <w:t>主要用于水事调度，应急水量调度；雨情、水清、旱情、工情、汛情科学检测预警。水旱灾害防御器材管理等方面等方面；水事调度，应急水量调度；雨情、水清、旱情、工情、汛情科学检测预警。水旱灾害防御器材管理等方面等方面；</w:t>
      </w:r>
      <w:r>
        <w:rPr>
          <w:rFonts w:hint="eastAsia" w:ascii="仿宋_GB2312" w:hAnsi="仿宋_GB2312" w:eastAsia="仿宋_GB2312" w:cs="仿宋_GB2312"/>
          <w:color w:val="000000"/>
          <w:kern w:val="2"/>
          <w:sz w:val="32"/>
          <w:szCs w:val="32"/>
          <w:shd w:val="clear" w:color="auto" w:fill="FFFFFF"/>
          <w:lang w:val="en-US" w:eastAsia="zh-CN" w:bidi="ar-SA"/>
        </w:rPr>
        <w:t>支出较上年减少20万元，下降2.03%。主要原因是党政机关带头过紧日子，勤俭办一切事业，建立节约型财政保障机制，不新增预算，严格控制机关事业单位的一般性支出。</w:t>
      </w:r>
    </w:p>
    <w:p>
      <w:pPr>
        <w:pStyle w:val="14"/>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14"/>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14"/>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14"/>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仿宋_GB2312" w:hAnsi="仿宋_GB2312" w:eastAsia="仿宋_GB2312" w:cs="仿宋_GB2312"/>
          <w:color w:val="000000"/>
          <w:kern w:val="2"/>
          <w:sz w:val="32"/>
          <w:szCs w:val="32"/>
          <w:shd w:val="clear" w:color="auto" w:fill="FFFFFF"/>
          <w:lang w:val="en-US" w:eastAsia="zh-CN" w:bidi="ar-SA"/>
        </w:rPr>
        <w:t>2023年本单位无此项支出。</w:t>
      </w:r>
    </w:p>
    <w:p>
      <w:pPr>
        <w:pStyle w:val="14"/>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14"/>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14"/>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pStyle w:val="14"/>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r>
        <w:rPr>
          <w:rFonts w:hint="eastAsia" w:ascii="Times New Roman" w:hAnsi="Times New Roman" w:eastAsia="黑体" w:cs="Times New Roman"/>
          <w:sz w:val="32"/>
          <w:szCs w:val="32"/>
          <w:lang w:eastAsia="zh-CN"/>
        </w:rPr>
        <w:t>　</w:t>
      </w:r>
      <w:r>
        <w:rPr>
          <w:rFonts w:hint="default" w:ascii="仿宋_GB2312" w:hAnsi="仿宋_GB2312" w:eastAsia="仿宋_GB2312" w:cs="仿宋_GB2312"/>
          <w:kern w:val="2"/>
          <w:sz w:val="32"/>
          <w:szCs w:val="32"/>
          <w:lang w:val="en-US" w:eastAsia="zh-CN" w:bidi="ar-SA"/>
        </w:rPr>
        <w:t>2023年，</w:t>
      </w:r>
      <w:r>
        <w:rPr>
          <w:rFonts w:hint="eastAsia" w:ascii="仿宋_GB2312" w:hAnsi="仿宋_GB2312" w:eastAsia="仿宋_GB2312" w:cs="仿宋_GB2312"/>
          <w:kern w:val="2"/>
          <w:sz w:val="32"/>
          <w:szCs w:val="32"/>
          <w:lang w:val="en-US" w:eastAsia="zh-CN" w:bidi="ar-SA"/>
        </w:rPr>
        <w:t>本单位</w:t>
      </w:r>
      <w:r>
        <w:rPr>
          <w:rFonts w:hint="default" w:ascii="仿宋_GB2312" w:hAnsi="仿宋_GB2312" w:eastAsia="仿宋_GB2312" w:cs="仿宋_GB2312"/>
          <w:kern w:val="2"/>
          <w:sz w:val="32"/>
          <w:szCs w:val="32"/>
          <w:lang w:val="en-US" w:eastAsia="zh-CN" w:bidi="ar-SA"/>
        </w:rPr>
        <w:t>积极履职，资金管理规范，</w:t>
      </w:r>
      <w:r>
        <w:rPr>
          <w:rFonts w:hint="eastAsia" w:ascii="仿宋_GB2312" w:hAnsi="仿宋_GB2312" w:eastAsia="仿宋_GB2312" w:cs="仿宋_GB2312"/>
          <w:kern w:val="2"/>
          <w:sz w:val="32"/>
          <w:szCs w:val="32"/>
          <w:lang w:val="en-US" w:eastAsia="zh-CN" w:bidi="ar-SA"/>
        </w:rPr>
        <w:t>资产</w:t>
      </w:r>
      <w:r>
        <w:rPr>
          <w:rFonts w:hint="default" w:ascii="仿宋_GB2312" w:hAnsi="仿宋_GB2312" w:eastAsia="仿宋_GB2312" w:cs="仿宋_GB2312"/>
          <w:kern w:val="2"/>
          <w:sz w:val="32"/>
          <w:szCs w:val="32"/>
          <w:lang w:val="en-US" w:eastAsia="zh-CN" w:bidi="ar-SA"/>
        </w:rPr>
        <w:t>管理到位，政策执行有力，较好地完成了年度工作目标，有效发挥了财政资金的使用效率。在人员经费支出上</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严格执行上级的各项制度;在</w:t>
      </w:r>
      <w:r>
        <w:rPr>
          <w:rFonts w:hint="eastAsia" w:ascii="仿宋_GB2312" w:hAnsi="仿宋_GB2312" w:eastAsia="仿宋_GB2312" w:cs="仿宋_GB2312"/>
          <w:kern w:val="2"/>
          <w:sz w:val="32"/>
          <w:szCs w:val="32"/>
          <w:lang w:val="en-US" w:eastAsia="zh-CN" w:bidi="ar-SA"/>
        </w:rPr>
        <w:t>公用</w:t>
      </w:r>
      <w:r>
        <w:rPr>
          <w:rFonts w:hint="default" w:ascii="仿宋_GB2312" w:hAnsi="仿宋_GB2312" w:eastAsia="仿宋_GB2312" w:cs="仿宋_GB2312"/>
          <w:kern w:val="2"/>
          <w:sz w:val="32"/>
          <w:szCs w:val="32"/>
          <w:lang w:val="en-US" w:eastAsia="zh-CN" w:bidi="ar-SA"/>
        </w:rPr>
        <w:t>经费使用上，</w:t>
      </w:r>
      <w:r>
        <w:rPr>
          <w:rFonts w:hint="eastAsia" w:ascii="仿宋_GB2312" w:hAnsi="仿宋_GB2312" w:eastAsia="仿宋_GB2312" w:cs="仿宋_GB2312"/>
          <w:kern w:val="2"/>
          <w:sz w:val="32"/>
          <w:szCs w:val="32"/>
          <w:lang w:val="en-US" w:eastAsia="zh-CN" w:bidi="ar-SA"/>
        </w:rPr>
        <w:t>严格执行预算</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在</w:t>
      </w:r>
      <w:r>
        <w:rPr>
          <w:rFonts w:hint="default" w:ascii="仿宋_GB2312" w:hAnsi="仿宋_GB2312" w:eastAsia="仿宋_GB2312" w:cs="仿宋_GB2312"/>
          <w:kern w:val="2"/>
          <w:sz w:val="32"/>
          <w:szCs w:val="32"/>
          <w:lang w:val="en-US" w:eastAsia="zh-CN" w:bidi="ar-SA"/>
        </w:rPr>
        <w:t>“三公”经费</w:t>
      </w:r>
      <w:r>
        <w:rPr>
          <w:rFonts w:hint="eastAsia" w:ascii="仿宋_GB2312" w:hAnsi="仿宋_GB2312" w:eastAsia="仿宋_GB2312" w:cs="仿宋_GB2312"/>
          <w:kern w:val="2"/>
          <w:sz w:val="32"/>
          <w:szCs w:val="32"/>
          <w:lang w:val="en-US" w:eastAsia="zh-CN" w:bidi="ar-SA"/>
        </w:rPr>
        <w:t>开支上，</w:t>
      </w:r>
      <w:r>
        <w:rPr>
          <w:rFonts w:hint="default" w:ascii="仿宋_GB2312" w:hAnsi="仿宋_GB2312" w:eastAsia="仿宋_GB2312" w:cs="仿宋_GB2312"/>
          <w:kern w:val="2"/>
          <w:sz w:val="32"/>
          <w:szCs w:val="32"/>
          <w:lang w:val="en-US" w:eastAsia="zh-CN" w:bidi="ar-SA"/>
        </w:rPr>
        <w:t>厉行节约，从严控制</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 xml:space="preserve">根据《部门整体支出绩效自评表》自评得分 </w:t>
      </w:r>
      <w:r>
        <w:rPr>
          <w:rFonts w:hint="eastAsia" w:ascii="仿宋_GB2312" w:hAnsi="仿宋_GB2312" w:eastAsia="仿宋_GB2312" w:cs="仿宋_GB2312"/>
          <w:kern w:val="2"/>
          <w:sz w:val="32"/>
          <w:szCs w:val="32"/>
          <w:lang w:val="en-US" w:eastAsia="zh-CN" w:bidi="ar-SA"/>
        </w:rPr>
        <w:t>98</w:t>
      </w:r>
      <w:r>
        <w:rPr>
          <w:rFonts w:hint="default" w:ascii="仿宋_GB2312" w:hAnsi="仿宋_GB2312" w:eastAsia="仿宋_GB2312" w:cs="仿宋_GB2312"/>
          <w:kern w:val="2"/>
          <w:sz w:val="32"/>
          <w:szCs w:val="32"/>
          <w:lang w:val="en-US" w:eastAsia="zh-CN" w:bidi="ar-SA"/>
        </w:rPr>
        <w:t>分(详见附表2)，部门整体支出绩效为“优”</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rPr>
        <w:t>（一）2023年部门整体支出绩效目标设置及完成情况</w:t>
      </w:r>
    </w:p>
    <w:p>
      <w:pPr>
        <w:tabs>
          <w:tab w:val="left" w:pos="4500"/>
        </w:tabs>
        <w:spacing w:line="600" w:lineRule="exact"/>
        <w:ind w:firstLine="602" w:firstLineChars="200"/>
        <w:rPr>
          <w:rFonts w:hint="eastAsia" w:ascii="仿宋_GB2312" w:eastAsia="仿宋_GB2312"/>
          <w:sz w:val="32"/>
          <w:szCs w:val="32"/>
        </w:rPr>
      </w:pPr>
      <w:r>
        <w:rPr>
          <w:rFonts w:hint="eastAsia"/>
          <w:b/>
          <w:bCs/>
          <w:sz w:val="30"/>
          <w:szCs w:val="30"/>
          <w:lang w:val="en-US" w:eastAsia="zh-CN"/>
        </w:rPr>
        <w:t>目标1：</w:t>
      </w:r>
      <w:r>
        <w:rPr>
          <w:rFonts w:hint="eastAsia" w:ascii="楷体_GB2312" w:hAnsi="仿宋" w:eastAsia="楷体_GB2312" w:cs="仿宋"/>
          <w:b/>
          <w:sz w:val="32"/>
          <w:szCs w:val="32"/>
        </w:rPr>
        <w:t>水旱灾害防御获得全面胜利</w:t>
      </w:r>
    </w:p>
    <w:p>
      <w:pPr>
        <w:tabs>
          <w:tab w:val="left" w:pos="4500"/>
        </w:tabs>
        <w:spacing w:line="600" w:lineRule="exact"/>
        <w:ind w:firstLine="602" w:firstLineChars="200"/>
        <w:rPr>
          <w:rFonts w:ascii="仿宋_GB2312" w:hAnsi="仿宋_GB2312" w:eastAsia="仿宋_GB2312" w:cs="仿宋_GB2312"/>
          <w:sz w:val="32"/>
          <w:szCs w:val="32"/>
        </w:rPr>
      </w:pPr>
      <w:r>
        <w:rPr>
          <w:rFonts w:hint="eastAsia"/>
          <w:b/>
          <w:bCs/>
          <w:sz w:val="30"/>
          <w:szCs w:val="30"/>
          <w:lang w:val="en-US" w:eastAsia="zh-CN"/>
        </w:rPr>
        <w:t>完成情况：</w:t>
      </w:r>
      <w:r>
        <w:rPr>
          <w:rFonts w:hint="eastAsia" w:ascii="仿宋_GB2312" w:hAnsi="仿宋_GB2312" w:eastAsia="仿宋_GB2312" w:cs="仿宋_GB2312"/>
          <w:sz w:val="32"/>
          <w:szCs w:val="32"/>
        </w:rPr>
        <w:t>针对2022年以来的连续干旱，全力抗御今年春夏秋连旱。年初协调长江补水一期工程、君山垸补水工程从长江补水2700万方，在华容河罐头尖临时架设移动水泵应急补水60万方，确保全区春耕保种安全。在7、8月高温干旱期间，启用泵站43处、抗旱设备</w:t>
      </w:r>
      <w:r>
        <w:rPr>
          <w:rFonts w:hint="eastAsia" w:ascii="仿宋_GB2312" w:hAnsi="仿宋_GB2312" w:cs="仿宋_GB2312"/>
          <w:sz w:val="32"/>
          <w:szCs w:val="32"/>
        </w:rPr>
        <w:t>7</w:t>
      </w:r>
      <w:r>
        <w:rPr>
          <w:rFonts w:hint="eastAsia" w:ascii="仿宋_GB2312" w:hAnsi="仿宋_GB2312" w:eastAsia="仿宋_GB2312" w:cs="仿宋_GB2312"/>
          <w:sz w:val="32"/>
          <w:szCs w:val="32"/>
        </w:rPr>
        <w:t>79台套，分别在洞庭湖、藕池河架设移动水泵、筑坝拦蓄水源，日均向钱南垸补水7.2万方；在许市镇铺设压力输水管道，确保1300亩农田灌溉用水需求。调度电排机组开机110台次1025小时，排渍648万方，确保全区没有出现涝渍灾害。</w:t>
      </w:r>
    </w:p>
    <w:p>
      <w:pPr>
        <w:keepNext w:val="0"/>
        <w:keepLines w:val="0"/>
        <w:pageBreakBefore w:val="0"/>
        <w:widowControl w:val="0"/>
        <w:kinsoku/>
        <w:wordWrap/>
        <w:overflowPunct w:val="0"/>
        <w:topLinePunct w:val="0"/>
        <w:autoSpaceDE/>
        <w:autoSpaceDN/>
        <w:bidi w:val="0"/>
        <w:adjustRightInd w:val="0"/>
        <w:snapToGrid/>
        <w:spacing w:line="560" w:lineRule="exact"/>
        <w:ind w:firstLine="602" w:firstLineChars="200"/>
        <w:jc w:val="both"/>
        <w:textAlignment w:val="auto"/>
        <w:rPr>
          <w:rFonts w:hint="eastAsia" w:ascii="仿宋_GB2312" w:hAnsi="仿宋_GB2312" w:eastAsia="仿宋_GB2312" w:cs="仿宋_GB2312"/>
          <w:b w:val="0"/>
          <w:bCs w:val="0"/>
          <w:sz w:val="32"/>
          <w:szCs w:val="32"/>
          <w:lang w:val="en-US" w:eastAsia="zh-CN"/>
        </w:rPr>
      </w:pPr>
      <w:r>
        <w:rPr>
          <w:rFonts w:hint="eastAsia"/>
          <w:b/>
          <w:bCs/>
          <w:sz w:val="30"/>
          <w:szCs w:val="30"/>
          <w:lang w:val="en-US" w:eastAsia="zh-CN"/>
        </w:rPr>
        <w:t>目标2：</w:t>
      </w:r>
      <w:r>
        <w:rPr>
          <w:rFonts w:hint="eastAsia" w:ascii="楷体_GB2312" w:hAnsi="仿宋_GB2312" w:eastAsia="楷体_GB2312"/>
          <w:b/>
          <w:sz w:val="32"/>
          <w:szCs w:val="32"/>
        </w:rPr>
        <w:t>全面完成了年度水利项目建设任务。</w:t>
      </w:r>
    </w:p>
    <w:p>
      <w:pPr>
        <w:autoSpaceDE w:val="0"/>
        <w:spacing w:line="600" w:lineRule="exact"/>
        <w:ind w:firstLine="602" w:firstLineChars="200"/>
        <w:rPr>
          <w:rFonts w:hint="eastAsia" w:ascii="仿宋_GB2312" w:hAnsi="仿宋_GB2312" w:eastAsia="仿宋_GB2312" w:cs="仿宋_GB2312"/>
          <w:color w:val="000000"/>
          <w:sz w:val="32"/>
          <w:szCs w:val="32"/>
        </w:rPr>
      </w:pPr>
      <w:r>
        <w:rPr>
          <w:rFonts w:hint="eastAsia"/>
          <w:b/>
          <w:bCs/>
          <w:sz w:val="30"/>
          <w:szCs w:val="30"/>
          <w:lang w:val="en-US" w:eastAsia="zh-CN"/>
        </w:rPr>
        <w:t>完成情况：</w:t>
      </w:r>
      <w:r>
        <w:rPr>
          <w:rFonts w:hint="eastAsia" w:ascii="仿宋_GB2312" w:hAnsi="仿宋_GB2312" w:eastAsia="仿宋_GB2312" w:cs="仿宋_GB2312"/>
          <w:sz w:val="32"/>
          <w:szCs w:val="32"/>
        </w:rPr>
        <w:t>全面完成了分洪闸工程、</w:t>
      </w:r>
      <w:r>
        <w:rPr>
          <w:rFonts w:hint="eastAsia" w:ascii="仿宋_GB2312" w:hAnsi="仿宋_GB2312" w:eastAsia="仿宋_GB2312" w:cs="仿宋_GB2312"/>
          <w:color w:val="000000"/>
          <w:sz w:val="32"/>
          <w:szCs w:val="32"/>
        </w:rPr>
        <w:t>君山区十四五排涝能力建设一期工程、君山区水库除险加固工程、君山垸补水工程、</w:t>
      </w:r>
      <w:r>
        <w:rPr>
          <w:rFonts w:hint="eastAsia" w:ascii="仿宋_GB2312" w:hAnsi="仿宋_GB2312" w:eastAsia="仿宋_GB2312" w:cs="仿宋_GB2312"/>
          <w:sz w:val="32"/>
          <w:szCs w:val="32"/>
        </w:rPr>
        <w:t>农村水源工程、</w:t>
      </w:r>
      <w:r>
        <w:rPr>
          <w:rFonts w:hint="eastAsia" w:ascii="仿宋_GB2312" w:hAnsi="仿宋_GB2312" w:eastAsia="仿宋_GB2312" w:cs="仿宋_GB2312"/>
          <w:color w:val="000000"/>
          <w:sz w:val="32"/>
          <w:szCs w:val="32"/>
        </w:rPr>
        <w:t>君山区集中供水工程和良心堡、方台湖安全区建设年度任务，共完成泵站更新改造15个、渠道护砌6800m、铺设配水管网25.7km，特别是全面完成了君山垸补水工程，改建了长沟子取水泵船和水闸6处，衬砌加固渠道3.58km，新建输水管道6.4km，有效地解决了君山垸居民生活用水、农业灌溉用水和生态补水问题。</w:t>
      </w:r>
    </w:p>
    <w:p>
      <w:pPr>
        <w:keepNext w:val="0"/>
        <w:keepLines w:val="0"/>
        <w:pageBreakBefore w:val="0"/>
        <w:widowControl w:val="0"/>
        <w:kinsoku/>
        <w:wordWrap/>
        <w:overflowPunct w:val="0"/>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val="0"/>
        <w:topLinePunct w:val="0"/>
        <w:autoSpaceDE/>
        <w:autoSpaceDN/>
        <w:bidi w:val="0"/>
        <w:adjustRightInd w:val="0"/>
        <w:snapToGrid/>
        <w:spacing w:line="560" w:lineRule="exact"/>
        <w:ind w:leftChars="200"/>
        <w:jc w:val="both"/>
        <w:textAlignment w:val="auto"/>
        <w:rPr>
          <w:rFonts w:hint="eastAsia" w:ascii="仿宋_GB2312" w:hAnsi="仿宋_GB2312" w:eastAsia="楷体_GB2312" w:cs="仿宋_GB2312"/>
          <w:b w:val="0"/>
          <w:bCs w:val="0"/>
          <w:sz w:val="32"/>
          <w:szCs w:val="32"/>
          <w:lang w:val="en-US" w:eastAsia="zh-CN"/>
        </w:rPr>
      </w:pPr>
      <w:r>
        <w:rPr>
          <w:rFonts w:hint="eastAsia"/>
          <w:b/>
          <w:bCs/>
          <w:sz w:val="30"/>
          <w:szCs w:val="30"/>
          <w:lang w:val="en-US" w:eastAsia="zh-CN"/>
        </w:rPr>
        <w:t>目标3：</w:t>
      </w:r>
      <w:r>
        <w:rPr>
          <w:rFonts w:hint="eastAsia" w:ascii="楷体_GB2312" w:hAnsi="仿宋" w:eastAsia="楷体_GB2312" w:cs="仿宋"/>
          <w:b/>
          <w:sz w:val="32"/>
          <w:szCs w:val="32"/>
        </w:rPr>
        <w:t>争资争项成绩斐然</w:t>
      </w:r>
      <w:r>
        <w:rPr>
          <w:rFonts w:hint="eastAsia" w:ascii="楷体_GB2312" w:eastAsia="楷体_GB2312" w:cs="仿宋"/>
          <w:b/>
          <w:sz w:val="32"/>
          <w:szCs w:val="32"/>
          <w:lang w:eastAsia="zh-CN"/>
        </w:rPr>
        <w:t>、</w:t>
      </w:r>
      <w:r>
        <w:rPr>
          <w:rFonts w:hint="eastAsia" w:ascii="楷体_GB2312" w:hAnsi="仿宋" w:eastAsia="楷体_GB2312" w:cs="仿宋"/>
          <w:b/>
          <w:sz w:val="32"/>
          <w:szCs w:val="32"/>
        </w:rPr>
        <w:t>河湖长制工作成效明显</w:t>
      </w:r>
    </w:p>
    <w:p>
      <w:pPr>
        <w:pStyle w:val="8"/>
        <w:widowControl/>
        <w:shd w:val="clear" w:color="auto" w:fill="FFFFFF"/>
        <w:spacing w:before="0" w:beforeAutospacing="0" w:after="0" w:afterAutospacing="0" w:line="600" w:lineRule="exact"/>
        <w:ind w:left="0" w:right="0" w:firstLine="602" w:firstLineChars="200"/>
        <w:rPr>
          <w:rFonts w:ascii="仿宋_GB2312" w:hAnsi="仿宋_GB2312" w:eastAsia="仿宋_GB2312" w:cs="仿宋_GB2312"/>
          <w:sz w:val="32"/>
          <w:szCs w:val="32"/>
          <w:lang w:bidi="ar-SA"/>
        </w:rPr>
      </w:pPr>
      <w:r>
        <w:rPr>
          <w:rFonts w:hint="eastAsia"/>
          <w:b/>
          <w:bCs/>
          <w:sz w:val="30"/>
          <w:szCs w:val="30"/>
          <w:lang w:val="en-US" w:eastAsia="zh-CN"/>
        </w:rPr>
        <w:t>完成情况：</w:t>
      </w:r>
      <w:r>
        <w:rPr>
          <w:rFonts w:hint="eastAsia" w:ascii="仿宋_GB2312" w:hAnsi="仿宋_GB2312" w:eastAsia="仿宋_GB2312" w:cs="仿宋_GB2312"/>
          <w:sz w:val="32"/>
          <w:szCs w:val="32"/>
        </w:rPr>
        <w:t>积极对接争取了</w:t>
      </w:r>
      <w:r>
        <w:rPr>
          <w:rFonts w:hint="eastAsia" w:ascii="仿宋" w:hAnsi="仿宋" w:eastAsia="仿宋" w:cs="仿宋"/>
          <w:kern w:val="0"/>
          <w:sz w:val="32"/>
          <w:szCs w:val="32"/>
        </w:rPr>
        <w:t>7个水利项目（非省厅打捆项目5个）纳入2024年新增国债项目清单，其中在建项目2个，新建项目5个，安排国债资金3.5802亿元，资金规模位于全市前列。</w:t>
      </w:r>
      <w:r>
        <w:rPr>
          <w:rFonts w:hint="eastAsia" w:ascii="仿宋_GB2312" w:hAnsi="仿宋_GB2312" w:eastAsia="仿宋_GB2312" w:cs="仿宋_GB2312"/>
          <w:sz w:val="32"/>
          <w:szCs w:val="32"/>
          <w:lang w:bidi="ar-SA"/>
        </w:rPr>
        <w:t>狠抓河湖长制“四加”工作，打造“五化”特色亮点，全力攻克“洞庭清波”、图斑问题核查、“清河净滩”“清四乱”等重点难点问题，</w:t>
      </w:r>
      <w:r>
        <w:rPr>
          <w:rFonts w:hint="eastAsia" w:ascii="仿宋_GB2312" w:hAnsi="仿宋" w:eastAsia="仿宋_GB2312" w:cs="Times New Roman"/>
          <w:sz w:val="32"/>
          <w:szCs w:val="32"/>
          <w:lang w:bidi="ar-SA"/>
        </w:rPr>
        <w:t>核查整改了省河长办交办的192个图斑问题，全面完成了君山区七弓岭三角坪房屋、采桑湖矮围、君山垸五二渠停车坪、长江、华洪运河板房、华容河乱堆砂石场、涵管堆场拆除、长江外滩欧美黑杨清退</w:t>
      </w:r>
      <w:r>
        <w:rPr>
          <w:rFonts w:hint="eastAsia" w:ascii="仿宋_GB2312" w:hAnsi="仿宋_GB2312" w:eastAsia="仿宋_GB2312" w:cs="仿宋_GB2312"/>
          <w:sz w:val="32"/>
          <w:szCs w:val="32"/>
          <w:lang w:bidi="ar-SA"/>
        </w:rPr>
        <w:t>等任务，清理水葫芦、树枝、杂草2万余吨。打造河长制主题公园4个、湿地修复碳和公园1个、小微水体整治“口袋公园”4个。</w:t>
      </w:r>
      <w:r>
        <w:rPr>
          <w:rFonts w:hint="eastAsia" w:ascii="仿宋" w:hAnsi="仿宋" w:eastAsia="仿宋" w:cs="Times New Roman"/>
          <w:color w:val="000000"/>
          <w:sz w:val="32"/>
          <w:szCs w:val="32"/>
          <w:lang w:bidi="ar-SA"/>
        </w:rPr>
        <w:t>特别是</w:t>
      </w:r>
      <w:r>
        <w:rPr>
          <w:rFonts w:hint="eastAsia" w:ascii="仿宋_GB2312" w:hAnsi="仿宋_GB2312" w:eastAsia="仿宋_GB2312" w:cs="仿宋_GB2312"/>
          <w:color w:val="000000"/>
          <w:sz w:val="32"/>
          <w:szCs w:val="32"/>
          <w:lang w:bidi="ar-SA"/>
        </w:rPr>
        <w:t>整治面积最大、任务最重、影响力最大的三角坪遗留建筑物，得到了省河长办督查组的充分肯定，形成了良好的示范带动效应。</w:t>
      </w:r>
      <w:r>
        <w:rPr>
          <w:rFonts w:hint="eastAsia" w:ascii="仿宋_GB2312" w:hAnsi="仿宋_GB2312" w:eastAsia="仿宋_GB2312" w:cs="仿宋_GB2312"/>
          <w:sz w:val="32"/>
          <w:szCs w:val="32"/>
          <w:lang w:bidi="ar-SA"/>
        </w:rPr>
        <w:t>成功举办了全市河湖长制工作现场会，迎接了中央五大媒体调研，充分展现了君山守护好一江碧水五周年河湖长制工作成果。</w:t>
      </w:r>
    </w:p>
    <w:p>
      <w:pPr>
        <w:pStyle w:val="2"/>
        <w:ind w:firstLine="643"/>
        <w:rPr>
          <w:rFonts w:hint="eastAsia" w:ascii="仿宋" w:hAnsi="仿宋" w:eastAsia="仿宋" w:cs="仿宋"/>
          <w:kern w:val="0"/>
          <w:sz w:val="32"/>
          <w:szCs w:val="32"/>
        </w:rPr>
      </w:pPr>
    </w:p>
    <w:p>
      <w:pPr>
        <w:keepNext w:val="0"/>
        <w:keepLines w:val="0"/>
        <w:pageBreakBefore w:val="0"/>
        <w:widowControl w:val="0"/>
        <w:numPr>
          <w:ilvl w:val="0"/>
          <w:numId w:val="0"/>
        </w:numPr>
        <w:kinsoku/>
        <w:wordWrap/>
        <w:overflowPunct w:val="0"/>
        <w:topLinePunct w:val="0"/>
        <w:autoSpaceDE/>
        <w:autoSpaceDN/>
        <w:bidi w:val="0"/>
        <w:adjustRightInd w:val="0"/>
        <w:snapToGrid/>
        <w:spacing w:line="560" w:lineRule="exact"/>
        <w:ind w:leftChars="200"/>
        <w:jc w:val="both"/>
        <w:textAlignment w:val="auto"/>
        <w:rPr>
          <w:rFonts w:hint="eastAsia" w:ascii="楷体_GB2312" w:hAnsi="楷体_GB2312" w:eastAsia="楷体_GB2312" w:cs="楷体_GB2312"/>
          <w:b/>
          <w:bCs/>
          <w:color w:val="262626" w:themeColor="text1" w:themeTint="D9"/>
          <w:sz w:val="32"/>
          <w:szCs w:val="32"/>
          <w:lang w:eastAsia="zh-CN"/>
          <w14:textFill>
            <w14:solidFill>
              <w14:schemeClr w14:val="tx1">
                <w14:lumMod w14:val="85000"/>
                <w14:lumOff w14:val="15000"/>
              </w14:schemeClr>
            </w14:solidFill>
          </w14:textFill>
        </w:rPr>
      </w:pPr>
    </w:p>
    <w:p>
      <w:pPr>
        <w:ind w:firstLine="600" w:firstLineChars="200"/>
        <w:rPr>
          <w:sz w:val="30"/>
          <w:szCs w:val="30"/>
        </w:rPr>
      </w:pPr>
    </w:p>
    <w:p>
      <w:pPr>
        <w:ind w:firstLine="643" w:firstLineChars="200"/>
        <w:rPr>
          <w:rFonts w:ascii="微软雅黑" w:hAnsi="微软雅黑" w:eastAsia="微软雅黑" w:cs="微软雅黑"/>
          <w:i w:val="0"/>
          <w:iCs w:val="0"/>
          <w:caps w:val="0"/>
          <w:color w:val="333333"/>
          <w:spacing w:val="0"/>
          <w:sz w:val="24"/>
          <w:szCs w:val="24"/>
        </w:rPr>
      </w:pPr>
      <w:r>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t>（二）</w:t>
      </w:r>
      <w:r>
        <w:rPr>
          <w:rFonts w:ascii="楷体_GB2312" w:hAnsi="微软雅黑" w:eastAsia="楷体_GB2312" w:cs="楷体_GB2312"/>
          <w:b/>
          <w:bCs/>
          <w:i w:val="0"/>
          <w:iCs w:val="0"/>
          <w:caps w:val="0"/>
          <w:color w:val="000000"/>
          <w:spacing w:val="0"/>
          <w:kern w:val="0"/>
          <w:sz w:val="32"/>
          <w:szCs w:val="32"/>
          <w:shd w:val="clear" w:fill="FFFFFF"/>
          <w:lang w:val="en-US" w:eastAsia="zh-CN" w:bidi="ar"/>
        </w:rPr>
        <w:t>单位资产管理和整体业务实施效果情况</w:t>
      </w:r>
    </w:p>
    <w:p>
      <w:pPr>
        <w:ind w:firstLine="600" w:firstLineChars="200"/>
        <w:rPr>
          <w:rFonts w:hint="default" w:ascii="仿宋_GB2312" w:hAnsi="仿宋_GB2312" w:eastAsia="仿宋_GB2312" w:cs="仿宋_GB2312"/>
          <w:kern w:val="2"/>
          <w:sz w:val="32"/>
          <w:szCs w:val="32"/>
          <w:lang w:val="en-US" w:eastAsia="zh-CN" w:bidi="ar-SA"/>
        </w:rPr>
      </w:pPr>
      <w:r>
        <w:rPr>
          <w:rFonts w:hint="default"/>
          <w:sz w:val="30"/>
          <w:szCs w:val="30"/>
          <w:lang w:val="en-US" w:eastAsia="zh-CN"/>
        </w:rPr>
        <w:t>本单位资产设有专</w:t>
      </w:r>
      <w:r>
        <w:rPr>
          <w:rFonts w:hint="eastAsia"/>
          <w:sz w:val="30"/>
          <w:szCs w:val="30"/>
          <w:lang w:val="en-US" w:eastAsia="zh-CN"/>
        </w:rPr>
        <w:t>门人员将单位所有资产全部录入固定资产信息系统</w:t>
      </w:r>
      <w:r>
        <w:rPr>
          <w:rFonts w:hint="default"/>
          <w:sz w:val="30"/>
          <w:szCs w:val="30"/>
          <w:lang w:val="en-US" w:eastAsia="zh-CN"/>
        </w:rPr>
        <w:t>,</w:t>
      </w:r>
      <w:r>
        <w:rPr>
          <w:rFonts w:hint="eastAsia"/>
          <w:sz w:val="30"/>
          <w:szCs w:val="30"/>
          <w:lang w:val="en-US" w:eastAsia="zh-CN"/>
        </w:rPr>
        <w:t>实行动态管理。资产配置严格按照规定程序报批，坚持资产配备与单位履行职能需要相适应，坚持资产管理与预算管理相结合。资产利用率高，资产配置基本合理，人均占有办公室使用面积、人均占有通用设备数量等指标均在正常范围。科学管理和使用国有资产</w:t>
      </w:r>
      <w:r>
        <w:rPr>
          <w:rFonts w:hint="default"/>
          <w:sz w:val="30"/>
          <w:szCs w:val="30"/>
          <w:lang w:val="en-US" w:eastAsia="zh-CN"/>
        </w:rPr>
        <w:t>,</w:t>
      </w:r>
      <w:r>
        <w:rPr>
          <w:rFonts w:hint="eastAsia"/>
          <w:sz w:val="30"/>
          <w:szCs w:val="30"/>
          <w:lang w:val="en-US" w:eastAsia="zh-CN"/>
        </w:rPr>
        <w:t>保障单位正常运转的同时，合理配备并有效使用资产，充分发挥了国有资产的使用效益和社会效益。</w:t>
      </w:r>
    </w:p>
    <w:p>
      <w:pPr>
        <w:pStyle w:val="14"/>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（一）预算精准性有待进一步提高</w:t>
      </w:r>
      <w:r>
        <w:rPr>
          <w:rFonts w:hint="eastAsia" w:ascii="Times New Roman" w:hAnsi="Times New Roman" w:eastAsia="楷体_GB2312" w:cs="Times New Roman"/>
          <w:b w:val="0"/>
          <w:bCs/>
          <w:kern w:val="0"/>
          <w:sz w:val="32"/>
          <w:szCs w:val="32"/>
          <w:lang w:val="en-US" w:eastAsia="zh-CN" w:bidi="ar-SA"/>
        </w:rPr>
        <w:t>。</w:t>
      </w:r>
      <w:r>
        <w:rPr>
          <w:rFonts w:hint="eastAsia" w:ascii="Times New Roman" w:hAnsi="Times New Roman" w:eastAsia="仿宋_GB2312" w:cs="Times New Roman"/>
          <w:sz w:val="32"/>
          <w:szCs w:val="32"/>
          <w:lang w:val="en-US" w:eastAsia="zh-CN"/>
        </w:rPr>
        <w:t>由于预算编制具有不可预见性，年初安排预算时，对各项公用支出的分配安排缺乏统一的硬性标准，导致部分资金使用时需要进行指标调剂。</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Chars="0" w:right="0" w:rightChars="0" w:firstLine="640" w:firstLineChars="200"/>
        <w:jc w:val="left"/>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（二）预算绩效管理意识有待进一步加强，预算绩效管理的工作方法方式有待创新。</w:t>
      </w:r>
      <w:r>
        <w:rPr>
          <w:rFonts w:hint="eastAsia" w:ascii="Times New Roman" w:hAnsi="Times New Roman" w:eastAsia="仿宋_GB2312" w:cs="Times New Roman"/>
          <w:sz w:val="32"/>
          <w:szCs w:val="32"/>
          <w:lang w:val="en-US" w:eastAsia="zh-CN"/>
        </w:rPr>
        <w:t>预算绩效管理工作贯穿全年，与各个业务股室息息相关，由于对预算绩效管理的全面性和重要性缺乏深入的了解，统揽全局的意识有所欠缺，导致预算绩效管理工作在推动过程中能够很好地完成各项工作任务，但工作质量难以实现质的飞跃。</w:t>
      </w:r>
    </w:p>
    <w:p>
      <w:pPr>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财务业务水平有待进一步提高。</w:t>
      </w:r>
      <w:r>
        <w:rPr>
          <w:rFonts w:hint="eastAsia" w:ascii="Times New Roman" w:hAnsi="Times New Roman" w:eastAsia="仿宋_GB2312" w:cs="Times New Roman"/>
          <w:sz w:val="32"/>
          <w:szCs w:val="32"/>
          <w:lang w:val="en-US" w:eastAsia="zh-CN"/>
        </w:rPr>
        <w:t>由于财务工作内容变化较大，各项制度、政策更新快，加之财务人员忙于琐碎的日常工作，对各项新知识、新业务的学习时间、精力有限，导致财务人员预算绩效管理工作水平一般，在将预算绩效管理转化成工作成果，更好地指导各项工作的开展方面有所欠缺。</w:t>
      </w: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1、完善相关管理制度，强化行政管理职能，确保制度贯彻落实；</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2、加强资产管理，提高固定资产使用效率；</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3、加强预算管理，定期做好预算执行情况分析。</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单位2023年度部门整体支出绩效自评结果拟按湖南省财政厅关于印发《湖南省预算支出绩效评价管理办法》的通知（湘财绩〔2020〕7号）要求，在整体支出项目绩效目标编制申报时，根据项目实际情况和预期可达成的目标，设置更科学合理的指标。严格按规定内容、时限在君山区政务中心门户网站公开，接受社会监督。</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br w:type="page"/>
      </w:r>
      <w:r>
        <w:rPr>
          <w:rFonts w:hint="eastAsia" w:ascii="仿宋_GB2312" w:hAnsi="仿宋_GB2312" w:eastAsia="仿宋_GB2312" w:cs="仿宋_GB2312"/>
          <w:sz w:val="32"/>
          <w:szCs w:val="32"/>
          <w:highlight w:val="none"/>
        </w:rPr>
        <w:t>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lang w:eastAsia="zh-CN"/>
        </w:rPr>
        <w:t>部门整体支出绩效自评工作考核评分表</w:t>
      </w:r>
    </w:p>
    <w:p>
      <w:pPr>
        <w:spacing w:after="120" w:afterLines="50" w:line="600" w:lineRule="exact"/>
        <w:jc w:val="both"/>
        <w:rPr>
          <w:rFonts w:hint="eastAsia" w:ascii="方正小标宋简体" w:hAnsi="方正小标宋简体" w:eastAsia="方正小标宋简体" w:cs="方正小标宋简体"/>
          <w:sz w:val="36"/>
          <w:szCs w:val="36"/>
          <w:highlight w:val="none"/>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ind w:firstLine="1080" w:firstLineChars="300"/>
        <w:jc w:val="both"/>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11"/>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9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23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25</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89.29%</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21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46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9.16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5.65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5.65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9.16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5.65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5.65</w:t>
            </w:r>
          </w:p>
        </w:tc>
      </w:tr>
      <w:tr>
        <w:tblPrEx>
          <w:tblCellMar>
            <w:top w:w="0" w:type="dxa"/>
            <w:left w:w="108" w:type="dxa"/>
            <w:bottom w:w="0" w:type="dxa"/>
            <w:right w:w="108" w:type="dxa"/>
          </w:tblCellMar>
        </w:tblPrEx>
        <w:trPr>
          <w:trHeight w:val="3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29965.91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15276.48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15276.48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14374.31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13722.18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13722.18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3、防汛抗旱</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186.51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65.48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65.48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4、防汛备汛</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115.61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5、农村安全饮水水厂管护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498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498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6、水利建设资金</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585.28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585.28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7、排渍电费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312.15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312.15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8、钱粮湖垸（君山部分）蓄洪工程安全建设项目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4000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kern w:val="0"/>
                <w:sz w:val="20"/>
                <w:szCs w:val="20"/>
                <w:highlight w:val="none"/>
                <w:lang w:val="en-US" w:eastAsia="zh-CN" w:bidi="ar-SA"/>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9、君山区君山垸水毁修复项目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4112.15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kern w:val="0"/>
                <w:sz w:val="20"/>
                <w:szCs w:val="20"/>
                <w:highlight w:val="none"/>
                <w:lang w:val="en-US" w:eastAsia="zh-CN" w:bidi="ar-SA"/>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10、君山区2022年度水源建设资金</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278</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kern w:val="0"/>
                <w:sz w:val="20"/>
                <w:szCs w:val="20"/>
                <w:highlight w:val="none"/>
                <w:lang w:val="en-US" w:eastAsia="zh-CN" w:bidi="ar-SA"/>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11、三峡后续集中供水</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2899.33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28.38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28.38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12、君山垸补水工程项目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4000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65.01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65.01</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2014.73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685.18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685.18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sz w:val="20"/>
                <w:szCs w:val="20"/>
                <w:highlight w:val="none"/>
                <w:lang w:val="en-US" w:eastAsia="zh-CN"/>
              </w:rPr>
              <w:t>49.37</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kern w:val="0"/>
                <w:sz w:val="20"/>
                <w:szCs w:val="20"/>
                <w:highlight w:val="none"/>
                <w:lang w:val="en-US" w:eastAsia="zh-CN" w:bidi="ar-SA"/>
              </w:rPr>
            </w:pPr>
            <w:r>
              <w:rPr>
                <w:rFonts w:hint="eastAsia" w:ascii="宋体" w:hAnsi="宋体" w:cs="宋体"/>
                <w:i w:val="0"/>
                <w:iCs w:val="0"/>
                <w:color w:val="000000"/>
                <w:kern w:val="0"/>
                <w:sz w:val="22"/>
                <w:szCs w:val="22"/>
                <w:u w:val="none"/>
                <w:lang w:val="en-US" w:eastAsia="zh-CN" w:bidi="ar"/>
              </w:rPr>
              <w:t>13.33</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13.33</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sz w:val="20"/>
                <w:szCs w:val="20"/>
                <w:highlight w:val="none"/>
                <w:lang w:val="en-US" w:eastAsia="zh-CN"/>
              </w:rPr>
              <w:t>6.31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kern w:val="0"/>
                <w:sz w:val="20"/>
                <w:szCs w:val="20"/>
                <w:highlight w:val="none"/>
                <w:lang w:val="en-US" w:eastAsia="zh-CN" w:bidi="ar-SA"/>
              </w:rPr>
            </w:pPr>
            <w:r>
              <w:rPr>
                <w:rFonts w:hint="eastAsia" w:ascii="宋体" w:hAnsi="宋体" w:cs="宋体"/>
                <w:i w:val="0"/>
                <w:iCs w:val="0"/>
                <w:color w:val="000000"/>
                <w:kern w:val="0"/>
                <w:sz w:val="22"/>
                <w:szCs w:val="22"/>
                <w:u w:val="none"/>
                <w:lang w:val="en-US" w:eastAsia="zh-CN" w:bidi="ar"/>
              </w:rPr>
              <w:t>14.36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14.36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SA"/>
              </w:rPr>
            </w:pPr>
            <w:r>
              <w:rPr>
                <w:rFonts w:hint="eastAsia" w:ascii="宋体" w:hAnsi="宋体" w:cs="宋体"/>
                <w:i w:val="0"/>
                <w:iCs w:val="0"/>
                <w:color w:val="000000"/>
                <w:kern w:val="0"/>
                <w:sz w:val="22"/>
                <w:szCs w:val="22"/>
                <w:u w:val="none"/>
                <w:lang w:val="en-US" w:eastAsia="zh-CN" w:bidi="ar"/>
              </w:rPr>
              <w:t>0.45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kern w:val="0"/>
                <w:sz w:val="20"/>
                <w:szCs w:val="20"/>
                <w:highlight w:val="none"/>
                <w:lang w:val="en-US" w:eastAsia="zh-CN" w:bidi="ar-SA"/>
              </w:rPr>
            </w:pPr>
            <w:r>
              <w:rPr>
                <w:rFonts w:hint="eastAsia" w:ascii="宋体" w:hAnsi="宋体" w:cs="宋体"/>
                <w:i w:val="0"/>
                <w:iCs w:val="0"/>
                <w:color w:val="000000"/>
                <w:kern w:val="0"/>
                <w:sz w:val="22"/>
                <w:szCs w:val="22"/>
                <w:u w:val="none"/>
                <w:lang w:val="en-US" w:eastAsia="zh-CN" w:bidi="ar"/>
              </w:rPr>
              <w:t>1.86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1.86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327.09</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327.09</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1298.21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1298.21</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18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rPr>
      </w:pPr>
    </w:p>
    <w:p>
      <w:pPr>
        <w:widowControl/>
        <w:spacing w:after="0" w:afterLines="0" w:line="400" w:lineRule="exact"/>
        <w:ind w:left="220" w:hanging="320" w:hangingChars="100"/>
        <w:jc w:val="left"/>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11"/>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岳阳市君山区</w:t>
            </w:r>
            <w:r>
              <w:rPr>
                <w:rFonts w:hint="eastAsia" w:ascii="仿宋_GB2312" w:hAnsi="仿宋_GB2312" w:eastAsia="仿宋_GB2312" w:cs="仿宋_GB2312"/>
                <w:color w:val="000000"/>
                <w:sz w:val="20"/>
                <w:szCs w:val="20"/>
                <w:highlight w:val="none"/>
                <w:lang w:val="en-US" w:eastAsia="zh-CN"/>
              </w:rPr>
              <w:t>水利局</w:t>
            </w:r>
          </w:p>
        </w:tc>
      </w:tr>
      <w:tr>
        <w:tblPrEx>
          <w:tblCellMar>
            <w:top w:w="0" w:type="dxa"/>
            <w:left w:w="108" w:type="dxa"/>
            <w:bottom w:w="0" w:type="dxa"/>
            <w:right w:w="108" w:type="dxa"/>
          </w:tblCellMar>
        </w:tblPrEx>
        <w:trPr>
          <w:trHeight w:val="220" w:hRule="atLeast"/>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1408.64</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16574.69</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16574.69</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val="en-US" w:eastAsia="zh-CN"/>
              </w:rPr>
              <w:t>14621.28</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sz w:val="20"/>
                <w:szCs w:val="20"/>
                <w:highlight w:val="none"/>
                <w:lang w:val="en-US" w:eastAsia="zh-CN"/>
              </w:rPr>
              <w:t>1298.21</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15276.48</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1953.41</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lang w:val="en-US" w:eastAsia="zh-CN"/>
              </w:rPr>
              <w:t>目标1：</w:t>
            </w:r>
            <w:r>
              <w:rPr>
                <w:rFonts w:hint="eastAsia" w:ascii="仿宋_GB2312" w:hAnsi="仿宋_GB2312" w:eastAsia="仿宋_GB2312" w:cs="仿宋_GB2312"/>
                <w:color w:val="000000"/>
                <w:sz w:val="20"/>
                <w:szCs w:val="20"/>
              </w:rPr>
              <w:t>在培根铸魂抓党建上交出了旗帜鲜明、对党忠诚的“政治答卷”　</w:t>
            </w:r>
          </w:p>
          <w:p>
            <w:pPr>
              <w:widowControl/>
              <w:spacing w:line="240" w:lineRule="exact"/>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lang w:val="en-US" w:eastAsia="zh-CN"/>
              </w:rPr>
              <w:t>目标2：</w:t>
            </w:r>
            <w:r>
              <w:rPr>
                <w:rFonts w:hint="eastAsia" w:ascii="仿宋_GB2312" w:hAnsi="仿宋_GB2312" w:eastAsia="仿宋_GB2312" w:cs="仿宋_GB2312"/>
                <w:color w:val="000000"/>
                <w:sz w:val="20"/>
                <w:szCs w:val="20"/>
              </w:rPr>
              <w:t>在担当作为抗大旱上交出了有长旱情、无大旱灾的</w:t>
            </w:r>
            <w:r>
              <w:rPr>
                <w:rFonts w:hint="eastAsia" w:ascii="仿宋_GB2312" w:hAnsi="仿宋_GB2312" w:eastAsia="仿宋_GB2312" w:cs="仿宋_GB2312"/>
                <w:color w:val="000000"/>
                <w:sz w:val="20"/>
                <w:szCs w:val="20"/>
                <w:lang w:val="zh-CN"/>
              </w:rPr>
              <w:t>“历史</w:t>
            </w:r>
            <w:r>
              <w:rPr>
                <w:rFonts w:hint="eastAsia" w:ascii="仿宋_GB2312" w:hAnsi="仿宋_GB2312" w:eastAsia="仿宋_GB2312" w:cs="仿宋_GB2312"/>
                <w:color w:val="000000"/>
                <w:sz w:val="20"/>
                <w:szCs w:val="20"/>
              </w:rPr>
              <w:t>答卷”</w:t>
            </w:r>
          </w:p>
          <w:p>
            <w:pPr>
              <w:widowControl/>
              <w:spacing w:line="240" w:lineRule="exact"/>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lang w:val="en-US" w:eastAsia="zh-CN"/>
              </w:rPr>
              <w:t>目标3：</w:t>
            </w:r>
            <w:r>
              <w:rPr>
                <w:rFonts w:hint="eastAsia" w:ascii="仿宋_GB2312" w:hAnsi="仿宋_GB2312" w:eastAsia="仿宋_GB2312" w:cs="仿宋_GB2312"/>
                <w:color w:val="000000"/>
                <w:sz w:val="20"/>
                <w:szCs w:val="20"/>
              </w:rPr>
              <w:t>在服务经济稳大盘上交出了增效赋能、提质加速的“发展答卷”</w:t>
            </w:r>
          </w:p>
          <w:p>
            <w:pPr>
              <w:widowControl/>
              <w:spacing w:line="240" w:lineRule="exact"/>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目标</w:t>
            </w:r>
            <w:r>
              <w:rPr>
                <w:rFonts w:hint="eastAsia" w:ascii="仿宋_GB2312" w:hAnsi="仿宋_GB2312" w:eastAsia="仿宋_GB2312" w:cs="仿宋_GB2312"/>
                <w:color w:val="000000"/>
                <w:sz w:val="20"/>
                <w:szCs w:val="20"/>
                <w:lang w:val="en-US" w:eastAsia="zh-CN"/>
              </w:rPr>
              <w:t>4</w:t>
            </w:r>
            <w:r>
              <w:rPr>
                <w:rFonts w:hint="eastAsia" w:ascii="仿宋_GB2312" w:hAnsi="仿宋_GB2312" w:eastAsia="仿宋_GB2312" w:cs="仿宋_GB2312"/>
                <w:color w:val="000000"/>
                <w:sz w:val="20"/>
                <w:szCs w:val="20"/>
              </w:rPr>
              <w:t>.加快推进中型灌区节水配套改造和平原水库除险加固工程</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目标</w:t>
            </w:r>
            <w:r>
              <w:rPr>
                <w:rFonts w:hint="eastAsia" w:ascii="仿宋_GB2312" w:hAnsi="仿宋_GB2312" w:eastAsia="仿宋_GB2312" w:cs="仿宋_GB2312"/>
                <w:color w:val="000000"/>
                <w:sz w:val="20"/>
                <w:szCs w:val="20"/>
                <w:lang w:val="en-US" w:eastAsia="zh-CN"/>
              </w:rPr>
              <w:t>5</w:t>
            </w:r>
            <w:r>
              <w:rPr>
                <w:rFonts w:hint="eastAsia" w:ascii="仿宋_GB2312" w:hAnsi="仿宋_GB2312" w:eastAsia="仿宋_GB2312" w:cs="仿宋_GB2312"/>
                <w:color w:val="000000"/>
                <w:sz w:val="20"/>
                <w:szCs w:val="20"/>
              </w:rPr>
              <w:t>.深入推进河长制工作和水政水资源管理工作</w:t>
            </w:r>
          </w:p>
        </w:tc>
        <w:tc>
          <w:tcPr>
            <w:tcW w:w="4304" w:type="dxa"/>
            <w:gridSpan w:val="4"/>
            <w:tcBorders>
              <w:top w:val="single" w:color="auto" w:sz="4" w:space="0"/>
              <w:left w:val="nil"/>
              <w:bottom w:val="single" w:color="auto" w:sz="4" w:space="0"/>
              <w:right w:val="single" w:color="auto" w:sz="4" w:space="0"/>
            </w:tcBorders>
            <w:noWrap w:val="0"/>
            <w:vAlign w:val="top"/>
          </w:tcPr>
          <w:p>
            <w:pPr>
              <w:widowControl/>
              <w:spacing w:line="240" w:lineRule="exact"/>
              <w:ind w:firstLine="200" w:firstLineChars="100"/>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lang w:val="en-US" w:eastAsia="zh-CN"/>
              </w:rPr>
              <w:t>完成任务1：</w:t>
            </w:r>
            <w:r>
              <w:rPr>
                <w:rFonts w:hint="eastAsia" w:ascii="仿宋_GB2312" w:hAnsi="仿宋_GB2312" w:eastAsia="仿宋_GB2312" w:cs="仿宋_GB2312"/>
                <w:color w:val="000000"/>
                <w:sz w:val="20"/>
                <w:szCs w:val="20"/>
              </w:rPr>
              <w:t>针对2022年以来的连续干旱，全力抗御今年春夏秋连旱。年初协调长江补水一期工程、君山垸补水工程从长江补水2700万方，在华容河罐头尖临时架设移动水泵应急补水60万方，确保全区春耕保种安全。在7、8月高温干旱期间，启用泵站43处、抗旱设备779台套，分别在洞庭湖、藕池河架设移动水泵、筑坝拦蓄水源，日均向钱南垸补水7.2万方；在许市镇铺设压力输水管道，确保1300亩农田灌溉用水需求。</w:t>
            </w:r>
          </w:p>
          <w:p>
            <w:pPr>
              <w:widowControl/>
              <w:spacing w:line="240" w:lineRule="exact"/>
              <w:ind w:firstLine="200" w:firstLineChars="100"/>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lang w:val="en-US" w:eastAsia="zh-CN"/>
              </w:rPr>
              <w:t>完成任务2：</w:t>
            </w:r>
            <w:r>
              <w:rPr>
                <w:rFonts w:hint="eastAsia" w:ascii="仿宋_GB2312" w:hAnsi="仿宋_GB2312" w:eastAsia="仿宋_GB2312" w:cs="仿宋_GB2312"/>
                <w:color w:val="000000"/>
                <w:sz w:val="20"/>
                <w:szCs w:val="20"/>
              </w:rPr>
              <w:t>调度电排机组开机110台次1025小时，排渍648万方，确保全区没有出现涝渍灾害。</w:t>
            </w:r>
          </w:p>
          <w:p>
            <w:pPr>
              <w:widowControl/>
              <w:spacing w:line="240" w:lineRule="exact"/>
              <w:ind w:firstLine="200" w:firstLineChars="100"/>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lang w:val="en-US" w:eastAsia="zh-CN"/>
              </w:rPr>
              <w:t>完成任务3：</w:t>
            </w:r>
            <w:r>
              <w:rPr>
                <w:rFonts w:hint="eastAsia" w:ascii="仿宋_GB2312" w:hAnsi="仿宋_GB2312" w:eastAsia="仿宋_GB2312" w:cs="仿宋_GB2312"/>
                <w:color w:val="000000"/>
                <w:sz w:val="20"/>
                <w:szCs w:val="20"/>
              </w:rPr>
              <w:t>全面完成了分洪闸工程、君山区十四五排涝能力建设一期工程、君山区水库除险加固工程、君山垸补水工程、农村水源工程、君山区集中供水工程和良心堡、方台湖安全区建设年度任务，共完成泵站更新改造15个、渠道护砌6800m、铺设配水管网25.7km，特别是全面完成了君山垸补水工程，改建了长沟子取水泵船和水闸6处，衬砌加固渠道3.58km，新建输水管道6.4km，有效地解决了君山垸居民生活用水、农业灌溉用水和生态补水问题。</w:t>
            </w:r>
          </w:p>
          <w:p>
            <w:pPr>
              <w:widowControl/>
              <w:spacing w:line="240" w:lineRule="exact"/>
              <w:ind w:firstLine="200" w:firstLineChars="100"/>
              <w:jc w:val="left"/>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lang w:val="en-US" w:eastAsia="zh-CN"/>
              </w:rPr>
              <w:t>完成任务4：积极对接争取了7个水利项目（非省厅打捆项目5个）纳入2024年新增国债项目清单，其中在建项目2个，新建项目5个，安排国债资金3.5802亿元，资金规模位于全市前列。</w:t>
            </w:r>
          </w:p>
          <w:p>
            <w:pPr>
              <w:widowControl/>
              <w:spacing w:line="240" w:lineRule="exact"/>
              <w:ind w:firstLine="200" w:firstLineChars="100"/>
              <w:jc w:val="left"/>
              <w:rPr>
                <w:rFonts w:hint="eastAsia"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完成任务5</w:t>
            </w:r>
            <w:r>
              <w:rPr>
                <w:rFonts w:hint="eastAsia" w:ascii="仿宋_GB2312" w:hAnsi="仿宋_GB2312" w:eastAsia="仿宋_GB2312" w:cs="仿宋_GB2312"/>
                <w:color w:val="000000"/>
                <w:sz w:val="20"/>
                <w:szCs w:val="20"/>
              </w:rPr>
              <w:t>狠抓河湖长制“四加”工作，打造“五化”特色亮点，全力攻克“洞庭清波”、图斑问题核查、“清河净滩”“清四乱”等重点难点问题</w:t>
            </w:r>
            <w:r>
              <w:rPr>
                <w:rFonts w:hint="eastAsia" w:ascii="仿宋_GB2312" w:hAnsi="仿宋_GB2312" w:eastAsia="仿宋_GB2312" w:cs="仿宋_GB2312"/>
                <w:color w:val="000000"/>
                <w:sz w:val="20"/>
                <w:szCs w:val="20"/>
                <w:lang w:eastAsia="zh-CN"/>
              </w:rPr>
              <w:t>。</w:t>
            </w:r>
          </w:p>
        </w:tc>
      </w:tr>
      <w:tr>
        <w:tblPrEx>
          <w:tblCellMar>
            <w:top w:w="0" w:type="dxa"/>
            <w:left w:w="108" w:type="dxa"/>
            <w:bottom w:w="0" w:type="dxa"/>
            <w:right w:w="108" w:type="dxa"/>
          </w:tblCellMar>
        </w:tblPrEx>
        <w:trPr>
          <w:trHeight w:val="280" w:hRule="atLeast"/>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trHeight w:val="10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lang w:val="en-US" w:eastAsia="zh-CN"/>
              </w:rPr>
              <w:t>水行政执法从严从紧</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lang w:val="en-US" w:eastAsia="zh-CN"/>
              </w:rPr>
              <w:t>重点水域共开展巡查160余次，查办案件26起。</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完成沟渠塘坝清淤工作</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整改了省河长办交办的图斑问题</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≥190个</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完成192个</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lang w:val="en-US" w:eastAsia="zh-CN"/>
              </w:rPr>
              <w:t>防汛抗旱工作</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lang w:val="en-US" w:eastAsia="zh-CN"/>
              </w:rPr>
              <w:t>　　完成防汛抗旱工作</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抓好汛情研判、监测预警、工程调度、督查督导等工作，确保了度汛安全。</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lang w:val="en-US" w:eastAsia="zh-CN"/>
              </w:rPr>
              <w:t>水利工程建设</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完成100%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lang w:val="en-US" w:eastAsia="zh-CN"/>
              </w:rPr>
              <w:t>开展安全生产专项检查30多次，排除了隐患。</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lang w:val="en-US" w:eastAsia="zh-CN"/>
              </w:rPr>
              <w:t>农村饮水安全工作</w:t>
            </w:r>
          </w:p>
        </w:tc>
        <w:tc>
          <w:tcPr>
            <w:tcW w:w="1311"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持续保持饮水安全问题动态清零，确保群众喝上干净水、放心水。</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2023年12月31日前</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2023年12月20日前</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预算控制率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保障项目顺利开展，推动水利经济持续稳步发展。</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有效推动</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保障社会稳定，加强全区水利安全保障。</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有效提升</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rPr>
              <w:t>保障全区防洪安全，打造最美长江线。</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有效加强</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0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sz w:val="20"/>
                <w:szCs w:val="20"/>
              </w:rPr>
              <w:t>加快湖堤标准化建设</w:t>
            </w:r>
          </w:p>
        </w:tc>
        <w:tc>
          <w:tcPr>
            <w:tcW w:w="13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45"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Times New Roman" w:hAnsi="Times New Roman" w:eastAsia="黑体" w:cs="Times New Roman"/>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11"/>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排渍电费</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r>
      <w:tr>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trHeight w:val="90" w:hRule="atLeast"/>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　</w:t>
            </w:r>
            <w:r>
              <w:rPr>
                <w:rFonts w:hint="eastAsia" w:ascii="仿宋_GB2312" w:hAnsi="仿宋_GB2312" w:eastAsia="仿宋_GB2312" w:cs="仿宋_GB2312"/>
                <w:color w:val="000000"/>
                <w:sz w:val="20"/>
                <w:szCs w:val="20"/>
                <w:highlight w:val="none"/>
                <w:lang w:val="en-US" w:eastAsia="zh-CN"/>
              </w:rPr>
              <w:t>区排渍电费300万，用于排渍电费，主要用于排渍、抗旱电费开支。主要目标为保证设备的稳定运行，为防汛抗旱工作对提供有效保障。</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 xml:space="preserve"> 213.3万用于排渍电费，103.7万用于抗旱电费，保证了防汛抗旱设备的正常运作，确保了各项工程的稳定运行。</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排渍、抗旱电费已全部上缴到位，进入汛期后，严格执行24小时领导带班值班制，迎战了5轮强降雨，调度电排机埠开机665台次，排渍6485小时，确保全区没有出现涝渍灾害。</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非汛期、旱期情况下排渍电费量4000000千瓦时</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排渍口应急检测次数28次</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≥28次</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已完成</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50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电排实际用电量/正常工作用电量95%</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　　≥95%</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98%</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社区共同参与</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年度各项任务完成期限</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2023年12月31日前</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2023年12月20日前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预算控制率</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保护估计降低周围水旱灾害经济损失</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有效推动</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保护周围民生免受水旱影响</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有效提升</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rPr>
              <w:t>在排渍时不影响生态环境</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不影响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4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加快湖堤标准化建设</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line="600" w:lineRule="exact"/>
        <w:jc w:val="left"/>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p>
    <w:p>
      <w:pPr>
        <w:widowControl/>
        <w:spacing w:line="600" w:lineRule="exact"/>
        <w:ind w:firstLine="1800" w:firstLineChars="500"/>
        <w:jc w:val="both"/>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11"/>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防汛备汛</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180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　区防汛备汛资金180万，用于防汛备汛工作，主要用于度汛安全隐患整治、预防性试验投入、抗旱设备设施维修、气象服务等。主要目标为完成度汛安全隐患整治，保证我区水利工程的正常运行，保障人民的生命财产安全。</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度汛安全隐患整治投入70.66万元。其中，20万用于水产养殖场区段安全隐患整治；10万用于君山垸电排总站穆湖铺电排箱涵整修；10万用于钱北垸水委会钱口电排出水渠滑坡整修；10万用于建设垸水委会西干渠脱坡安全隐患整治；8万用于建设垸电排总站广兴电排前池护坡安全隐患整治；4.66万用于采桑湖防汛仓库安全隐患整治；5万用于钱南垸水委会小团洲垸防汛仓库安全隐患整治；3万用于东闸防汛仓库安全隐患整治。</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预防性试验投入43.34万元。其中，对所有高低压设备、接地装置、励磁、继电保护、起重及整组试验投入情况：钱粮湖垸电排总站悦来河电排3万元、钱粮湖垸电排总站七0泵站3.9万元、建设垸电排总站广兴洲3万元、君山垸电排总站穆湖铺电排3万元、君山垸电排总站七0泵站1.8万元、建设西垸水委会友谊电排3万元；电排配套设备及耗件采购情况：建设西垸水委会17.84万元、君山垸电排总站6.84万元、建设垸电排总站4万元、钱粮湖垸电排总站5万元、建设西垸水委会2万元；建设西垸水委会3KV线路砍青扫障6万元。</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抗旱设备采购及维修20万元。对抗旱设备设施维修及耗件采购情况：钱南垸水委会4万元、钱北垸水委会4万元、君山垸水委会4万元、建设垸水委会4万元、建设西垸水委会4万元。</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区水旱灾害防御事务中心水位复核10万元；防汛抗旱应急演练8万元；气象服务及人工增雨服务10万元；气象预测预报系统建设10万元；小型泵站管理与保护范围划界8万元。</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资金完成情况：已开展人工增雨23次，发射火箭弹33枚、高射炮82发，累计增加雨量29毫米，有效缓和了部分地区的土壤墒情。君山区灌区、华洪运河、友谊电排、广兴电排水利工程维修养护，防汛仓库安全隐患整治，抗旱设备设施维修等任务已全部完成。</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巡堤一天3次</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≥3次/天</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65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抗旱设备设施维修维护</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50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防止出现险情</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　=0次</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=0次</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保证安全隐患整治资金使用得当</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2023年12月31日前</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2023年12月20日前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预算控制率</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降低周围水旱灾害损失</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有效推动</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1418"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保护垸内人民群众财产安全</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有效提升</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不影响生态环境</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不影响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4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加快湖堤标准化建设</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line="600" w:lineRule="exact"/>
        <w:jc w:val="left"/>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p>
      <w:pPr>
        <w:widowControl/>
        <w:spacing w:line="600" w:lineRule="exact"/>
        <w:jc w:val="left"/>
        <w:rPr>
          <w:rFonts w:hint="default" w:ascii="Times New Roman" w:hAnsi="Times New Roman" w:eastAsia="仿宋_GB2312" w:cs="Times New Roman"/>
          <w:sz w:val="22"/>
          <w:szCs w:val="22"/>
          <w:highlight w:val="none"/>
        </w:rPr>
      </w:pPr>
    </w:p>
    <w:p>
      <w:pPr>
        <w:pStyle w:val="10"/>
        <w:rPr>
          <w:rFonts w:hint="default" w:ascii="Times New Roman" w:hAnsi="Times New Roman" w:eastAsia="仿宋_GB2312" w:cs="Times New Roman"/>
          <w:sz w:val="22"/>
          <w:szCs w:val="22"/>
          <w:highlight w:val="none"/>
        </w:rPr>
      </w:pPr>
    </w:p>
    <w:p>
      <w:pPr>
        <w:pStyle w:val="10"/>
        <w:rPr>
          <w:rFonts w:hint="default" w:ascii="Times New Roman" w:hAnsi="Times New Roman" w:eastAsia="仿宋_GB2312" w:cs="Times New Roman"/>
          <w:sz w:val="22"/>
          <w:szCs w:val="22"/>
          <w:highlight w:val="none"/>
        </w:rPr>
      </w:pPr>
    </w:p>
    <w:p>
      <w:pPr>
        <w:pStyle w:val="10"/>
        <w:ind w:left="0" w:leftChars="0" w:firstLine="0" w:firstLineChars="0"/>
        <w:rPr>
          <w:rFonts w:hint="eastAsia" w:ascii="Times New Roman" w:hAnsi="Times New Roman" w:eastAsia="仿宋_GB2312" w:cs="Times New Roman"/>
          <w:sz w:val="22"/>
          <w:szCs w:val="22"/>
          <w:highlight w:val="none"/>
          <w:lang w:val="en-US" w:eastAsia="zh-CN"/>
        </w:rPr>
      </w:pPr>
    </w:p>
    <w:p>
      <w:pPr>
        <w:widowControl/>
        <w:spacing w:line="600" w:lineRule="exact"/>
        <w:ind w:firstLine="1800" w:firstLineChars="500"/>
        <w:jc w:val="both"/>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11"/>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防汛抗旱</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firstLine="400" w:firstLineChars="200"/>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　区防汛抗旱资金90万，用于防汛工作，主要用于防汛抗旱工作生活基本开支、设备稳定运行等。主要目标为保证设备的稳定运行，保障人员的日常生活。</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firstLine="400" w:firstLineChars="200"/>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22.3万用于防汛期间食堂开支；1.4万用于采购水质检测设备、农银中心文印费等；3.9万用于河长办宣传资料制作费；5.4万用于扶贫工作支出；2万用于安装</w:t>
            </w:r>
            <w:r>
              <w:rPr>
                <w:rFonts w:hint="default" w:ascii="仿宋_GB2312" w:hAnsi="仿宋_GB2312" w:eastAsia="仿宋_GB2312" w:cs="仿宋_GB2312"/>
                <w:color w:val="000000"/>
                <w:sz w:val="20"/>
                <w:szCs w:val="20"/>
                <w:highlight w:val="none"/>
                <w:lang w:val="en-US" w:eastAsia="zh-CN"/>
              </w:rPr>
              <w:t>地下车库门警系统</w:t>
            </w:r>
            <w:r>
              <w:rPr>
                <w:rFonts w:hint="eastAsia" w:ascii="仿宋_GB2312" w:hAnsi="仿宋_GB2312" w:eastAsia="仿宋_GB2312" w:cs="仿宋_GB2312"/>
                <w:color w:val="000000"/>
                <w:sz w:val="20"/>
                <w:szCs w:val="20"/>
                <w:highlight w:val="none"/>
                <w:lang w:val="en-US" w:eastAsia="zh-CN"/>
              </w:rPr>
              <w:t>；2.3万用于办公楼日常维修及环卫费。17万用于工会经费、安保人员工资及社保、实习工资、安全生产津贴等；4.4万用于购置电脑、空调、电池、办公室杯子等；2.5万付2022年度报刊费、杂志订阅等；1.2万付2022年度财务委托费用；1.3万付防汛网络费；1.2万付机关电视收视费等。</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巡堤一天3次</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≥3次/天</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65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抗旱设备设施维修维护</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50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防止出现险情</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　=0次</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=0次</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保证防汛抗旱资金使用得当</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2023年12月31日前</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2023年12月20日前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预算控制率</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降低周围水旱灾害损失</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有效推动</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1418"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保护垸内人民群众财产安全</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有效提升</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不影响生态环境</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不影响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4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加快湖堤标准化建设</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line="600" w:lineRule="exact"/>
        <w:jc w:val="left"/>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p>
      <w:pPr>
        <w:widowControl/>
        <w:spacing w:line="600" w:lineRule="exact"/>
        <w:jc w:val="left"/>
        <w:rPr>
          <w:rFonts w:hint="default" w:ascii="Times New Roman" w:hAnsi="Times New Roman" w:eastAsia="仿宋_GB2312" w:cs="Times New Roman"/>
          <w:sz w:val="22"/>
          <w:szCs w:val="22"/>
          <w:highlight w:val="none"/>
        </w:rPr>
      </w:pPr>
    </w:p>
    <w:p>
      <w:pPr>
        <w:widowControl/>
        <w:spacing w:line="600" w:lineRule="exact"/>
        <w:ind w:firstLine="1100" w:firstLineChars="500"/>
        <w:jc w:val="both"/>
        <w:rPr>
          <w:rFonts w:hint="eastAsia" w:ascii="方正小标宋简体" w:hAnsi="方正小标宋简体" w:eastAsia="方正小标宋简体" w:cs="方正小标宋简体"/>
          <w:color w:val="000000"/>
          <w:sz w:val="36"/>
          <w:szCs w:val="36"/>
          <w:highlight w:val="none"/>
        </w:rPr>
      </w:pPr>
      <w:r>
        <w:rPr>
          <w:rFonts w:hint="default" w:ascii="Times New Roman" w:hAnsi="Times New Roman" w:eastAsia="仿宋_GB2312" w:cs="Times New Roman"/>
          <w:sz w:val="22"/>
          <w:szCs w:val="22"/>
          <w:highlight w:val="none"/>
        </w:rPr>
        <w:br w:type="page"/>
      </w: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11"/>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水利建设资金</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293</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293</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293</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293</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293</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293</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 xml:space="preserve">   用于水利建设项目，主要用于水利建设、安全隐患整修、水闸确权划界、泵站管理与保护范围划界等。主要目标为保证我区水利工程的正常运行，确保安全度汛。</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4253" w:type="dxa"/>
            <w:gridSpan w:val="4"/>
            <w:tcBorders>
              <w:top w:val="single" w:color="auto" w:sz="4" w:space="0"/>
              <w:left w:val="nil"/>
              <w:bottom w:val="single" w:color="auto" w:sz="4" w:space="0"/>
              <w:right w:val="single" w:color="auto" w:sz="4" w:space="0"/>
            </w:tcBorders>
            <w:noWrap w:val="0"/>
            <w:vAlign w:val="center"/>
          </w:tcPr>
          <w:p>
            <w:pPr>
              <w:pStyle w:val="10"/>
              <w:keepNext w:val="0"/>
              <w:keepLines w:val="0"/>
              <w:pageBreakBefore w:val="0"/>
              <w:widowControl w:val="0"/>
              <w:kinsoku/>
              <w:wordWrap/>
              <w:overflowPunct/>
              <w:topLinePunct w:val="0"/>
              <w:autoSpaceDE/>
              <w:autoSpaceDN/>
              <w:bidi w:val="0"/>
              <w:adjustRightInd/>
              <w:snapToGrid/>
              <w:ind w:left="0" w:leftChars="0" w:firstLine="400" w:firstLineChars="200"/>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完成小型水闸确权划界；小型泵站管理与保护范围划界；君山垸水委会南堤路面恢复；长江干堤荆江门段、洪水港段岸线护坡整修；团北闸、友谊闸除险加固；友谊堤脱坡整修；华容河堤小团洲垸段堤顶道路整修；广兴电排消力池整修等，防汛抗旱工作得到有利保障。</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沟渠安全隐患整修</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≥4个</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完成4个</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65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水利建设项目按时完成</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50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确保安全度汛</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　100%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保证水利建设资金使用得当</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2023年12月31日前</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2023年12月20日前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预算控制率</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根据每年汛期隐患安全影响保守估计减少1000万元</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有效推动</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1418"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通过水利设施修复消除安全隐患</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有效提升</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不影响生态环境</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不影响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4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加快湖堤标准化建设</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line="600" w:lineRule="exact"/>
        <w:jc w:val="left"/>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p>
      <w:pPr>
        <w:widowControl/>
        <w:spacing w:line="600" w:lineRule="exact"/>
        <w:jc w:val="left"/>
        <w:rPr>
          <w:rFonts w:hint="default" w:ascii="Times New Roman" w:hAnsi="Times New Roman" w:eastAsia="仿宋_GB2312" w:cs="Times New Roman"/>
          <w:sz w:val="22"/>
          <w:szCs w:val="22"/>
          <w:highlight w:val="none"/>
        </w:rPr>
      </w:pPr>
    </w:p>
    <w:p>
      <w:pPr>
        <w:widowControl/>
        <w:spacing w:line="600" w:lineRule="exact"/>
        <w:ind w:firstLine="1800" w:firstLineChars="500"/>
        <w:jc w:val="both"/>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11"/>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农村安全饮水水厂管护</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岳阳市君山区水利局</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ind w:firstLine="643"/>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 xml:space="preserve">   区农村供水工程维修养护资金为50万，用于我区5个千吨万人农村供水工程。主要内容为用于农村供水工程的设备维修、管网维修、抢修、管护，日常水质消毒、水质检测。主要目标为保障我区农村供水工程的正常运行，确保水质合格，确保人民群众饮水安全。</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4253" w:type="dxa"/>
            <w:gridSpan w:val="4"/>
            <w:tcBorders>
              <w:top w:val="single" w:color="auto" w:sz="4" w:space="0"/>
              <w:left w:val="nil"/>
              <w:bottom w:val="single" w:color="auto" w:sz="4" w:space="0"/>
              <w:right w:val="single" w:color="auto" w:sz="4" w:space="0"/>
            </w:tcBorders>
            <w:noWrap w:val="0"/>
            <w:vAlign w:val="center"/>
          </w:tcPr>
          <w:p>
            <w:pPr>
              <w:pStyle w:val="7"/>
              <w:ind w:left="199" w:leftChars="71" w:firstLine="472" w:firstLineChars="236"/>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kern w:val="0"/>
                <w:sz w:val="20"/>
                <w:szCs w:val="20"/>
                <w:highlight w:val="none"/>
                <w:lang w:val="en-US" w:eastAsia="zh-CN" w:bidi="ar-SA"/>
              </w:rPr>
              <w:t>截至2023年12月30日，5个水厂维修护全部完成，共计完成设备维修27台次、管网维修565处、管网抢修2340米及全年消毒、检测工作。我区农村供水工程2022全年度水质合格率100%，全年度供水正常稳定，未发生规模性断水事故，供水保证率100%。经验收合格率100%，无历史遗留问题。</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农村人口自来水使用率97.3%</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≥97.3%</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已达到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65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农村供水工程的设备维修</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≥20次</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共计完成设备维修27台次</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65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管网维修管网维修</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≥500处</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管网维修565处、管网抢修2340米及全年消毒、检测工作</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trHeight w:val="505"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确保人民群众饮水安全</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lang w:val="en-US" w:eastAsia="zh-CN"/>
              </w:rPr>
              <w:t>　100%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保障我区农村供水工程的正常运行</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2023年12月31日前</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2023年12月20日前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预算控制率</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农村供水保障水平，为区域经济发展提供保障</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有效推动</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1418"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保护垸内人民群众财产安全</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有效提升</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不影响生态环境</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13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不影响</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4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加快湖堤标准化建设</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bookmarkStart w:id="0" w:name="_GoBack"/>
            <w:bookmarkEnd w:id="0"/>
          </w:p>
        </w:tc>
        <w:tc>
          <w:tcPr>
            <w:tcW w:w="141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82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line="600" w:lineRule="exact"/>
        <w:jc w:val="left"/>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p>
      <w:pPr>
        <w:widowControl/>
        <w:spacing w:line="600" w:lineRule="exact"/>
        <w:jc w:val="left"/>
        <w:rPr>
          <w:rFonts w:hint="default" w:ascii="Times New Roman" w:hAnsi="Times New Roman" w:eastAsia="仿宋_GB2312" w:cs="Times New Roman"/>
          <w:sz w:val="22"/>
          <w:szCs w:val="22"/>
          <w:highlight w:val="none"/>
        </w:rPr>
      </w:pPr>
    </w:p>
    <w:p>
      <w:pPr>
        <w:widowControl/>
        <w:spacing w:line="600" w:lineRule="exact"/>
        <w:jc w:val="left"/>
        <w:rPr>
          <w:rFonts w:hint="default" w:ascii="Times New Roman" w:hAnsi="Times New Roman" w:eastAsia="仿宋_GB2312" w:cs="Times New Roman"/>
          <w:sz w:val="22"/>
          <w:szCs w:val="22"/>
          <w:highlight w:val="none"/>
        </w:rPr>
      </w:pPr>
    </w:p>
    <w:p>
      <w:pPr>
        <w:widowControl/>
        <w:spacing w:line="600" w:lineRule="exact"/>
        <w:jc w:val="left"/>
        <w:rPr>
          <w:rFonts w:hint="default" w:ascii="Times New Roman" w:hAnsi="Times New Roman" w:eastAsia="仿宋_GB2312" w:cs="Times New Roman"/>
          <w:sz w:val="22"/>
          <w:szCs w:val="22"/>
          <w:highlight w:val="none"/>
        </w:rPr>
      </w:pPr>
    </w:p>
    <w:p>
      <w:pPr>
        <w:widowControl/>
        <w:spacing w:line="600" w:lineRule="exact"/>
        <w:jc w:val="left"/>
        <w:rPr>
          <w:rFonts w:hint="eastAsia" w:ascii="黑体" w:hAnsi="黑体" w:eastAsia="黑体" w:cs="黑体"/>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11"/>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6"/>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6"/>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98</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9E57AF"/>
    <w:multiLevelType w:val="singleLevel"/>
    <w:tmpl w:val="C19E57AF"/>
    <w:lvl w:ilvl="0" w:tentative="0">
      <w:start w:val="2"/>
      <w:numFmt w:val="chineseCounting"/>
      <w:suff w:val="nothing"/>
      <w:lvlText w:val="（%1）"/>
      <w:lvlJc w:val="left"/>
      <w:pPr>
        <w:ind w:left="-360"/>
      </w:pPr>
      <w:rPr>
        <w:rFonts w:hint="eastAsia" w:ascii="楷体" w:hAnsi="楷体" w:eastAsia="楷体" w:cs="楷体"/>
        <w:sz w:val="32"/>
        <w:szCs w:val="32"/>
      </w:rPr>
    </w:lvl>
  </w:abstractNum>
  <w:abstractNum w:abstractNumId="1">
    <w:nsid w:val="1BCD131B"/>
    <w:multiLevelType w:val="singleLevel"/>
    <w:tmpl w:val="1BCD131B"/>
    <w:lvl w:ilvl="0" w:tentative="0">
      <w:start w:val="8"/>
      <w:numFmt w:val="chineseCounting"/>
      <w:suff w:val="nothing"/>
      <w:lvlText w:val="%1、"/>
      <w:lvlJc w:val="left"/>
      <w:rPr>
        <w:rFonts w:hint="eastAsia"/>
      </w:rPr>
    </w:lvl>
  </w:abstractNum>
  <w:abstractNum w:abstractNumId="2">
    <w:nsid w:val="1DD36296"/>
    <w:multiLevelType w:val="singleLevel"/>
    <w:tmpl w:val="1DD36296"/>
    <w:lvl w:ilvl="0" w:tentative="0">
      <w:start w:val="1"/>
      <w:numFmt w:val="chineseCounting"/>
      <w:suff w:val="nothing"/>
      <w:lvlText w:val="%1、"/>
      <w:lvlJc w:val="left"/>
      <w:rPr>
        <w:rFonts w:hint="eastAsia"/>
      </w:rPr>
    </w:lvl>
  </w:abstractNum>
  <w:abstractNum w:abstractNumId="3">
    <w:nsid w:val="59CC8B3D"/>
    <w:multiLevelType w:val="singleLevel"/>
    <w:tmpl w:val="59CC8B3D"/>
    <w:lvl w:ilvl="0" w:tentative="0">
      <w:start w:val="1"/>
      <w:numFmt w:val="chineseCounting"/>
      <w:suff w:val="nothing"/>
      <w:lvlText w:val="（%1）"/>
      <w:lvlJc w:val="left"/>
      <w:rPr>
        <w:rFonts w:hint="eastAsia"/>
      </w:rPr>
    </w:lvl>
  </w:abstractNum>
  <w:abstractNum w:abstractNumId="4">
    <w:nsid w:val="5DDF8822"/>
    <w:multiLevelType w:val="singleLevel"/>
    <w:tmpl w:val="5DDF8822"/>
    <w:lvl w:ilvl="0" w:tentative="0">
      <w:start w:val="1"/>
      <w:numFmt w:val="decimal"/>
      <w:suff w:val="nothing"/>
      <w:lvlText w:val="%1、"/>
      <w:lvlJc w:val="left"/>
    </w:lvl>
  </w:abstractNum>
  <w:abstractNum w:abstractNumId="5">
    <w:nsid w:val="72666873"/>
    <w:multiLevelType w:val="singleLevel"/>
    <w:tmpl w:val="72666873"/>
    <w:lvl w:ilvl="0" w:tentative="0">
      <w:start w:val="4"/>
      <w:numFmt w:val="chineseCounting"/>
      <w:suff w:val="nothing"/>
      <w:lvlText w:val="%1、"/>
      <w:lvlJc w:val="left"/>
      <w:rPr>
        <w:rFonts w:hint="eastAsia"/>
      </w:rPr>
    </w:lvl>
  </w:abstractNum>
  <w:num w:numId="1">
    <w:abstractNumId w:val="2"/>
  </w:num>
  <w:num w:numId="2">
    <w:abstractNumId w:val="3"/>
  </w:num>
  <w:num w:numId="3">
    <w:abstractNumId w:val="5"/>
  </w:num>
  <w:num w:numId="4">
    <w:abstractNumId w:val="0"/>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wMmNkMDcwZjcwYzc0YmYxNGM2ODk0OTU4ZWM3ZDYifQ=="/>
  </w:docVars>
  <w:rsids>
    <w:rsidRoot w:val="59886344"/>
    <w:rsid w:val="02DA1B72"/>
    <w:rsid w:val="09570789"/>
    <w:rsid w:val="0A467A21"/>
    <w:rsid w:val="0BB97AC8"/>
    <w:rsid w:val="0E710FB3"/>
    <w:rsid w:val="1356560D"/>
    <w:rsid w:val="18540567"/>
    <w:rsid w:val="1AB01AA7"/>
    <w:rsid w:val="1AD81A1B"/>
    <w:rsid w:val="1CA0631C"/>
    <w:rsid w:val="1CB462C1"/>
    <w:rsid w:val="1F38206B"/>
    <w:rsid w:val="22220C72"/>
    <w:rsid w:val="274176DD"/>
    <w:rsid w:val="2CB52ADF"/>
    <w:rsid w:val="2D7A1A9E"/>
    <w:rsid w:val="2E114AFB"/>
    <w:rsid w:val="30E450F8"/>
    <w:rsid w:val="338866DE"/>
    <w:rsid w:val="3518051D"/>
    <w:rsid w:val="36C93C0A"/>
    <w:rsid w:val="3A0164D6"/>
    <w:rsid w:val="3CAC7C7D"/>
    <w:rsid w:val="3CE26112"/>
    <w:rsid w:val="3DD57CCC"/>
    <w:rsid w:val="3F57761E"/>
    <w:rsid w:val="48992A55"/>
    <w:rsid w:val="49C65963"/>
    <w:rsid w:val="4B5B6BCB"/>
    <w:rsid w:val="52CE75CF"/>
    <w:rsid w:val="55004DFD"/>
    <w:rsid w:val="58670CF0"/>
    <w:rsid w:val="597B2CA5"/>
    <w:rsid w:val="59886344"/>
    <w:rsid w:val="5A5A0E47"/>
    <w:rsid w:val="5C5A0BD2"/>
    <w:rsid w:val="5CCD6BA5"/>
    <w:rsid w:val="5CF9234B"/>
    <w:rsid w:val="5D786C85"/>
    <w:rsid w:val="5E886B68"/>
    <w:rsid w:val="5F246552"/>
    <w:rsid w:val="6516562F"/>
    <w:rsid w:val="656A5111"/>
    <w:rsid w:val="6684666A"/>
    <w:rsid w:val="66954A48"/>
    <w:rsid w:val="66D77B48"/>
    <w:rsid w:val="68193552"/>
    <w:rsid w:val="6A6D7AAB"/>
    <w:rsid w:val="6AD037C8"/>
    <w:rsid w:val="70C62A07"/>
    <w:rsid w:val="73691554"/>
    <w:rsid w:val="76125D2B"/>
    <w:rsid w:val="7A050594"/>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caption"/>
    <w:basedOn w:val="1"/>
    <w:next w:val="1"/>
    <w:qFormat/>
    <w:uiPriority w:val="0"/>
    <w:pPr>
      <w:spacing w:line="600" w:lineRule="exact"/>
      <w:ind w:firstLine="880" w:firstLineChars="200"/>
    </w:pPr>
    <w:rPr>
      <w:rFonts w:ascii="Cambria" w:hAnsi="Cambria" w:eastAsia="黑体" w:cs="Times New Roman"/>
      <w:sz w:val="20"/>
      <w:szCs w:val="24"/>
    </w:rPr>
  </w:style>
  <w:style w:type="paragraph" w:styleId="3">
    <w:name w:val="Body Text"/>
    <w:basedOn w:val="1"/>
    <w:next w:val="4"/>
    <w:semiHidden/>
    <w:qFormat/>
    <w:uiPriority w:val="0"/>
    <w:rPr>
      <w:rFonts w:ascii="仿宋" w:hAnsi="仿宋" w:eastAsia="仿宋" w:cs="仿宋"/>
      <w:sz w:val="31"/>
      <w:szCs w:val="31"/>
      <w:lang w:val="en-US" w:eastAsia="en-US" w:bidi="ar-SA"/>
    </w:rPr>
  </w:style>
  <w:style w:type="paragraph" w:customStyle="1" w:styleId="4">
    <w:name w:val="正文首行缩进1"/>
    <w:basedOn w:val="1"/>
    <w:qFormat/>
    <w:uiPriority w:val="0"/>
    <w:pPr>
      <w:spacing w:after="120"/>
      <w:ind w:firstLine="420" w:firstLineChars="100"/>
    </w:pPr>
  </w:style>
  <w:style w:type="paragraph" w:styleId="5">
    <w:name w:val="Body Text Indent"/>
    <w:basedOn w:val="1"/>
    <w:next w:val="6"/>
    <w:qFormat/>
    <w:uiPriority w:val="0"/>
    <w:pPr>
      <w:spacing w:after="120"/>
      <w:ind w:left="420" w:leftChars="200"/>
    </w:pPr>
    <w:rPr>
      <w:rFonts w:eastAsia="宋体" w:cs="Times New Roman"/>
    </w:rPr>
  </w:style>
  <w:style w:type="paragraph" w:customStyle="1" w:styleId="6">
    <w:name w:val="font5"/>
    <w:basedOn w:val="1"/>
    <w:qFormat/>
    <w:uiPriority w:val="0"/>
    <w:pPr>
      <w:widowControl/>
      <w:spacing w:before="100" w:beforeLines="0" w:beforeAutospacing="1" w:after="100" w:afterLines="0" w:afterAutospacing="1"/>
      <w:jc w:val="left"/>
    </w:pPr>
    <w:rPr>
      <w:rFonts w:hint="eastAsia" w:ascii="宋体" w:hAnsi="宋体"/>
      <w:kern w:val="0"/>
      <w:sz w:val="18"/>
      <w:szCs w:val="18"/>
    </w:rPr>
  </w:style>
  <w:style w:type="paragraph" w:styleId="7">
    <w:name w:val="table of figures"/>
    <w:basedOn w:val="1"/>
    <w:next w:val="1"/>
    <w:unhideWhenUsed/>
    <w:uiPriority w:val="99"/>
    <w:pPr>
      <w:spacing w:before="100" w:beforeAutospacing="1" w:after="100" w:afterAutospacing="1"/>
      <w:ind w:left="200" w:leftChars="200" w:hanging="200" w:hangingChars="200"/>
    </w:p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w:basedOn w:val="3"/>
    <w:unhideWhenUsed/>
    <w:qFormat/>
    <w:uiPriority w:val="99"/>
    <w:pPr>
      <w:spacing w:line="600" w:lineRule="exact"/>
      <w:ind w:firstLine="200" w:firstLineChars="200"/>
    </w:pPr>
    <w:rPr>
      <w:rFonts w:eastAsia="仿宋_GB2312"/>
      <w:sz w:val="24"/>
      <w:szCs w:val="32"/>
    </w:rPr>
  </w:style>
  <w:style w:type="paragraph" w:styleId="10">
    <w:name w:val="Body Text First Indent 2"/>
    <w:basedOn w:val="5"/>
    <w:uiPriority w:val="0"/>
    <w:pPr>
      <w:spacing w:before="100" w:beforeAutospacing="1" w:after="0"/>
      <w:ind w:left="0" w:firstLine="420" w:firstLineChars="200"/>
    </w:pPr>
    <w:rPr>
      <w:rFonts w:ascii="Calibri" w:hAnsi="Calibri"/>
    </w:rPr>
  </w:style>
  <w:style w:type="paragraph" w:customStyle="1" w:styleId="13">
    <w:name w:val="列出段落1"/>
    <w:basedOn w:val="1"/>
    <w:qFormat/>
    <w:uiPriority w:val="34"/>
    <w:pPr>
      <w:ind w:firstLine="420" w:firstLineChars="200"/>
    </w:pPr>
  </w:style>
  <w:style w:type="paragraph" w:styleId="14">
    <w:name w:val="List Paragraph"/>
    <w:basedOn w:val="1"/>
    <w:qFormat/>
    <w:uiPriority w:val="99"/>
    <w:pPr>
      <w:ind w:firstLine="420" w:firstLineChars="200"/>
    </w:pPr>
    <w:rPr>
      <w:rFonts w:ascii="Calibri" w:hAnsi="Calibri"/>
      <w:szCs w:val="22"/>
    </w:rPr>
  </w:style>
  <w:style w:type="paragraph" w:customStyle="1" w:styleId="15">
    <w:name w:val="Normal_0"/>
    <w:unhideWhenUsed/>
    <w:qFormat/>
    <w:uiPriority w:val="0"/>
    <w:pPr>
      <w:spacing w:before="120" w:beforeLines="0" w:after="240" w:afterLines="0"/>
      <w:jc w:val="both"/>
    </w:pPr>
    <w:rPr>
      <w:rFonts w:hint="default" w:ascii="Calibri" w:hAnsi="Calibri" w:eastAsia="宋体" w:cs="Times New Roman"/>
      <w:sz w:val="22"/>
      <w:szCs w:val="24"/>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23</Pages>
  <Words>10848</Words>
  <Characters>12042</Characters>
  <Lines>0</Lines>
  <Paragraphs>0</Paragraphs>
  <TotalTime>5</TotalTime>
  <ScaleCrop>false</ScaleCrop>
  <LinksUpToDate>false</LinksUpToDate>
  <CharactersWithSpaces>12657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甜甜妈</cp:lastModifiedBy>
  <dcterms:modified xsi:type="dcterms:W3CDTF">2024-07-16T03:24:09Z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0BDAFD84E93F41E789BE8F60CD2B380B_13</vt:lpwstr>
  </property>
</Properties>
</file>