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BDD4E9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4A712788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2D0A2C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岳阳市君山区乡镇财政服务中心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421139E2">
      <w:pPr>
        <w:jc w:val="center"/>
        <w:rPr>
          <w:rFonts w:hint="default" w:ascii="Times New Roman" w:hAnsi="Times New Roman" w:eastAsia="方正小标宋_GBK" w:cs="Times New Roman"/>
          <w:b/>
          <w:sz w:val="52"/>
          <w:szCs w:val="52"/>
          <w:highlight w:val="none"/>
        </w:rPr>
      </w:pPr>
    </w:p>
    <w:p w14:paraId="4310AF6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AB28BC7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C6C6D4E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C59BFC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431D3865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11D144B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FB858FB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4CEABE1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07AD7FA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2189884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6E6B5F6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14DBCAC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380D56A9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30ADA4F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岳阳市君山区乡镇财政服务中心</w:t>
      </w:r>
    </w:p>
    <w:p w14:paraId="6CE5777F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2024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年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月 </w:t>
      </w:r>
      <w:r>
        <w:rPr>
          <w:rFonts w:hint="eastAsia" w:ascii="Times New Roman" w:hAnsi="Times New Roman" w:eastAsia="楷体_GB2312" w:cs="Times New Roman"/>
          <w:sz w:val="32"/>
          <w:szCs w:val="32"/>
          <w:highlight w:val="none"/>
          <w:lang w:val="en-US" w:eastAsia="zh-CN"/>
        </w:rPr>
        <w:t>25</w:t>
      </w: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 xml:space="preserve"> 日</w:t>
      </w:r>
    </w:p>
    <w:p w14:paraId="28F2B84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度岳阳市君山区乡镇财政服务中心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整体支出绩效自评报告</w:t>
      </w:r>
    </w:p>
    <w:p w14:paraId="6A6973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28D9733C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君山区乡镇财政服务中心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基本情况</w:t>
      </w:r>
    </w:p>
    <w:p w14:paraId="516EE9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（一）职能职责</w:t>
      </w:r>
    </w:p>
    <w:p w14:paraId="0C0F91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1、负责乡镇财政预决算编制、预算执行、预算调整和预算内外收支管理。</w:t>
      </w:r>
    </w:p>
    <w:p w14:paraId="4A6E6B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2、负责乡镇政府预算单位的财务管理和核算。</w:t>
      </w:r>
    </w:p>
    <w:p w14:paraId="146C6A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3、负责乡镇涉农及社会保障等专户资金的管理和核算。</w:t>
      </w:r>
    </w:p>
    <w:p w14:paraId="41CA73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4、负责村级资金专户存储、核拨和监督管理。</w:t>
      </w:r>
    </w:p>
    <w:p w14:paraId="5EF7F9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5、负责各项农民补贴的核定和兑付工作。</w:t>
      </w:r>
    </w:p>
    <w:p w14:paraId="484ADE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（二）机构设置</w:t>
      </w:r>
    </w:p>
    <w:p w14:paraId="615915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乡镇财政服务中心内设机构一个：综合办公室</w:t>
      </w:r>
    </w:p>
    <w:p w14:paraId="5CAD532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二、一般公共预算支出情况</w:t>
      </w:r>
    </w:p>
    <w:p w14:paraId="0449C427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（一）基本支出情况</w:t>
      </w:r>
    </w:p>
    <w:p w14:paraId="7B9B0E92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/>
          <w:sz w:val="32"/>
          <w:szCs w:val="32"/>
        </w:rPr>
        <w:t>年度财政拨款基本支出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253.82</w:t>
      </w:r>
      <w:r>
        <w:rPr>
          <w:rFonts w:hint="eastAsia" w:ascii="Times New Roman" w:hAnsi="Times New Roman" w:eastAsia="仿宋_GB2312"/>
          <w:sz w:val="32"/>
          <w:szCs w:val="32"/>
        </w:rPr>
        <w:t>万元，其中：</w:t>
      </w:r>
    </w:p>
    <w:p w14:paraId="7B623EC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人员经费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221.24</w:t>
      </w:r>
      <w:r>
        <w:rPr>
          <w:rFonts w:hint="eastAsia" w:ascii="Times New Roman" w:hAnsi="Times New Roman" w:eastAsia="仿宋_GB2312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87.16</w:t>
      </w:r>
      <w:r>
        <w:rPr>
          <w:rFonts w:hint="eastAsia" w:ascii="Times New Roman" w:hAnsi="Times New Roman" w:eastAsia="仿宋_GB2312"/>
          <w:sz w:val="32"/>
          <w:szCs w:val="32"/>
        </w:rPr>
        <w:t>%,主要基本工资、津贴补贴、奖金、伙食补助费、绩效工资、机关事业单位基本养老保险缴费、职业年金缴费、职工基本医疗保险缴费、公务员医疗补助缴费、其他社会保障缴费、住房公积金、医疗费、其他工资福利支出、离休费、退休费、抚恤金、生活补助、医疗费补助、奖励金、其他对个人和家庭的补助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3060ED2B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3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公用经费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32.58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lang w:val="en-US" w:eastAsia="zh-CN"/>
        </w:rPr>
        <w:t>12.84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</w:rPr>
        <w:t>%，主要包括办公费、印刷费、咨询费、手续费、水费、电费、邮电费、取暖费、物业管理费、差旅费、因公出国（境）费用、维修（护）费、租赁费、会议费、培训费、公务接待费、专用材料费、劳务费、委托业务费、工会经费、福利费、公务用车运行维护费、其他交通费用、税金及附加费用、其他商品和服务支出、办公设备购置、专用设备购置、信息网络及软件购置更新、公务用车购置、其他交通工具购置、文物和陈列品购置、无形资产购置、其他资本性支出、赠与</w:t>
      </w:r>
      <w:r>
        <w:rPr>
          <w:rFonts w:hint="eastAsia" w:ascii="Times New Roman" w:hAnsi="Times New Roman" w:eastAsia="仿宋_GB2312"/>
          <w:b w:val="0"/>
          <w:bCs w:val="0"/>
          <w:sz w:val="32"/>
          <w:szCs w:val="32"/>
          <w:highlight w:val="none"/>
        </w:rPr>
        <w:t>。</w:t>
      </w:r>
    </w:p>
    <w:p w14:paraId="7BD52195">
      <w:pPr>
        <w:pStyle w:val="9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3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  <w:t>项目支出情况</w:t>
      </w:r>
    </w:p>
    <w:p w14:paraId="6CED1B9B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 xml:space="preserve"> 2023年本部门项目预算总计390万元，其中业务工作经费（乡镇财政建设）90万元，乡镇财政专项300万元，均严格按照年初预算进行部门整体支出。</w:t>
      </w:r>
    </w:p>
    <w:p w14:paraId="24D0B8A8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三、政府性基金预算支出情况</w:t>
      </w:r>
    </w:p>
    <w:p w14:paraId="60F2B935"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2023年度本部门无</w:t>
      </w:r>
      <w:r>
        <w:rPr>
          <w:rFonts w:hint="default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政府性基金预算</w:t>
      </w: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支出。</w:t>
      </w:r>
    </w:p>
    <w:p w14:paraId="46C2A5D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四、国有资本经营预算支出情况</w:t>
      </w:r>
    </w:p>
    <w:p w14:paraId="7360C27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2023年度本部门无</w:t>
      </w:r>
      <w:r>
        <w:rPr>
          <w:rFonts w:hint="default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国有资本经营预算支出</w:t>
      </w: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。</w:t>
      </w:r>
    </w:p>
    <w:p w14:paraId="3590A3FB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五、社会保险基金预算支出情况</w:t>
      </w:r>
    </w:p>
    <w:p w14:paraId="33A11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黑体"/>
          <w:b w:val="0"/>
          <w:bCs w:val="0"/>
          <w:color w:val="000000"/>
          <w:kern w:val="0"/>
          <w:sz w:val="32"/>
          <w:szCs w:val="32"/>
          <w:lang w:val="en-US" w:eastAsia="zh-CN" w:bidi="ar-SA"/>
        </w:rPr>
        <w:t>2023年度本部门无社会保险基金预算支出。</w:t>
      </w:r>
    </w:p>
    <w:p w14:paraId="7DE33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六、部门整体支出绩效情况</w:t>
      </w:r>
    </w:p>
    <w:p w14:paraId="602562C9">
      <w:pPr>
        <w:pStyle w:val="5"/>
        <w:shd w:val="clear" w:color="auto" w:fill="FFFFFF"/>
        <w:spacing w:before="0" w:beforeAutospacing="0" w:after="0" w:afterAutospacing="0" w:line="408" w:lineRule="atLeast"/>
        <w:ind w:firstLine="640" w:firstLineChars="200"/>
        <w:jc w:val="both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在过去的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一年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里，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君山区乡镇财政服务中心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紧紧围绕组织目标和工作重点，积极履行职责，在各个方面取得了较为显著的绩效成果。</w:t>
      </w:r>
    </w:p>
    <w:p w14:paraId="7C230CC1">
      <w:pPr>
        <w:pStyle w:val="5"/>
        <w:numPr>
          <w:ilvl w:val="0"/>
          <w:numId w:val="0"/>
        </w:numPr>
        <w:shd w:val="clear" w:color="auto" w:fill="FFFFFF"/>
        <w:spacing w:before="0" w:beforeAutospacing="0" w:after="0" w:afterAutospacing="0" w:line="408" w:lineRule="atLeast"/>
        <w:ind w:firstLine="640" w:firstLineChars="200"/>
        <w:jc w:val="both"/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在业务工作方面，我们高质量地完成了一系列重要任务。</w:t>
      </w: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1.财政所创建有新突破。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通过积极对接，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今年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我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个财政所被评为省级“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先进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财政所”、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个财政所被评为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级“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示范型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财政所”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。省级先进财政所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创建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的突破，有效提振了我区乡镇财政所的创建积极性、主动性</w:t>
      </w: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。2.绩效考评有促提升。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进一步修改和完善完善了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《君山区财政局2023年度乡镇（街道）财政所工作绩效考评办法》、《君山区财政局2023年度乡镇（街道）财政所工作绩效考评细则》，由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乡财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中心牵头实施，每半年一次对乡镇财政所实施考评，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按综合考评结果对财政所进行排名，考核结果直接和财政所工作经费挂钩，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与评先评优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挂钩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，与绩效奖金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挂钩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，与干部任用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挂钩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，进一步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调动了乡镇财政干部干事创业的积极性，提升了乡财财政管理水平。</w:t>
      </w:r>
      <w:r>
        <w:rPr>
          <w:rFonts w:hint="eastAsia" w:ascii="仿宋_GB2312" w:hAnsi="微软雅黑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3、交叉互审有新成效。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为进一步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/>
        </w:rPr>
        <w:t>提升我区乡镇财政系统基层财政所业务建设，提高预算管理、财务管理及会计核算水平，加强各类资金监管，健全和完善内控管理制度，促进各财政所之间的业务学习交流，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区乡镇财政服务中心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七月底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在全区乡镇财政系统开展乡镇财政财务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交叉互审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活动，通过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此项活动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，力促乡镇财政干部职工相互学习、取长补短、共同提高，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在全区乡财系统营造“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比、学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、赶、超”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/>
        </w:rPr>
        <w:t>良好氛围，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同时找出各自存在的差距和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不足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，真正实现乡镇财政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财务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理财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管理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规范化、制度化、科学化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精细化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、廉洁化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的要求。</w:t>
      </w:r>
      <w:r>
        <w:rPr>
          <w:rFonts w:hint="eastAsia" w:ascii="仿宋_GB2312" w:hAnsi="微软雅黑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4、学习培训有新动力</w:t>
      </w:r>
      <w:r>
        <w:rPr>
          <w:rFonts w:hint="eastAsia" w:ascii="仿宋_GB2312" w:hAnsi="微软雅黑" w:eastAsia="仿宋_GB2312" w:cs="仿宋_GB2312"/>
          <w:b/>
          <w:bCs/>
          <w:color w:val="auto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对财政所人员举办两期培训班，对财政所不同岗位的人员，有针对性的分批次进行实务培训，课程广泛而全面，涉及会计基础、会计实务、债务管理、廉政讲座、常用乡财软件应用等等。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月份，我们乡财服务中心组织财政所长和会计分别赴省级星级财政所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临湘市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长安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</w:rPr>
        <w:t>镇财政所及平江县的加义镇财政所进行了现场参观学习，开阔大家眼界，增强实践操作能力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/>
        </w:rPr>
        <w:t>。同时积极组织相关人员参加省市财政部门组织的相关培训。</w:t>
      </w:r>
      <w:r>
        <w:rPr>
          <w:rFonts w:hint="default" w:ascii="仿宋_GB2312" w:hAnsi="微软雅黑" w:eastAsia="仿宋_GB2312" w:cs="仿宋_GB2312"/>
          <w:color w:val="auto"/>
          <w:kern w:val="0"/>
          <w:sz w:val="32"/>
          <w:szCs w:val="32"/>
        </w:rPr>
        <w:t xml:space="preserve">这些成果直接推动了组织整体业务的顺利开展。 </w:t>
      </w:r>
    </w:p>
    <w:p w14:paraId="66902A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预算管理方面，我们严格遵循预算制度，确保资金使用的合理性和规范性。预算执行率达到了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100%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，有效地保障了各项工作的资金需求，同时也实现了资源的优化配置。  </w:t>
      </w:r>
    </w:p>
    <w:p w14:paraId="13ACF01A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七、存在的问题及原因分析</w:t>
      </w:r>
    </w:p>
    <w:p w14:paraId="3A2608A0">
      <w:pPr>
        <w:widowControl/>
        <w:shd w:val="clear" w:color="auto" w:fill="FFFFFF"/>
        <w:ind w:firstLine="648"/>
        <w:jc w:val="both"/>
        <w:rPr>
          <w:rFonts w:hint="eastAsia" w:ascii="Arial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1.乡镇财政业务人员缺乏。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财政所业务人员出现断层现象，缺少80后，少数乡镇已经难以满足日常工作需要。会计工作基础非常薄弱，因此造成会计核算不规范。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 </w:t>
      </w:r>
    </w:p>
    <w:p w14:paraId="687EED2E">
      <w:pPr>
        <w:widowControl/>
        <w:shd w:val="clear" w:color="auto" w:fill="FFFFFF"/>
        <w:ind w:firstLine="643" w:firstLineChars="200"/>
        <w:jc w:val="both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2.预算编制有待进一步规范。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目前，乡镇财政预算基础数据库不够充实，基本支出标准体系不完善，因而财政支出难以严格按照年度部门预算执行，乡镇财政预算不是准确和完整的预算。对《预算法》的贯彻执行力度远远不够。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 xml:space="preserve"> 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  </w:t>
      </w:r>
    </w:p>
    <w:p w14:paraId="33F5C44F">
      <w:pPr>
        <w:widowControl/>
        <w:shd w:val="clear" w:color="auto" w:fill="FFFFFF"/>
        <w:ind w:firstLine="643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3.镇村财务支出结构有待进一步优化。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乡镇财政支出具有随意性和盲目性，存在管理风险，主要表现在：一是支出不管有无预算。支出存在无预算支出和超标准超范围支出及其他违规支出。二是支出不管财力多少。财力不足时，借款安排，造成支出失控，债务风险大。三是支出不管资金来源。在无合法资金时，不管是否是专项资金，也敢于挤占挪用。四是支出不管绩效。部分乡镇支出不计成本和效益，存在损失浪费的现象。</w:t>
      </w:r>
      <w:r>
        <w:rPr>
          <w:rFonts w:hint="eastAsia" w:ascii="Arial" w:hAnsi="Arial" w:eastAsia="仿宋_GB2312" w:cs="Arial"/>
          <w:kern w:val="0"/>
          <w:sz w:val="32"/>
          <w:szCs w:val="32"/>
        </w:rPr>
        <w:t> </w:t>
      </w:r>
    </w:p>
    <w:p w14:paraId="429725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八、下一步改进措施</w:t>
      </w:r>
    </w:p>
    <w:p w14:paraId="433C5D5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right="0" w:rightChars="0" w:firstLine="643" w:firstLineChars="200"/>
        <w:jc w:val="both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1.出台村级财务管理指导文件。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借鉴其他县市区村级财务管理先进经验，制定《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关于进一步加强和规范村级财务管理工作的意见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》。</w:t>
      </w:r>
    </w:p>
    <w:p w14:paraId="4C7BFF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3" w:firstLineChars="200"/>
        <w:jc w:val="both"/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2.继续搞好先进财政所创建。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继续组织开展省级标兵财政所、先进财政所和市级示范型财政所创建工作，持续提升我区乡镇财政理财水平和服务效能。</w:t>
      </w:r>
    </w:p>
    <w:p w14:paraId="3722E49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3" w:firstLineChars="200"/>
        <w:jc w:val="both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3.督促惠农补贴奖金问题整改。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扎实推进由财政牵头的“三湘护农”专项工作，督促各镇村落实省市纪委监委现场督导整改。</w:t>
      </w:r>
    </w:p>
    <w:p w14:paraId="62350B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 w:firstLine="643" w:firstLineChars="200"/>
        <w:jc w:val="both"/>
        <w:rPr>
          <w:rFonts w:hint="eastAsia" w:ascii="仿宋_GB2312" w:hAnsi="Arial" w:eastAsia="仿宋_GB2312" w:cs="Arial"/>
          <w:kern w:val="0"/>
          <w:sz w:val="32"/>
          <w:szCs w:val="32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4、推进阳光审批系统正常运行</w:t>
      </w:r>
      <w:r>
        <w:rPr>
          <w:rFonts w:hint="eastAsia" w:ascii="仿宋_GB2312" w:hAnsi="微软雅黑" w:eastAsia="仿宋_GB2312" w:cs="仿宋_GB2312"/>
          <w:color w:val="auto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/>
        </w:rPr>
        <w:t>组织工作专班，落实省惠民惠农补贴资金“一卡通”阳光审批系统上线运行实施方案。</w:t>
      </w:r>
    </w:p>
    <w:p w14:paraId="635EA32D">
      <w:pPr>
        <w:ind w:firstLine="643" w:firstLineChars="200"/>
        <w:jc w:val="both"/>
        <w:rPr>
          <w:rFonts w:hint="default"/>
        </w:rPr>
      </w:pPr>
      <w:r>
        <w:rPr>
          <w:rFonts w:hint="eastAsia" w:ascii="楷体_GB2312" w:hAnsi="微软雅黑" w:eastAsia="楷体_GB2312" w:cs="楷体_GB2312"/>
          <w:b/>
          <w:bCs/>
          <w:color w:val="auto"/>
          <w:kern w:val="2"/>
          <w:sz w:val="32"/>
          <w:szCs w:val="32"/>
          <w:lang w:val="en-US" w:eastAsia="zh-CN" w:bidi="ar"/>
        </w:rPr>
        <w:t>5.加强乡镇财政队伍建设。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提高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镇村财务</w:t>
      </w:r>
      <w:bookmarkStart w:id="0" w:name="_GoBack"/>
      <w:bookmarkEnd w:id="0"/>
      <w:r>
        <w:rPr>
          <w:rFonts w:hint="eastAsia" w:ascii="仿宋_GB2312" w:hAnsi="Arial" w:eastAsia="仿宋_GB2312" w:cs="Arial"/>
          <w:kern w:val="0"/>
          <w:sz w:val="32"/>
          <w:szCs w:val="32"/>
        </w:rPr>
        <w:t>水平和实际操作能力，</w:t>
      </w:r>
      <w:r>
        <w:rPr>
          <w:rFonts w:hint="eastAsia" w:ascii="仿宋_GB2312" w:hAnsi="Arial" w:eastAsia="仿宋_GB2312" w:cs="Arial"/>
          <w:kern w:val="0"/>
          <w:sz w:val="32"/>
          <w:szCs w:val="32"/>
          <w:lang w:eastAsia="zh-CN"/>
        </w:rPr>
        <w:t>并</w:t>
      </w:r>
      <w:r>
        <w:rPr>
          <w:rFonts w:hint="eastAsia" w:ascii="仿宋_GB2312" w:hAnsi="Arial" w:eastAsia="仿宋_GB2312" w:cs="Arial"/>
          <w:kern w:val="0"/>
          <w:sz w:val="32"/>
          <w:szCs w:val="32"/>
        </w:rPr>
        <w:t>做好业务培训等工作。</w:t>
      </w:r>
    </w:p>
    <w:p w14:paraId="59D93E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九、部门整体支出绩效自评结果拟应用和公开情况</w:t>
      </w:r>
    </w:p>
    <w:p w14:paraId="42284170">
      <w:pPr>
        <w:pStyle w:val="2"/>
        <w:ind w:firstLine="620" w:firstLineChars="200"/>
        <w:rPr>
          <w:rFonts w:hint="default"/>
        </w:rPr>
      </w:pPr>
      <w:r>
        <w:rPr>
          <w:rFonts w:hint="default"/>
        </w:rPr>
        <w:t>对照绩效自评结果，总结经验，发现问题，提出改进的方向和具体措施，促进工作的开展。逐步建立绩效评价与部门预算相结合的结果应用机制，实行绩效评价结果在部门预算编制和执行中的应用，促进财政资金的合理分配与有效使用。</w:t>
      </w:r>
    </w:p>
    <w:p w14:paraId="3449CE9F">
      <w:pPr>
        <w:pStyle w:val="2"/>
        <w:ind w:firstLine="620" w:firstLineChars="200"/>
        <w:rPr>
          <w:rFonts w:hint="default"/>
        </w:rPr>
      </w:pPr>
      <w:r>
        <w:rPr>
          <w:rFonts w:hint="default"/>
        </w:rPr>
        <w:t>对部门整体支出绩效自评在规定时间内公开至本单位门户网站，确保公开数据真实、完整、准确。</w:t>
      </w:r>
    </w:p>
    <w:p w14:paraId="6942B7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  <w:t>十、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其他需要说明的情况</w:t>
      </w:r>
    </w:p>
    <w:p w14:paraId="59995508">
      <w:pPr>
        <w:pStyle w:val="2"/>
        <w:rPr>
          <w:rFonts w:hint="default" w:eastAsia="黑体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Arial" w:eastAsia="仿宋_GB2312" w:cs="Arial"/>
          <w:kern w:val="0"/>
          <w:sz w:val="32"/>
          <w:szCs w:val="32"/>
          <w:lang w:val="en-US" w:eastAsia="zh-CN" w:bidi="ar-SA"/>
        </w:rPr>
        <w:t>无</w:t>
      </w:r>
    </w:p>
    <w:p w14:paraId="19CC67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BA74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报告需要以下附件：</w:t>
      </w:r>
    </w:p>
    <w:p w14:paraId="331770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部门整体支出绩效评价基础数据表</w:t>
      </w:r>
    </w:p>
    <w:p w14:paraId="5A6BB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部门整体支出绩效自评表</w:t>
      </w:r>
    </w:p>
    <w:p w14:paraId="2BF42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项目支出绩效自评表（一个一级项目支出一张表）</w:t>
      </w:r>
    </w:p>
    <w:p w14:paraId="33F651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政府性基金预算支出情况表</w:t>
      </w:r>
    </w:p>
    <w:p w14:paraId="3A8D77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国有资本经营预算支出情况表</w:t>
      </w:r>
    </w:p>
    <w:p w14:paraId="1E1B3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社会保险基金预算支出情况表</w:t>
      </w:r>
    </w:p>
    <w:p w14:paraId="4C07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360" w:lineRule="auto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84CE7"/>
    <w:multiLevelType w:val="singleLevel"/>
    <w:tmpl w:val="AD984CE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950AAA7"/>
    <w:multiLevelType w:val="singleLevel"/>
    <w:tmpl w:val="5950AAA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2M0MThiNjg5MDljNzY5MjFhYWZiYzM1NGE3YmMifQ=="/>
  </w:docVars>
  <w:rsids>
    <w:rsidRoot w:val="59886344"/>
    <w:rsid w:val="0D5079C9"/>
    <w:rsid w:val="0EE01778"/>
    <w:rsid w:val="12C54702"/>
    <w:rsid w:val="232C5968"/>
    <w:rsid w:val="2EAA5D2F"/>
    <w:rsid w:val="58362FC8"/>
    <w:rsid w:val="59886344"/>
    <w:rsid w:val="66B84541"/>
    <w:rsid w:val="7AC12A12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character" w:customStyle="1" w:styleId="11">
    <w:name w:val="bjh-p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2681</Words>
  <Characters>2761</Characters>
  <Lines>0</Lines>
  <Paragraphs>0</Paragraphs>
  <TotalTime>42</TotalTime>
  <ScaleCrop>false</ScaleCrop>
  <LinksUpToDate>false</LinksUpToDate>
  <CharactersWithSpaces>2784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Administrator</cp:lastModifiedBy>
  <cp:lastPrinted>2024-06-26T01:02:00Z</cp:lastPrinted>
  <dcterms:modified xsi:type="dcterms:W3CDTF">2024-08-16T06:56:23Z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6182D3A10D564617983F46DEE354AEAF</vt:lpwstr>
  </property>
</Properties>
</file>