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中国人民政治协商会议岳阳市君山区委员会</w:t>
      </w: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w:t>
      </w:r>
      <w:r>
        <w:rPr>
          <w:rFonts w:hint="eastAsia" w:ascii="Times New Roman" w:hAnsi="Times New Roman" w:eastAsia="楷体_GB2312" w:cs="Times New Roman"/>
          <w:sz w:val="32"/>
          <w:szCs w:val="32"/>
          <w:highlight w:val="none"/>
          <w:lang w:val="en-US" w:eastAsia="zh-CN"/>
        </w:rPr>
        <w:t>26</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中国人民政治协商会议岳阳市君山区委员会</w:t>
      </w: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w:t>
      </w:r>
      <w:r>
        <w:rPr>
          <w:rFonts w:hint="eastAsia" w:ascii="Times New Roman" w:hAnsi="Times New Roman" w:eastAsia="黑体" w:cs="Times New Roman"/>
          <w:sz w:val="32"/>
          <w:szCs w:val="32"/>
          <w:highlight w:val="none"/>
          <w:lang w:eastAsia="zh-CN"/>
        </w:rPr>
        <w:t>（单位）</w:t>
      </w:r>
      <w:r>
        <w:rPr>
          <w:rFonts w:hint="default" w:ascii="Times New Roman" w:hAnsi="Times New Roman" w:eastAsia="黑体" w:cs="Times New Roman"/>
          <w:sz w:val="32"/>
          <w:szCs w:val="32"/>
          <w:highlight w:val="none"/>
        </w:rPr>
        <w:t>基本情况</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黑体" w:cs="Times New Roman"/>
          <w:sz w:val="32"/>
          <w:szCs w:val="32"/>
          <w:highlight w:val="none"/>
          <w:lang w:eastAsia="zh-CN"/>
        </w:rPr>
        <w:t>　</w:t>
      </w:r>
      <w:r>
        <w:rPr>
          <w:rFonts w:hint="eastAsia" w:ascii="Times New Roman" w:hAnsi="Times New Roman" w:eastAsia="楷体_GB2312" w:cs="Times New Roman"/>
          <w:b/>
          <w:kern w:val="0"/>
          <w:sz w:val="32"/>
          <w:szCs w:val="32"/>
          <w:highlight w:val="none"/>
          <w:lang w:val="en-US" w:eastAsia="zh-CN" w:bidi="ar-SA"/>
        </w:rPr>
        <w:t>（一）单位基本情况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中国人民政治协商会议岳阳市君山区委员会（以下简称区政协）</w:t>
      </w:r>
      <w:r>
        <w:rPr>
          <w:rFonts w:hint="eastAsia" w:ascii="Times New Roman" w:hAnsi="Times New Roman" w:eastAsia="仿宋_GB2312" w:cs="Times New Roman"/>
          <w:color w:val="000000"/>
          <w:sz w:val="32"/>
          <w:szCs w:val="32"/>
          <w:highlight w:val="none"/>
          <w:lang w:eastAsia="zh-CN"/>
        </w:rPr>
        <w:t>其职能职责为</w:t>
      </w:r>
      <w:r>
        <w:rPr>
          <w:rFonts w:hint="default" w:ascii="Times New Roman" w:hAnsi="Times New Roman" w:eastAsia="仿宋_GB2312" w:cs="Times New Roman"/>
          <w:color w:val="000000"/>
          <w:sz w:val="32"/>
          <w:szCs w:val="32"/>
          <w:highlight w:val="none"/>
        </w:rPr>
        <w:t>：</w:t>
      </w:r>
    </w:p>
    <w:p>
      <w:pPr>
        <w:bidi w:val="0"/>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1.政治协商政治协商是对国家和地方的大政方针以及政治、经济、文化和社会生活中的重要问题在决策之前进行协商和就决策执行过程中的重要问题进行协商。</w:t>
      </w:r>
    </w:p>
    <w:p>
      <w:pPr>
        <w:bidi w:val="0"/>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2.民主监督民主监督是对国家宪法、法律和法规的实施，重大方针政策的贯彻执行、国家机关及其工作人员的工作，通过建议和批评进行监督。</w:t>
      </w:r>
    </w:p>
    <w:p>
      <w:pPr>
        <w:bidi w:val="0"/>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3.参政议政对政治、经济、文化和社会生活中的重要问题以及人民群众铺普遍关心的问题开展调查研究，反映社情民意，进行协商讨论。</w:t>
      </w:r>
    </w:p>
    <w:p>
      <w:pPr>
        <w:pStyle w:val="11"/>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lang w:eastAsia="zh-CN"/>
        </w:rPr>
        <w:t>（二）机构设置与人员情况</w:t>
      </w:r>
    </w:p>
    <w:p>
      <w:pPr>
        <w:pStyle w:val="11"/>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政协设机关设置“一办五委”，分别是：办公室、提案和委员学习联络委员会、经济科技和外事委员会、文教卫体和文史委员会、社会法制和民族宗教委员会、农业农村和人口资源环境委员会。“一办五委”均为正科级行政机构。新增的</w:t>
      </w:r>
      <w:r>
        <w:rPr>
          <w:rFonts w:hint="eastAsia" w:ascii="仿宋_GB2312" w:hAnsi="仿宋_GB2312" w:eastAsia="仿宋_GB2312" w:cs="仿宋_GB2312"/>
          <w:spacing w:val="0"/>
          <w:kern w:val="2"/>
          <w:sz w:val="32"/>
          <w:szCs w:val="32"/>
          <w:lang w:val="en-US" w:eastAsia="zh-CN" w:bidi="ar-SA"/>
        </w:rPr>
        <w:t>网络信息中心为事业单位。</w:t>
      </w:r>
    </w:p>
    <w:p>
      <w:pPr>
        <w:pStyle w:val="11"/>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2023</w:t>
      </w:r>
      <w:r>
        <w:rPr>
          <w:rFonts w:hint="default" w:ascii="Times New Roman" w:hAnsi="Times New Roman" w:eastAsia="仿宋_GB2312" w:cs="Times New Roman"/>
          <w:color w:val="000000"/>
          <w:kern w:val="0"/>
          <w:sz w:val="32"/>
          <w:szCs w:val="32"/>
          <w:highlight w:val="none"/>
          <w:lang w:val="en-US" w:eastAsia="zh-CN" w:bidi="ar-SA"/>
        </w:rPr>
        <w:t>年末</w:t>
      </w:r>
      <w:r>
        <w:rPr>
          <w:rFonts w:hint="eastAsia" w:ascii="Times New Roman" w:hAnsi="Times New Roman" w:eastAsia="仿宋_GB2312" w:cs="Times New Roman"/>
          <w:color w:val="000000"/>
          <w:kern w:val="0"/>
          <w:sz w:val="32"/>
          <w:szCs w:val="32"/>
          <w:highlight w:val="none"/>
          <w:lang w:val="en-US" w:eastAsia="zh-CN" w:bidi="ar-SA"/>
        </w:rPr>
        <w:t>共</w:t>
      </w:r>
      <w:r>
        <w:rPr>
          <w:rFonts w:hint="eastAsia" w:ascii="仿宋_GB2312" w:hAnsi="仿宋_GB2312" w:eastAsia="仿宋_GB2312" w:cs="仿宋_GB2312"/>
          <w:kern w:val="2"/>
          <w:sz w:val="32"/>
          <w:szCs w:val="32"/>
          <w:lang w:val="en-US" w:eastAsia="zh-CN" w:bidi="ar-SA"/>
        </w:rPr>
        <w:t>有人员45</w:t>
      </w:r>
      <w:r>
        <w:rPr>
          <w:rFonts w:hint="eastAsia" w:ascii="仿宋_GB2312" w:hAnsi="仿宋_GB2312" w:eastAsia="仿宋_GB2312" w:cs="仿宋_GB2312"/>
          <w:kern w:val="2"/>
          <w:sz w:val="32"/>
          <w:szCs w:val="32"/>
          <w:lang w:val="en-US" w:eastAsia="zh-CN" w:bidi="ar-SA"/>
        </w:rPr>
        <w:t>人，其中：在职行政人员19</w:t>
      </w:r>
      <w:r>
        <w:rPr>
          <w:rFonts w:hint="eastAsia" w:ascii="仿宋_GB2312" w:hAnsi="仿宋_GB2312" w:eastAsia="仿宋_GB2312" w:cs="仿宋_GB2312"/>
          <w:kern w:val="2"/>
          <w:sz w:val="32"/>
          <w:szCs w:val="32"/>
          <w:lang w:val="en-US" w:eastAsia="zh-CN" w:bidi="ar-SA"/>
        </w:rPr>
        <w:t>人、 非参公事业人员2</w:t>
      </w:r>
      <w:r>
        <w:rPr>
          <w:rFonts w:hint="eastAsia" w:ascii="仿宋_GB2312" w:hAnsi="仿宋_GB2312" w:eastAsia="仿宋_GB2312" w:cs="仿宋_GB2312"/>
          <w:kern w:val="2"/>
          <w:sz w:val="32"/>
          <w:szCs w:val="32"/>
          <w:lang w:val="en-US" w:eastAsia="zh-CN" w:bidi="ar-SA"/>
        </w:rPr>
        <w:t>人，退休人员24</w:t>
      </w:r>
      <w:r>
        <w:rPr>
          <w:rFonts w:hint="eastAsia" w:ascii="仿宋_GB2312" w:hAnsi="仿宋_GB2312" w:eastAsia="仿宋_GB2312" w:cs="仿宋_GB2312"/>
          <w:kern w:val="2"/>
          <w:sz w:val="32"/>
          <w:szCs w:val="32"/>
          <w:lang w:val="en-US" w:eastAsia="zh-CN" w:bidi="ar-SA"/>
        </w:rPr>
        <w:t>人。</w:t>
      </w:r>
    </w:p>
    <w:p>
      <w:pPr>
        <w:pStyle w:val="11"/>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单位绩效目标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　</w:t>
      </w:r>
      <w:r>
        <w:rPr>
          <w:rFonts w:hint="eastAsia" w:ascii="Times New Roman" w:hAnsi="Times New Roman" w:eastAsia="仿宋_GB2312" w:cs="Times New Roman"/>
          <w:color w:val="000000"/>
          <w:kern w:val="0"/>
          <w:sz w:val="32"/>
          <w:szCs w:val="32"/>
          <w:highlight w:val="none"/>
          <w:lang w:val="en-US" w:eastAsia="zh-CN" w:bidi="ar-SA"/>
        </w:rPr>
        <w:t>　整体支出绩效目标：积极推行预算绩效管理，强化对资金使用情况的预算约束和监督，提高了财政资金使用绩效，促进了管理效能提升。全年瞄准职责，高举习近平新时代中国特色社会主义思想伟大旗帜，在区委的坚强领导和市政协的精心指导下，牢牢把握团结、民主两大主题，紧紧围绕区委“一二三六”工作思路，倾心尽力，凝聚共识，认真履行政治协商、民主监督、参政议政三大职能，为建设精致精美、出新出彩的洞庭明珠做出了积极的贡献。</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项目支出绩效目标：完成政协平台建设各项指标，发挥参政议政作用率，提高区政协的履职能力，完成社情民意信息20篇。</w:t>
      </w:r>
    </w:p>
    <w:p>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kern w:val="2"/>
          <w:sz w:val="32"/>
          <w:szCs w:val="32"/>
          <w:lang w:val="en-US" w:eastAsia="zh-CN" w:bidi="ar-SA"/>
        </w:rPr>
        <w:t>2023年</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预算资金752.47</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575.65</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项目支出176.82</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。全年实际支出752.47</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575.65</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项目支出176.82</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。预算执行率100%。</w:t>
      </w:r>
    </w:p>
    <w:p>
      <w:pPr>
        <w:pStyle w:val="11"/>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区政协2023年</w:t>
      </w:r>
      <w:r>
        <w:rPr>
          <w:rFonts w:hint="default" w:ascii="仿宋_GB2312" w:hAnsi="仿宋_GB2312" w:eastAsia="仿宋_GB2312" w:cs="仿宋_GB2312"/>
          <w:kern w:val="2"/>
          <w:sz w:val="32"/>
          <w:szCs w:val="32"/>
          <w:lang w:val="en-US" w:eastAsia="zh-CN" w:bidi="ar-SA"/>
        </w:rPr>
        <w:t>全年基本支出</w:t>
      </w:r>
      <w:r>
        <w:rPr>
          <w:rFonts w:hint="eastAsia" w:ascii="仿宋_GB2312" w:hAnsi="仿宋_GB2312" w:eastAsia="仿宋_GB2312" w:cs="仿宋_GB2312"/>
          <w:kern w:val="2"/>
          <w:sz w:val="32"/>
          <w:szCs w:val="32"/>
          <w:lang w:val="en-US" w:eastAsia="zh-CN" w:bidi="ar-SA"/>
        </w:rPr>
        <w:t>575.65</w:t>
      </w:r>
      <w:r>
        <w:rPr>
          <w:rFonts w:hint="default" w:ascii="仿宋_GB2312" w:hAnsi="仿宋_GB2312" w:eastAsia="仿宋_GB2312" w:cs="仿宋_GB2312"/>
          <w:kern w:val="2"/>
          <w:sz w:val="32"/>
          <w:szCs w:val="32"/>
          <w:lang w:val="en-US" w:eastAsia="zh-CN" w:bidi="ar-SA"/>
        </w:rPr>
        <w:t>万元，其中人员经费513</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49万元，公用经费62</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6</w:t>
      </w:r>
      <w:r>
        <w:rPr>
          <w:rFonts w:hint="default" w:ascii="仿宋_GB2312" w:hAnsi="仿宋_GB2312" w:eastAsia="仿宋_GB2312" w:cs="仿宋_GB2312"/>
          <w:kern w:val="2"/>
          <w:sz w:val="32"/>
          <w:szCs w:val="32"/>
          <w:lang w:val="en-US" w:eastAsia="zh-CN" w:bidi="ar-SA"/>
        </w:rPr>
        <w:t>万元。</w:t>
      </w:r>
    </w:p>
    <w:p>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pPr>
        <w:pStyle w:val="11"/>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11"/>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sz w:val="32"/>
          <w:szCs w:val="32"/>
          <w:highlight w:val="yellow"/>
          <w:lang w:eastAsia="zh-CN"/>
        </w:rPr>
      </w:pPr>
      <w:r>
        <w:rPr>
          <w:rFonts w:hint="eastAsia" w:ascii="Times New Roman" w:hAnsi="Times New Roman" w:eastAsia="楷体_GB2312" w:cs="Times New Roman"/>
          <w:b/>
          <w:sz w:val="32"/>
          <w:szCs w:val="32"/>
          <w:highlight w:val="none"/>
          <w:lang w:eastAsia="zh-CN"/>
        </w:rPr>
        <w:t>　</w:t>
      </w:r>
      <w:r>
        <w:rPr>
          <w:rFonts w:hint="eastAsia" w:ascii="仿宋_GB2312" w:hAnsi="仿宋_GB2312" w:eastAsia="仿宋_GB2312" w:cs="仿宋_GB2312"/>
          <w:color w:val="000000"/>
          <w:kern w:val="2"/>
          <w:sz w:val="32"/>
          <w:szCs w:val="32"/>
          <w:shd w:val="clear" w:color="auto" w:fill="FFFFFF"/>
          <w:lang w:val="en-US" w:eastAsia="zh-CN" w:bidi="ar-SA"/>
        </w:rPr>
        <w:t>　2023年</w:t>
      </w:r>
      <w:r>
        <w:rPr>
          <w:rFonts w:hint="default" w:ascii="仿宋_GB2312" w:hAnsi="仿宋_GB2312" w:eastAsia="仿宋_GB2312" w:cs="仿宋_GB2312"/>
          <w:color w:val="000000"/>
          <w:kern w:val="2"/>
          <w:sz w:val="32"/>
          <w:szCs w:val="32"/>
          <w:shd w:val="clear" w:color="auto" w:fill="FFFFFF"/>
          <w:lang w:val="en-US" w:eastAsia="zh-CN" w:bidi="ar-SA"/>
        </w:rPr>
        <w:t>，</w:t>
      </w:r>
      <w:r>
        <w:rPr>
          <w:rFonts w:hint="eastAsia" w:ascii="仿宋_GB2312" w:hAnsi="仿宋_GB2312" w:eastAsia="仿宋_GB2312" w:cs="仿宋_GB2312"/>
          <w:color w:val="000000"/>
          <w:kern w:val="2"/>
          <w:sz w:val="32"/>
          <w:szCs w:val="32"/>
          <w:shd w:val="clear" w:color="auto" w:fill="FFFFFF"/>
          <w:lang w:val="en-US" w:eastAsia="zh-CN" w:bidi="ar-SA"/>
        </w:rPr>
        <w:t>区政协</w:t>
      </w:r>
      <w:r>
        <w:rPr>
          <w:rFonts w:hint="default" w:ascii="仿宋_GB2312" w:hAnsi="仿宋_GB2312" w:eastAsia="仿宋_GB2312" w:cs="仿宋_GB2312"/>
          <w:color w:val="000000"/>
          <w:kern w:val="2"/>
          <w:sz w:val="32"/>
          <w:szCs w:val="32"/>
          <w:shd w:val="clear" w:color="auto" w:fill="FFFFFF"/>
          <w:lang w:val="en-US" w:eastAsia="zh-CN" w:bidi="ar-SA"/>
        </w:rPr>
        <w:t>全年</w:t>
      </w:r>
      <w:r>
        <w:rPr>
          <w:rFonts w:hint="eastAsia" w:ascii="仿宋_GB2312" w:hAnsi="仿宋_GB2312" w:eastAsia="仿宋_GB2312" w:cs="仿宋_GB2312"/>
          <w:color w:val="000000"/>
          <w:kern w:val="2"/>
          <w:sz w:val="32"/>
          <w:szCs w:val="32"/>
          <w:shd w:val="clear" w:color="auto" w:fill="FFFFFF"/>
          <w:lang w:val="en-US" w:eastAsia="zh-CN" w:bidi="ar-SA"/>
        </w:rPr>
        <w:t>项目支出176.82</w:t>
      </w:r>
      <w:r>
        <w:rPr>
          <w:rFonts w:hint="default" w:ascii="仿宋_GB2312" w:hAnsi="仿宋_GB2312" w:eastAsia="仿宋_GB2312" w:cs="仿宋_GB2312"/>
          <w:color w:val="000000"/>
          <w:kern w:val="2"/>
          <w:sz w:val="32"/>
          <w:szCs w:val="32"/>
          <w:shd w:val="clear" w:color="auto" w:fill="FFFFFF"/>
          <w:lang w:val="en-US" w:eastAsia="zh-CN" w:bidi="ar-SA"/>
        </w:rPr>
        <w:t>万元</w:t>
      </w:r>
      <w:r>
        <w:rPr>
          <w:rFonts w:hint="eastAsia" w:ascii="仿宋_GB2312" w:hAnsi="仿宋_GB2312" w:eastAsia="仿宋_GB2312" w:cs="仿宋_GB2312"/>
          <w:color w:val="000000"/>
          <w:kern w:val="2"/>
          <w:sz w:val="32"/>
          <w:szCs w:val="32"/>
          <w:shd w:val="clear" w:color="auto" w:fill="FFFFFF"/>
          <w:lang w:val="en-US" w:eastAsia="zh-CN" w:bidi="ar-SA"/>
        </w:rPr>
        <w:t>，主要是本部门为完成特定工作任务或事业发展目标而发生的支出，包括有关事业发展专项、专项业务费、基本建设支出等，含  政协专项平台建设、业务工作经费等项目支出。</w:t>
      </w:r>
    </w:p>
    <w:p>
      <w:pPr>
        <w:pStyle w:val="11"/>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区政协无此项支出。</w:t>
      </w:r>
    </w:p>
    <w:p>
      <w:pPr>
        <w:pStyle w:val="11"/>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区政协无此项支出。</w:t>
      </w:r>
    </w:p>
    <w:p>
      <w:pPr>
        <w:pStyle w:val="11"/>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区政协无此项支出。</w:t>
      </w:r>
    </w:p>
    <w:p>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pStyle w:val="11"/>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区政协</w:t>
      </w:r>
      <w:r>
        <w:rPr>
          <w:rFonts w:hint="eastAsia" w:ascii="Times New Roman" w:hAnsi="Times New Roman" w:eastAsia="仿宋_GB2312" w:cs="Times New Roman"/>
          <w:color w:val="000000"/>
          <w:sz w:val="32"/>
          <w:szCs w:val="32"/>
          <w:highlight w:val="none"/>
          <w:lang w:eastAsia="zh-CN"/>
        </w:rPr>
        <w:t>严格执行预算，</w:t>
      </w:r>
      <w:r>
        <w:rPr>
          <w:rFonts w:hint="default" w:ascii="Times New Roman" w:hAnsi="Times New Roman" w:eastAsia="仿宋_GB2312" w:cs="Times New Roman"/>
          <w:color w:val="000000"/>
          <w:sz w:val="32"/>
          <w:szCs w:val="32"/>
          <w:highlight w:val="none"/>
        </w:rPr>
        <w:t>财务管理规范，各项工作任务全面完成，单位行政运行稳定有序</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部门整体支出绩效自评得分98分。</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预算财务管理方面</w:t>
      </w:r>
    </w:p>
    <w:p>
      <w:pPr>
        <w:pStyle w:val="11"/>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区政协</w:t>
      </w:r>
      <w:r>
        <w:rPr>
          <w:rFonts w:hint="default" w:ascii="Times New Roman" w:hAnsi="Times New Roman" w:eastAsia="仿宋_GB2312" w:cs="Times New Roman"/>
          <w:color w:val="000000"/>
          <w:sz w:val="32"/>
          <w:szCs w:val="32"/>
          <w:highlight w:val="none"/>
        </w:rPr>
        <w:t>严格遵守各项规章制度，严格执行经费审批制度、报销程序，加强了经费支出的监督管理；坚持经费预算科学化、精细化，执行控制规范化、责任化，监督检查常态化、同步化；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cs="仿宋_GB2312"/>
          <w:kern w:val="44"/>
          <w:sz w:val="32"/>
          <w:szCs w:val="32"/>
          <w:lang w:val="en-US" w:eastAsia="zh-CN" w:bidi="ar"/>
        </w:rPr>
        <w:t>（二）履职产出效益方面</w:t>
      </w:r>
    </w:p>
    <w:p>
      <w:pPr>
        <w:pStyle w:val="11"/>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区政协</w:t>
      </w:r>
      <w:r>
        <w:rPr>
          <w:rFonts w:hint="default" w:ascii="Times New Roman" w:hAnsi="Times New Roman" w:eastAsia="仿宋_GB2312" w:cs="Times New Roman"/>
          <w:color w:val="000000"/>
          <w:sz w:val="32"/>
          <w:szCs w:val="32"/>
          <w:highlight w:val="none"/>
        </w:rPr>
        <w:t>认真履行</w:t>
      </w:r>
      <w:r>
        <w:rPr>
          <w:rFonts w:hint="eastAsia" w:ascii="Times New Roman" w:hAnsi="Times New Roman" w:eastAsia="仿宋_GB2312" w:cs="Times New Roman"/>
          <w:color w:val="000000"/>
          <w:sz w:val="32"/>
          <w:szCs w:val="32"/>
          <w:highlight w:val="none"/>
          <w:lang w:eastAsia="zh-CN"/>
        </w:rPr>
        <w:t>部门职责</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履职情况如下：</w:t>
      </w:r>
    </w:p>
    <w:p>
      <w:pPr>
        <w:keepNext w:val="0"/>
        <w:keepLines w:val="0"/>
        <w:pageBreakBefore w:val="0"/>
        <w:widowControl w:val="0"/>
        <w:kinsoku/>
        <w:wordWrap/>
        <w:overflowPunct/>
        <w:topLinePunct w:val="0"/>
        <w:autoSpaceDE/>
        <w:autoSpaceDN/>
        <w:bidi w:val="0"/>
        <w:adjustRightInd/>
        <w:snapToGrid/>
        <w:spacing w:line="632" w:lineRule="exact"/>
        <w:ind w:firstLine="640" w:firstLineChars="200"/>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1</w:t>
      </w:r>
      <w:r>
        <w:rPr>
          <w:rFonts w:hint="eastAsia" w:ascii="黑体" w:hAnsi="黑体" w:eastAsia="黑体" w:cs="黑体"/>
          <w:spacing w:val="0"/>
          <w:sz w:val="32"/>
          <w:szCs w:val="32"/>
        </w:rPr>
        <w:t>、</w:t>
      </w:r>
      <w:r>
        <w:rPr>
          <w:rFonts w:hint="eastAsia" w:ascii="黑体" w:hAnsi="黑体" w:eastAsia="黑体" w:cs="黑体"/>
          <w:spacing w:val="0"/>
          <w:sz w:val="32"/>
          <w:szCs w:val="32"/>
          <w:lang w:val="en-US" w:eastAsia="zh-CN"/>
        </w:rPr>
        <w:t>凝心铸魂</w:t>
      </w:r>
      <w:r>
        <w:rPr>
          <w:rFonts w:hint="eastAsia" w:ascii="黑体" w:hAnsi="黑体" w:eastAsia="黑体" w:cs="黑体"/>
          <w:spacing w:val="0"/>
          <w:sz w:val="32"/>
          <w:szCs w:val="32"/>
        </w:rPr>
        <w:t>，政治</w:t>
      </w:r>
      <w:r>
        <w:rPr>
          <w:rFonts w:hint="eastAsia" w:ascii="黑体" w:hAnsi="黑体" w:eastAsia="黑体" w:cs="黑体"/>
          <w:spacing w:val="0"/>
          <w:sz w:val="32"/>
          <w:szCs w:val="32"/>
          <w:lang w:val="en-US" w:eastAsia="zh-CN"/>
        </w:rPr>
        <w:t>站位更加坚定</w:t>
      </w:r>
    </w:p>
    <w:p>
      <w:pPr>
        <w:keepNext w:val="0"/>
        <w:keepLines w:val="0"/>
        <w:pageBreakBefore w:val="0"/>
        <w:widowControl w:val="0"/>
        <w:kinsoku/>
        <w:wordWrap/>
        <w:overflowPunct/>
        <w:topLinePunct w:val="0"/>
        <w:autoSpaceDE/>
        <w:autoSpaceDN/>
        <w:bidi w:val="0"/>
        <w:adjustRightInd/>
        <w:snapToGrid/>
        <w:spacing w:line="632" w:lineRule="exact"/>
        <w:ind w:firstLine="643"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楷体_GB2312" w:hAnsi="楷体_GB2312" w:eastAsia="楷体_GB2312" w:cs="楷体_GB2312"/>
          <w:b/>
          <w:bCs/>
          <w:spacing w:val="0"/>
          <w:sz w:val="32"/>
          <w:szCs w:val="32"/>
          <w:lang w:val="en-US" w:eastAsia="zh-CN"/>
        </w:rPr>
        <w:t>强化理论武装</w:t>
      </w:r>
      <w:r>
        <w:rPr>
          <w:rFonts w:hint="eastAsia" w:ascii="楷体_GB2312" w:hAnsi="楷体_GB2312" w:eastAsia="楷体_GB2312" w:cs="楷体_GB2312"/>
          <w:b/>
          <w:bCs/>
          <w:spacing w:val="0"/>
          <w:sz w:val="32"/>
          <w:szCs w:val="32"/>
        </w:rPr>
        <w:t>。</w:t>
      </w:r>
      <w:r>
        <w:rPr>
          <w:rFonts w:hint="eastAsia" w:ascii="仿宋_GB2312" w:hAnsi="仿宋_GB2312" w:eastAsia="仿宋_GB2312" w:cs="仿宋_GB2312"/>
          <w:spacing w:val="0"/>
          <w:kern w:val="2"/>
          <w:sz w:val="32"/>
          <w:szCs w:val="32"/>
          <w:lang w:val="en-US" w:eastAsia="zh-CN" w:bidi="ar-SA"/>
        </w:rPr>
        <w:t>全年举行区政协党组理论中心组学习、主席会议、常委会议、机关支部会议专题学习24次。组织委员开展“学习二十大，助力新发展”经典诵读，认真学习习近平系列重要指示批示及重要讲话精神内容；组织委员赴河南林州市开展“学习红旗渠精神、助力高质量发展”履职能力培训。按要求及时组织学习中央、省、市、区委</w:t>
      </w:r>
      <w:r>
        <w:rPr>
          <w:rFonts w:hint="eastAsia" w:ascii="仿宋_GB2312" w:hAnsi="仿宋_GB2312" w:eastAsia="仿宋_GB2312" w:cs="仿宋_GB2312"/>
          <w:spacing w:val="6"/>
          <w:kern w:val="2"/>
          <w:sz w:val="32"/>
          <w:szCs w:val="32"/>
          <w:lang w:val="en-US" w:eastAsia="zh-CN" w:bidi="ar-SA"/>
        </w:rPr>
        <w:t>和上级政协重要会议和文件精神，并在履职实践中深入贯彻落</w:t>
      </w:r>
      <w:r>
        <w:rPr>
          <w:rFonts w:hint="eastAsia" w:ascii="仿宋_GB2312" w:hAnsi="仿宋_GB2312" w:eastAsia="仿宋_GB2312" w:cs="仿宋_GB2312"/>
          <w:spacing w:val="0"/>
          <w:kern w:val="2"/>
          <w:sz w:val="32"/>
          <w:szCs w:val="32"/>
          <w:lang w:val="en-US" w:eastAsia="zh-CN" w:bidi="ar-SA"/>
        </w:rPr>
        <w:t>实。</w:t>
      </w:r>
    </w:p>
    <w:p>
      <w:pPr>
        <w:keepNext w:val="0"/>
        <w:keepLines w:val="0"/>
        <w:pageBreakBefore w:val="0"/>
        <w:widowControl w:val="0"/>
        <w:kinsoku/>
        <w:wordWrap/>
        <w:overflowPunct/>
        <w:topLinePunct w:val="0"/>
        <w:autoSpaceDE/>
        <w:autoSpaceDN/>
        <w:bidi w:val="0"/>
        <w:adjustRightInd/>
        <w:snapToGrid/>
        <w:spacing w:line="632" w:lineRule="exact"/>
        <w:ind w:firstLine="643"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楷体_GB2312" w:hAnsi="楷体_GB2312" w:eastAsia="楷体_GB2312" w:cs="楷体_GB2312"/>
          <w:b/>
          <w:bCs/>
          <w:spacing w:val="0"/>
          <w:sz w:val="32"/>
          <w:szCs w:val="32"/>
          <w:lang w:val="en-US" w:eastAsia="zh-CN"/>
        </w:rPr>
        <w:t>坚持区委领导。</w:t>
      </w:r>
      <w:r>
        <w:rPr>
          <w:rFonts w:hint="eastAsia" w:ascii="仿宋_GB2312" w:hAnsi="仿宋_GB2312" w:eastAsia="仿宋_GB2312" w:cs="仿宋_GB2312"/>
          <w:spacing w:val="0"/>
          <w:kern w:val="2"/>
          <w:sz w:val="32"/>
          <w:szCs w:val="32"/>
          <w:lang w:val="en-US" w:eastAsia="zh-CN" w:bidi="ar-SA"/>
        </w:rPr>
        <w:t>区政协重大事项、重要问题、重点工作及时向区委请示报告，全年区委常委会议专题研究政协工作5次。政协重大协商活动邀请区委、区政府领导出席18场次，切实做到区委有号召，政协就有响应。在年初的全区高质量发展推进大会后，安排部分政协委员到各自所在的界别进行宣讲，努力把区委的主张转化为全体政协委员、各民主党派、社会各界人士的广泛共识和自觉行动。</w:t>
      </w:r>
    </w:p>
    <w:p>
      <w:pPr>
        <w:keepNext w:val="0"/>
        <w:keepLines w:val="0"/>
        <w:pageBreakBefore w:val="0"/>
        <w:widowControl w:val="0"/>
        <w:kinsoku/>
        <w:wordWrap/>
        <w:overflowPunct/>
        <w:topLinePunct w:val="0"/>
        <w:autoSpaceDE/>
        <w:autoSpaceDN/>
        <w:bidi w:val="0"/>
        <w:adjustRightInd/>
        <w:snapToGrid/>
        <w:spacing w:line="632" w:lineRule="exact"/>
        <w:ind w:firstLine="643"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楷体_GB2312" w:hAnsi="楷体_GB2312" w:eastAsia="楷体_GB2312" w:cs="楷体_GB2312"/>
          <w:b/>
          <w:bCs/>
          <w:spacing w:val="0"/>
          <w:sz w:val="32"/>
          <w:szCs w:val="32"/>
          <w:lang w:val="en-US" w:eastAsia="zh-CN"/>
        </w:rPr>
        <w:t>致力守正创新。</w:t>
      </w:r>
      <w:r>
        <w:rPr>
          <w:rFonts w:hint="eastAsia" w:ascii="仿宋_GB2312" w:hAnsi="仿宋_GB2312" w:eastAsia="仿宋_GB2312" w:cs="仿宋_GB2312"/>
          <w:spacing w:val="0"/>
          <w:kern w:val="2"/>
          <w:sz w:val="32"/>
          <w:szCs w:val="32"/>
          <w:lang w:val="zh-CN" w:eastAsia="zh-CN" w:bidi="ar-SA"/>
        </w:rPr>
        <w:t>充分发挥</w:t>
      </w:r>
      <w:r>
        <w:rPr>
          <w:rFonts w:hint="eastAsia" w:ascii="仿宋_GB2312" w:hAnsi="仿宋_GB2312" w:eastAsia="仿宋_GB2312" w:cs="仿宋_GB2312"/>
          <w:spacing w:val="0"/>
          <w:kern w:val="2"/>
          <w:sz w:val="32"/>
          <w:szCs w:val="32"/>
          <w:lang w:val="en-US" w:eastAsia="zh-CN" w:bidi="ar-SA"/>
        </w:rPr>
        <w:t>区</w:t>
      </w:r>
      <w:r>
        <w:rPr>
          <w:rFonts w:hint="eastAsia" w:ascii="仿宋_GB2312" w:hAnsi="仿宋_GB2312" w:eastAsia="仿宋_GB2312" w:cs="仿宋_GB2312"/>
          <w:spacing w:val="0"/>
          <w:kern w:val="2"/>
          <w:sz w:val="32"/>
          <w:szCs w:val="32"/>
          <w:lang w:val="zh-CN" w:eastAsia="zh-CN" w:bidi="ar-SA"/>
        </w:rPr>
        <w:t>政协党组把方向、管大局、</w:t>
      </w:r>
      <w:r>
        <w:rPr>
          <w:rFonts w:hint="eastAsia" w:ascii="仿宋_GB2312" w:hAnsi="仿宋_GB2312" w:eastAsia="仿宋_GB2312" w:cs="仿宋_GB2312"/>
          <w:spacing w:val="0"/>
          <w:kern w:val="2"/>
          <w:sz w:val="32"/>
          <w:szCs w:val="32"/>
          <w:lang w:val="en-US" w:eastAsia="zh-CN" w:bidi="ar-SA"/>
        </w:rPr>
        <w:t>促</w:t>
      </w:r>
      <w:r>
        <w:rPr>
          <w:rFonts w:hint="eastAsia" w:ascii="仿宋_GB2312" w:hAnsi="仿宋_GB2312" w:eastAsia="仿宋_GB2312" w:cs="仿宋_GB2312"/>
          <w:spacing w:val="0"/>
          <w:kern w:val="2"/>
          <w:sz w:val="32"/>
          <w:szCs w:val="32"/>
          <w:lang w:val="zh-CN" w:eastAsia="zh-CN" w:bidi="ar-SA"/>
        </w:rPr>
        <w:t>落实的领导作用，</w:t>
      </w:r>
      <w:r>
        <w:rPr>
          <w:rFonts w:hint="eastAsia" w:ascii="仿宋_GB2312" w:hAnsi="仿宋_GB2312" w:eastAsia="仿宋_GB2312" w:cs="仿宋_GB2312"/>
          <w:spacing w:val="0"/>
          <w:kern w:val="2"/>
          <w:sz w:val="32"/>
          <w:szCs w:val="32"/>
          <w:lang w:val="en-US" w:eastAsia="zh-CN" w:bidi="ar-SA"/>
        </w:rPr>
        <w:t>定期召开党组会议专题研究部署党建工作，</w:t>
      </w:r>
      <w:r>
        <w:rPr>
          <w:rFonts w:hint="eastAsia" w:ascii="仿宋_GB2312" w:hAnsi="仿宋_GB2312" w:eastAsia="仿宋_GB2312" w:cs="仿宋_GB2312"/>
          <w:spacing w:val="0"/>
          <w:kern w:val="2"/>
          <w:sz w:val="32"/>
          <w:szCs w:val="32"/>
          <w:lang w:val="zh-CN" w:eastAsia="zh-CN" w:bidi="ar-SA"/>
        </w:rPr>
        <w:t>坚决担起“落实下去、凝聚起来”的政治责任。认真落实</w:t>
      </w:r>
      <w:r>
        <w:rPr>
          <w:rFonts w:hint="eastAsia" w:ascii="仿宋_GB2312" w:hAnsi="仿宋_GB2312" w:eastAsia="仿宋_GB2312" w:cs="仿宋_GB2312"/>
          <w:spacing w:val="0"/>
          <w:kern w:val="2"/>
          <w:sz w:val="32"/>
          <w:szCs w:val="32"/>
          <w:lang w:val="en-US" w:eastAsia="zh-CN" w:bidi="ar-SA"/>
        </w:rPr>
        <w:t>主席会议成员</w:t>
      </w:r>
      <w:r>
        <w:rPr>
          <w:rFonts w:hint="eastAsia" w:ascii="仿宋_GB2312" w:hAnsi="仿宋_GB2312" w:eastAsia="仿宋_GB2312" w:cs="仿宋_GB2312"/>
          <w:spacing w:val="0"/>
          <w:kern w:val="2"/>
          <w:sz w:val="32"/>
          <w:szCs w:val="32"/>
          <w:lang w:val="zh-CN" w:eastAsia="zh-CN" w:bidi="ar-SA"/>
        </w:rPr>
        <w:t>联系界别、党员委员联系党外委员、委员联系界别群众等制度</w:t>
      </w:r>
      <w:r>
        <w:rPr>
          <w:rFonts w:hint="eastAsia" w:ascii="仿宋_GB2312" w:hAnsi="仿宋_GB2312" w:eastAsia="仿宋_GB2312" w:cs="仿宋_GB2312"/>
          <w:spacing w:val="0"/>
          <w:kern w:val="2"/>
          <w:sz w:val="32"/>
          <w:szCs w:val="32"/>
          <w:lang w:val="en-US" w:eastAsia="zh-CN" w:bidi="ar-SA"/>
        </w:rPr>
        <w:t>。按照“不建机构建机制”的思路，</w:t>
      </w:r>
      <w:r>
        <w:rPr>
          <w:rFonts w:hint="eastAsia" w:ascii="仿宋_GB2312" w:hAnsi="仿宋_GB2312" w:eastAsia="仿宋_GB2312" w:cs="仿宋_GB2312"/>
          <w:spacing w:val="0"/>
          <w:kern w:val="2"/>
          <w:sz w:val="32"/>
          <w:szCs w:val="32"/>
          <w:lang w:val="zh-CN" w:eastAsia="zh-CN" w:bidi="ar-SA"/>
        </w:rPr>
        <w:t>不断深化拓展，实现“</w:t>
      </w:r>
      <w:r>
        <w:rPr>
          <w:rFonts w:hint="eastAsia" w:ascii="仿宋_GB2312" w:hAnsi="仿宋_GB2312" w:eastAsia="仿宋_GB2312" w:cs="仿宋_GB2312"/>
          <w:spacing w:val="0"/>
          <w:kern w:val="2"/>
          <w:sz w:val="32"/>
          <w:szCs w:val="32"/>
          <w:lang w:val="en-US" w:eastAsia="zh-CN" w:bidi="ar-SA"/>
        </w:rPr>
        <w:t>两个全覆盖</w:t>
      </w:r>
      <w:r>
        <w:rPr>
          <w:rFonts w:hint="eastAsia" w:ascii="仿宋_GB2312" w:hAnsi="仿宋_GB2312" w:eastAsia="仿宋_GB2312" w:cs="仿宋_GB2312"/>
          <w:spacing w:val="0"/>
          <w:kern w:val="2"/>
          <w:sz w:val="32"/>
          <w:szCs w:val="32"/>
          <w:lang w:val="zh-CN" w:eastAsia="zh-CN" w:bidi="ar-SA"/>
        </w:rPr>
        <w:t>”，</w:t>
      </w:r>
      <w:r>
        <w:rPr>
          <w:rFonts w:hint="eastAsia" w:ascii="仿宋_GB2312" w:hAnsi="仿宋_GB2312" w:eastAsia="仿宋_GB2312" w:cs="仿宋_GB2312"/>
          <w:spacing w:val="0"/>
          <w:kern w:val="2"/>
          <w:sz w:val="32"/>
          <w:szCs w:val="32"/>
          <w:lang w:val="en-US" w:eastAsia="zh-CN" w:bidi="ar-SA"/>
        </w:rPr>
        <w:t>在区委的重视关心下，明确由镇（街道）、场党工委副书记联系政协工作</w:t>
      </w:r>
      <w:r>
        <w:rPr>
          <w:rFonts w:hint="eastAsia" w:ascii="仿宋_GB2312" w:hAnsi="仿宋_GB2312" w:eastAsia="仿宋_GB2312" w:cs="仿宋_GB2312"/>
          <w:spacing w:val="0"/>
          <w:kern w:val="2"/>
          <w:sz w:val="32"/>
          <w:szCs w:val="32"/>
          <w:lang w:val="zh-CN" w:eastAsia="zh-CN" w:bidi="ar-SA"/>
        </w:rPr>
        <w:t>，</w:t>
      </w:r>
      <w:r>
        <w:rPr>
          <w:rFonts w:hint="eastAsia" w:ascii="仿宋_GB2312" w:hAnsi="仿宋_GB2312" w:eastAsia="仿宋_GB2312" w:cs="仿宋_GB2312"/>
          <w:spacing w:val="0"/>
          <w:kern w:val="2"/>
          <w:sz w:val="32"/>
          <w:szCs w:val="32"/>
          <w:lang w:val="en-US" w:eastAsia="zh-CN" w:bidi="ar-SA"/>
        </w:rPr>
        <w:t>配齐政协专干，</w:t>
      </w:r>
      <w:r>
        <w:rPr>
          <w:rFonts w:hint="eastAsia" w:ascii="仿宋_GB2312" w:hAnsi="仿宋_GB2312" w:eastAsia="仿宋_GB2312" w:cs="仿宋_GB2312"/>
          <w:spacing w:val="0"/>
          <w:kern w:val="2"/>
          <w:sz w:val="32"/>
          <w:szCs w:val="32"/>
          <w:lang w:val="zh-CN" w:eastAsia="zh-CN" w:bidi="ar-SA"/>
        </w:rPr>
        <w:t>积极</w:t>
      </w:r>
      <w:r>
        <w:rPr>
          <w:rFonts w:hint="eastAsia" w:ascii="仿宋_GB2312" w:hAnsi="仿宋_GB2312" w:eastAsia="仿宋_GB2312" w:cs="仿宋_GB2312"/>
          <w:spacing w:val="0"/>
          <w:kern w:val="2"/>
          <w:sz w:val="32"/>
          <w:szCs w:val="32"/>
          <w:lang w:val="en-US" w:eastAsia="zh-CN" w:bidi="ar-SA"/>
        </w:rPr>
        <w:t>深入各镇（街道）、场，区直部门开展专题调研，梳理短板弱项，研究对策建议，合力破解“两个薄弱”问题，着力提升基层政协工作质效。充分发挥政协党组的政治功能和党员委员的先锋模范作用，运用政协云“党建在线”“数字党建”探索整体联动、多方参与、相互融合的数字党建模式。</w:t>
      </w:r>
    </w:p>
    <w:p>
      <w:pPr>
        <w:keepNext w:val="0"/>
        <w:keepLines w:val="0"/>
        <w:pageBreakBefore w:val="0"/>
        <w:widowControl w:val="0"/>
        <w:kinsoku/>
        <w:wordWrap/>
        <w:overflowPunct/>
        <w:topLinePunct w:val="0"/>
        <w:autoSpaceDE/>
        <w:autoSpaceDN/>
        <w:bidi w:val="0"/>
        <w:adjustRightInd/>
        <w:snapToGrid/>
        <w:spacing w:line="632" w:lineRule="exact"/>
        <w:ind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黑体" w:hAnsi="黑体" w:eastAsia="黑体" w:cs="黑体"/>
          <w:spacing w:val="0"/>
          <w:sz w:val="32"/>
          <w:szCs w:val="32"/>
          <w:lang w:val="en-US" w:eastAsia="zh-CN"/>
        </w:rPr>
        <w:t>2</w:t>
      </w:r>
      <w:r>
        <w:rPr>
          <w:rFonts w:hint="eastAsia" w:ascii="黑体" w:hAnsi="黑体" w:eastAsia="黑体" w:cs="黑体"/>
          <w:spacing w:val="0"/>
          <w:sz w:val="32"/>
          <w:szCs w:val="32"/>
        </w:rPr>
        <w:t>、</w:t>
      </w:r>
      <w:r>
        <w:rPr>
          <w:rFonts w:hint="eastAsia" w:ascii="黑体" w:hAnsi="黑体" w:eastAsia="黑体" w:cs="黑体"/>
          <w:spacing w:val="0"/>
          <w:sz w:val="32"/>
          <w:szCs w:val="32"/>
          <w:lang w:val="en-US" w:eastAsia="zh-CN"/>
        </w:rPr>
        <w:t>建言献策</w:t>
      </w:r>
      <w:r>
        <w:rPr>
          <w:rFonts w:hint="eastAsia" w:ascii="黑体" w:hAnsi="黑体" w:eastAsia="黑体" w:cs="黑体"/>
          <w:spacing w:val="0"/>
          <w:sz w:val="32"/>
          <w:szCs w:val="32"/>
        </w:rPr>
        <w:t>，服务中心更</w:t>
      </w:r>
      <w:r>
        <w:rPr>
          <w:rFonts w:hint="eastAsia" w:ascii="黑体" w:hAnsi="黑体" w:eastAsia="黑体" w:cs="黑体"/>
          <w:spacing w:val="0"/>
          <w:sz w:val="32"/>
          <w:szCs w:val="32"/>
          <w:lang w:val="en-US" w:eastAsia="zh-CN"/>
        </w:rPr>
        <w:t>加有效</w:t>
      </w:r>
    </w:p>
    <w:p>
      <w:pPr>
        <w:keepNext w:val="0"/>
        <w:keepLines w:val="0"/>
        <w:pageBreakBefore w:val="0"/>
        <w:widowControl w:val="0"/>
        <w:kinsoku/>
        <w:wordWrap/>
        <w:overflowPunct/>
        <w:topLinePunct w:val="0"/>
        <w:autoSpaceDE/>
        <w:autoSpaceDN/>
        <w:bidi w:val="0"/>
        <w:adjustRightInd/>
        <w:snapToGrid/>
        <w:spacing w:line="632" w:lineRule="exact"/>
        <w:ind w:firstLine="643"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楷体_GB2312" w:hAnsi="楷体_GB2312" w:eastAsia="楷体_GB2312" w:cs="楷体_GB2312"/>
          <w:b/>
          <w:bCs/>
          <w:spacing w:val="0"/>
          <w:sz w:val="32"/>
          <w:szCs w:val="32"/>
          <w:lang w:val="en-US" w:eastAsia="zh-CN"/>
        </w:rPr>
        <w:t>为高质量发展建诤言。</w:t>
      </w:r>
      <w:r>
        <w:rPr>
          <w:rFonts w:hint="eastAsia" w:ascii="仿宋_GB2312" w:hAnsi="仿宋_GB2312" w:eastAsia="仿宋_GB2312" w:cs="仿宋_GB2312"/>
          <w:spacing w:val="0"/>
          <w:kern w:val="2"/>
          <w:sz w:val="32"/>
          <w:szCs w:val="32"/>
          <w:lang w:val="en-US" w:eastAsia="zh-CN" w:bidi="ar-SA"/>
        </w:rPr>
        <w:t>着眼我区农村现代化，助推乡村振兴，围绕“发展壮大村级集体经济”开展专题议政性协商，提出了6个方面共22条建议；开展“拉动消费，促经济发展”调研，提出“鼓励政策消费、引导融合消费、培育新兴消费”等诸多建议；围绕“优化营商环境，促进民营经济快速健康发展”开展监督协商；坚持把“农文旅体大融合”作为乡村振兴的重中之重，组织界别委员开展“六门闸风干鱼产业发展”和“农村人居环境专项整治”专题视察；紧扣全区高质量发展推进大会主题，走访住君市政协委员并邀请视察我区重大产业项目建设情况；围绕江豚湾5A级景区打造、君山都市农业发展、影视文化消费、精品旅游线路开发、体育赛事举办等事关高质量发展的重要问题开展调研协商，所提建议均被有关部门采纳，</w:t>
      </w:r>
      <w:r>
        <w:rPr>
          <w:rFonts w:hint="eastAsia" w:ascii="仿宋_GB2312" w:hAnsi="仿宋_GB2312" w:eastAsia="仿宋_GB2312" w:cs="仿宋_GB2312"/>
          <w:spacing w:val="0"/>
          <w:sz w:val="32"/>
          <w:szCs w:val="32"/>
        </w:rPr>
        <w:t>彰显了政协之为</w:t>
      </w:r>
      <w:r>
        <w:rPr>
          <w:rFonts w:hint="eastAsia" w:ascii="仿宋_GB2312" w:hAnsi="仿宋_GB2312" w:eastAsia="仿宋_GB2312" w:cs="仿宋_GB2312"/>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32" w:lineRule="exact"/>
        <w:ind w:firstLine="643"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楷体_GB2312" w:hAnsi="楷体_GB2312" w:eastAsia="楷体_GB2312" w:cs="楷体_GB2312"/>
          <w:b/>
          <w:bCs/>
          <w:spacing w:val="0"/>
          <w:sz w:val="32"/>
          <w:szCs w:val="32"/>
          <w:lang w:val="en-US" w:eastAsia="zh-CN"/>
        </w:rPr>
        <w:t>为民生实事献良策。</w:t>
      </w:r>
      <w:r>
        <w:rPr>
          <w:rFonts w:hint="eastAsia" w:ascii="仿宋_GB2312" w:hAnsi="仿宋_GB2312" w:eastAsia="仿宋_GB2312" w:cs="仿宋_GB2312"/>
          <w:spacing w:val="0"/>
          <w:kern w:val="2"/>
          <w:sz w:val="32"/>
          <w:szCs w:val="32"/>
          <w:lang w:val="en-US" w:eastAsia="zh-CN" w:bidi="ar-SA"/>
        </w:rPr>
        <w:t>着眼促进教育优先发展，协商办理《关于“双减”背景下做好农村小学家校共育建议》的重点提案；聚焦人民对美好生活的向往，民主评议全区医疗保障工作；围绕建设平安君山，开展应急管理工作对口协商；关注群众反映强烈的挂口柳毅社区老旧小区物业管理、新洲菜市场改扩建、中心城区电动车管理等突出问题，开展提案督办和民主监督，助推相关问题解决；建议产业园区应对压力挑战，完善“能耗双控”，加快产业升级转型；视察监督宗教活动场所建设情况，助推提升宗教工作规范化法治化水平；密切关注劳动就业、社会保障、就学就医、文化体育、社区康养等领域，广泛开展协商议政、调研视察、民主监督等活动，以新气象、新作为助推君山各项社会事业健康发展。</w:t>
      </w:r>
    </w:p>
    <w:p>
      <w:pPr>
        <w:keepNext w:val="0"/>
        <w:keepLines w:val="0"/>
        <w:pageBreakBefore w:val="0"/>
        <w:widowControl w:val="0"/>
        <w:kinsoku/>
        <w:wordWrap/>
        <w:overflowPunct/>
        <w:topLinePunct w:val="0"/>
        <w:autoSpaceDE/>
        <w:autoSpaceDN/>
        <w:bidi w:val="0"/>
        <w:adjustRightInd/>
        <w:snapToGrid/>
        <w:spacing w:line="632" w:lineRule="exact"/>
        <w:ind w:firstLine="643" w:firstLineChars="200"/>
        <w:textAlignment w:val="auto"/>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楷体_GB2312" w:hAnsi="楷体_GB2312" w:eastAsia="楷体_GB2312" w:cs="楷体_GB2312"/>
          <w:b/>
          <w:bCs/>
          <w:spacing w:val="0"/>
          <w:sz w:val="32"/>
          <w:szCs w:val="32"/>
          <w:lang w:val="en-US" w:eastAsia="zh-CN"/>
        </w:rPr>
        <w:t>为生态建设勇担当。</w:t>
      </w:r>
      <w:r>
        <w:rPr>
          <w:rFonts w:hint="eastAsia" w:ascii="仿宋_GB2312" w:hAnsi="仿宋_GB2312" w:eastAsia="仿宋_GB2312" w:cs="仿宋_GB2312"/>
          <w:spacing w:val="0"/>
          <w:kern w:val="2"/>
          <w:sz w:val="32"/>
          <w:szCs w:val="32"/>
          <w:lang w:val="en-US" w:eastAsia="zh-CN" w:bidi="ar-SA"/>
        </w:rPr>
        <w:t>扎实扛牢“守护好一江碧水”政治责任，按照省政协“1453”工作部署，积极融入市政协“五个率先”</w:t>
      </w:r>
      <w:r>
        <w:rPr>
          <w:rFonts w:hint="eastAsia" w:ascii="仿宋_GB2312" w:hAnsi="仿宋_GB2312" w:eastAsia="仿宋_GB2312" w:cs="仿宋_GB2312"/>
          <w:spacing w:val="0"/>
          <w:kern w:val="2"/>
          <w:sz w:val="32"/>
          <w:szCs w:val="32"/>
          <w:lang w:val="en" w:eastAsia="zh-CN" w:bidi="ar-SA"/>
        </w:rPr>
        <w:t>，</w:t>
      </w:r>
      <w:r>
        <w:rPr>
          <w:rFonts w:hint="eastAsia" w:ascii="仿宋_GB2312" w:hAnsi="仿宋_GB2312" w:eastAsia="仿宋_GB2312" w:cs="仿宋_GB2312"/>
          <w:spacing w:val="0"/>
          <w:sz w:val="32"/>
          <w:szCs w:val="32"/>
          <w:lang w:val="en" w:eastAsia="zh-CN"/>
        </w:rPr>
        <w:t>通过“五大联动”“五种形式”“五项机制”扎实开展</w:t>
      </w:r>
      <w:r>
        <w:rPr>
          <w:rFonts w:hint="eastAsia" w:ascii="仿宋_GB2312" w:hAnsi="仿宋_GB2312" w:eastAsia="仿宋_GB2312" w:cs="仿宋_GB2312"/>
          <w:color w:val="auto"/>
          <w:spacing w:val="0"/>
          <w:sz w:val="32"/>
          <w:szCs w:val="32"/>
          <w:lang w:val="en-US" w:eastAsia="zh-CN"/>
        </w:rPr>
        <w:t>改善生态环境专项民主监督</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spacing w:val="0"/>
          <w:kern w:val="2"/>
          <w:sz w:val="32"/>
          <w:szCs w:val="32"/>
          <w:lang w:val="en-US" w:eastAsia="zh-CN" w:bidi="ar-SA"/>
        </w:rPr>
        <w:t>围绕水污染治理、大气污染治理、产业转型、农业农村生态环境、关注森林、文旅产业发展、城镇环境污染七大专项工作，以“主席会成员＋专委会＋界别”形式，成立了7个监督小组。组织政协委员走街巷店铺、江湖库渠、山林田地开展调研视察，进法院、检察院、环保、水利、农业农村、住建、市场监管等部门开展协商监督。全区政协系统12个界别143名政协委员、界别群众近万人参与农村黑臭水体治理、禁止露天焚烧秸秆、植树造林、文明祭祀、农村“厕所革命”、禁燃烟花爆竹和噪音治理等重点工作，</w:t>
      </w:r>
      <w:r>
        <w:rPr>
          <w:rFonts w:hint="eastAsia" w:ascii="仿宋_GB2312" w:hAnsi="仿宋_GB2312" w:eastAsia="仿宋_GB2312" w:cs="仿宋_GB2312"/>
          <w:spacing w:val="0"/>
          <w:kern w:val="2"/>
          <w:sz w:val="32"/>
          <w:szCs w:val="32"/>
          <w:lang w:val="en" w:eastAsia="zh-CN" w:bidi="ar-SA"/>
        </w:rPr>
        <w:t>助力把更多“问题清单”变成“成果清单”</w:t>
      </w:r>
      <w:r>
        <w:rPr>
          <w:rFonts w:hint="eastAsia" w:ascii="仿宋_GB2312" w:hAnsi="仿宋_GB2312" w:eastAsia="仿宋_GB2312" w:cs="仿宋_GB2312"/>
          <w:spacing w:val="0"/>
          <w:kern w:val="2"/>
          <w:sz w:val="32"/>
          <w:szCs w:val="32"/>
          <w:lang w:val="en-US" w:eastAsia="zh-CN" w:bidi="ar-SA"/>
        </w:rPr>
        <w:t>。56场次专项监督活动和14场次专题协商，推动解决生态环保问题38个，</w:t>
      </w:r>
      <w:r>
        <w:rPr>
          <w:rFonts w:hint="eastAsia" w:ascii="仿宋_GB2312" w:hAnsi="仿宋_GB2312" w:eastAsia="仿宋_GB2312" w:cs="仿宋_GB2312"/>
          <w:color w:val="auto"/>
          <w:spacing w:val="0"/>
          <w:sz w:val="32"/>
          <w:szCs w:val="32"/>
          <w:lang w:val="en-US" w:eastAsia="zh-CN"/>
        </w:rPr>
        <w:t>用</w:t>
      </w:r>
      <w:r>
        <w:rPr>
          <w:rFonts w:hint="eastAsia" w:ascii="仿宋_GB2312" w:hAnsi="仿宋_GB2312" w:eastAsia="仿宋_GB2312" w:cs="仿宋_GB2312"/>
          <w:color w:val="000000"/>
          <w:spacing w:val="0"/>
          <w:sz w:val="32"/>
          <w:szCs w:val="32"/>
          <w:lang w:val="en-US" w:eastAsia="zh-CN"/>
        </w:rPr>
        <w:t>“有温度的监督”推动了“有力度的落实”。</w:t>
      </w:r>
      <w:r>
        <w:rPr>
          <w:rFonts w:hint="eastAsia" w:ascii="仿宋_GB2312" w:hAnsi="仿宋_GB2312" w:eastAsia="仿宋_GB2312" w:cs="仿宋_GB2312"/>
          <w:spacing w:val="0"/>
          <w:kern w:val="2"/>
          <w:sz w:val="32"/>
          <w:szCs w:val="32"/>
          <w:lang w:val="en-US" w:eastAsia="zh-CN" w:bidi="ar-SA"/>
        </w:rPr>
        <w:t>全区政协委员立足工作岗位积极作为，奋战环保攻坚工作一线，宋玉成、胡敏等2名政协委员在“绿水青山·大美君山”全国生态日主题宣传活动仪式上获得表彰表扬，生动诠释了新时代政协人的责</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任担当。</w:t>
      </w:r>
    </w:p>
    <w:p>
      <w:pPr>
        <w:keepNext w:val="0"/>
        <w:keepLines w:val="0"/>
        <w:pageBreakBefore w:val="0"/>
        <w:widowControl w:val="0"/>
        <w:kinsoku/>
        <w:wordWrap/>
        <w:overflowPunct/>
        <w:topLinePunct w:val="0"/>
        <w:autoSpaceDE/>
        <w:autoSpaceDN/>
        <w:bidi w:val="0"/>
        <w:adjustRightInd/>
        <w:snapToGrid/>
        <w:spacing w:line="632" w:lineRule="exact"/>
        <w:ind w:firstLine="643" w:firstLineChars="200"/>
        <w:textAlignment w:val="auto"/>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楷体_GB2312" w:hAnsi="楷体_GB2312" w:eastAsia="楷体_GB2312" w:cs="楷体_GB2312"/>
          <w:b/>
          <w:bCs/>
          <w:spacing w:val="0"/>
          <w:sz w:val="32"/>
          <w:szCs w:val="32"/>
          <w:lang w:val="en-US" w:eastAsia="zh-CN"/>
        </w:rPr>
        <w:t>为中心工作善作为。</w:t>
      </w:r>
      <w:r>
        <w:rPr>
          <w:rFonts w:hint="eastAsia" w:ascii="仿宋_GB2312" w:hAnsi="仿宋_GB2312" w:eastAsia="仿宋_GB2312" w:cs="仿宋_GB2312"/>
          <w:spacing w:val="0"/>
          <w:kern w:val="2"/>
          <w:sz w:val="32"/>
          <w:szCs w:val="32"/>
          <w:lang w:val="en-US" w:eastAsia="zh-CN" w:bidi="ar-SA"/>
        </w:rPr>
        <w:t>区政协党组、主席会成员</w:t>
      </w:r>
      <w:r>
        <w:rPr>
          <w:rFonts w:hint="eastAsia" w:ascii="仿宋_GB2312" w:hAnsi="仿宋_GB2312" w:eastAsia="仿宋_GB2312" w:cs="仿宋_GB2312"/>
          <w:color w:val="000000" w:themeColor="text1"/>
          <w:spacing w:val="0"/>
          <w:sz w:val="32"/>
          <w:szCs w:val="32"/>
          <w14:textFill>
            <w14:solidFill>
              <w14:schemeClr w14:val="tx1"/>
            </w14:solidFill>
          </w14:textFill>
        </w:rPr>
        <w:t>认真落实</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区委统一部署</w:t>
      </w:r>
      <w:r>
        <w:rPr>
          <w:rFonts w:hint="eastAsia" w:ascii="仿宋_GB2312" w:hAnsi="仿宋_GB2312" w:eastAsia="仿宋_GB2312" w:cs="仿宋_GB2312"/>
          <w:color w:val="000000" w:themeColor="text1"/>
          <w:spacing w:val="0"/>
          <w:sz w:val="32"/>
          <w:szCs w:val="32"/>
          <w14:textFill>
            <w14:solidFill>
              <w14:schemeClr w14:val="tx1"/>
            </w14:solidFill>
          </w14:textFill>
        </w:rPr>
        <w:t>，积极参与</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中心工作，联点镇、村、学校、企业及重点建设项目，深入基层“走找想促”，协调解决实际困难。担任君山区先进装备制造产业链链长，多次深入企业调研座谈，协调相关部门及时解决用地、用电、用工等实际困难</w:t>
      </w:r>
      <w:r>
        <w:rPr>
          <w:rFonts w:hint="eastAsia" w:ascii="仿宋_GB2312" w:hAnsi="仿宋_GB2312" w:eastAsia="仿宋_GB2312" w:cs="仿宋_GB2312"/>
          <w:color w:val="000000" w:themeColor="text1"/>
          <w:spacing w:val="0"/>
          <w:sz w:val="32"/>
          <w:szCs w:val="32"/>
          <w14:textFill>
            <w14:solidFill>
              <w14:schemeClr w14:val="tx1"/>
            </w14:solidFill>
          </w14:textFill>
        </w:rPr>
        <w:t>，</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为产业发展履职担当。带队赴北京、杭州等地考察，牵头建成了全省首个低碳科普公园。负责推进君山垸城乡供水一体化和乡镇中</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心水厂的项目建设，大幅度提升了君山城区供水能力和质量，广兴洲、许市、钱粮湖和良心堡四镇百姓的生活用水问题明</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年有望解决。在</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创建</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全国文明城市</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、全</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区招商引资</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、全域安</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全治理等诸多工作中，</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政协坚持</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有</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呼必应、</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有</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招必至，</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见行见效</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32" w:lineRule="exact"/>
        <w:ind w:firstLine="640" w:firstLineChars="200"/>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3</w:t>
      </w:r>
      <w:r>
        <w:rPr>
          <w:rFonts w:hint="eastAsia" w:ascii="黑体" w:hAnsi="黑体" w:eastAsia="黑体" w:cs="黑体"/>
          <w:spacing w:val="0"/>
          <w:sz w:val="32"/>
          <w:szCs w:val="32"/>
        </w:rPr>
        <w:t>、</w:t>
      </w:r>
      <w:r>
        <w:rPr>
          <w:rFonts w:hint="eastAsia" w:ascii="黑体" w:hAnsi="黑体" w:eastAsia="黑体" w:cs="黑体"/>
          <w:spacing w:val="0"/>
          <w:sz w:val="32"/>
          <w:szCs w:val="32"/>
          <w:lang w:val="en-US" w:eastAsia="zh-CN"/>
        </w:rPr>
        <w:t>服务群众</w:t>
      </w:r>
      <w:r>
        <w:rPr>
          <w:rFonts w:hint="eastAsia" w:ascii="黑体" w:hAnsi="黑体" w:eastAsia="黑体" w:cs="黑体"/>
          <w:spacing w:val="0"/>
          <w:sz w:val="32"/>
          <w:szCs w:val="32"/>
        </w:rPr>
        <w:t>，为民情怀更加</w:t>
      </w:r>
      <w:r>
        <w:rPr>
          <w:rFonts w:hint="eastAsia" w:ascii="黑体" w:hAnsi="黑体" w:eastAsia="黑体" w:cs="黑体"/>
          <w:spacing w:val="0"/>
          <w:sz w:val="32"/>
          <w:szCs w:val="32"/>
          <w:lang w:val="en-US" w:eastAsia="zh-CN"/>
        </w:rPr>
        <w:t>彰显</w:t>
      </w:r>
    </w:p>
    <w:p>
      <w:pPr>
        <w:keepNext w:val="0"/>
        <w:keepLines w:val="0"/>
        <w:pageBreakBefore w:val="0"/>
        <w:widowControl w:val="0"/>
        <w:kinsoku/>
        <w:wordWrap/>
        <w:overflowPunct/>
        <w:topLinePunct w:val="0"/>
        <w:autoSpaceDE/>
        <w:autoSpaceDN/>
        <w:bidi w:val="0"/>
        <w:adjustRightInd/>
        <w:snapToGrid/>
        <w:spacing w:line="632" w:lineRule="exact"/>
        <w:ind w:firstLine="643" w:firstLineChars="200"/>
        <w:textAlignment w:val="auto"/>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楷体_GB2312" w:hAnsi="楷体_GB2312" w:eastAsia="楷体_GB2312" w:cs="楷体_GB2312"/>
          <w:b/>
          <w:bCs/>
          <w:spacing w:val="0"/>
          <w:sz w:val="32"/>
          <w:szCs w:val="32"/>
          <w:lang w:val="en-US" w:eastAsia="zh-CN"/>
        </w:rPr>
        <w:t>持续擦亮协商品牌。</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通过开展“委员活动日”活动，引导政协委员创新小微协商，下沉基层一线，坐到群众身边，助推“檀树心语”“六门闸社区网格活动日”“共话许市”“沿江夜话”“濠河夜谈”等，基层协商更具烟火气息、政协味道。一年来，广大政协委员围绕人居环境、农村养老、居家出行、农民创收、村级集体经济等问题开展协商议事活动56次，提出意见建议117条，解决实际问题35个。君山区“帮企一把”政协委员工作室被市政协评为“有事来协商”示范性委员工作室，“星星义工”政协委员工作室被评为省级先进协商平台，傅维国委员被评为省级先进个人。</w:t>
      </w:r>
    </w:p>
    <w:p>
      <w:pPr>
        <w:keepNext w:val="0"/>
        <w:keepLines w:val="0"/>
        <w:pageBreakBefore w:val="0"/>
        <w:widowControl w:val="0"/>
        <w:kinsoku/>
        <w:wordWrap/>
        <w:overflowPunct/>
        <w:topLinePunct w:val="0"/>
        <w:autoSpaceDE/>
        <w:autoSpaceDN/>
        <w:bidi w:val="0"/>
        <w:adjustRightInd/>
        <w:snapToGrid/>
        <w:spacing w:line="632" w:lineRule="exact"/>
        <w:ind w:firstLine="643"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楷体_GB2312" w:hAnsi="楷体_GB2312" w:eastAsia="楷体_GB2312" w:cs="楷体_GB2312"/>
          <w:b/>
          <w:bCs/>
          <w:spacing w:val="0"/>
          <w:sz w:val="32"/>
          <w:szCs w:val="32"/>
          <w:lang w:val="en-US" w:eastAsia="zh-CN"/>
        </w:rPr>
        <w:t>充分发挥委员潜能。</w:t>
      </w:r>
      <w:r>
        <w:rPr>
          <w:rFonts w:hint="eastAsia" w:ascii="仿宋_GB2312" w:hAnsi="仿宋_GB2312" w:eastAsia="仿宋_GB2312" w:cs="仿宋_GB2312"/>
          <w:spacing w:val="0"/>
          <w:kern w:val="2"/>
          <w:sz w:val="32"/>
          <w:szCs w:val="32"/>
          <w:lang w:val="en-US" w:eastAsia="zh-CN" w:bidi="ar-SA"/>
        </w:rPr>
        <w:t>一年来，全区71名政协委员积极参与“双助”活动，解决群众“急难愁盼”问题74件。区政协办公室持续开展“我为群众办实事”专项行动，联点帮扶钱粮湖镇马颈河村、丰收村、百花社区提升基层治理水平；农业农村和人口资源环境委积极推广“孙文委员种苗培育”“尹力委员电商带动”“李志华委员水稻种植”“周先军委员市场拓展”“汤志凯委员龙虾养殖”等典型做法；社会法制和民族宗教委开展健全我区志愿服务体系专题调研，组织开展“政协委员助力，励志少年圆梦”爱心助学活动，为全区33名品学兼优、家境困难的学生送去助学资金3万多元；文教卫体和文史委组织政协委员在低碳科普公园、柳毅社区、朝阳社区开展家庭健康知识讲座和中医义诊活动，共计发放科普宣传单1000余份。全区12个界别委员坚持每月深入基层开展政策宣传、环境整治、科技下乡等志愿服务，全年送文艺、送医疗、送技术、送法律下乡活动60多场次，争取和捐助帮扶资金近百万元。全区政协组织和广大政协委员为国履职、为民尽责，充分彰显了“聚是一团火，散是满天星”的强大凝聚力和战斗力。</w:t>
      </w:r>
    </w:p>
    <w:p>
      <w:pPr>
        <w:keepNext w:val="0"/>
        <w:keepLines w:val="0"/>
        <w:pageBreakBefore w:val="0"/>
        <w:widowControl w:val="0"/>
        <w:kinsoku/>
        <w:wordWrap/>
        <w:overflowPunct/>
        <w:topLinePunct w:val="0"/>
        <w:autoSpaceDE/>
        <w:autoSpaceDN/>
        <w:bidi w:val="0"/>
        <w:adjustRightInd/>
        <w:snapToGrid/>
        <w:spacing w:line="632" w:lineRule="exact"/>
        <w:ind w:firstLine="643"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楷体_GB2312" w:hAnsi="楷体_GB2312" w:eastAsia="楷体_GB2312" w:cs="楷体_GB2312"/>
          <w:b/>
          <w:bCs/>
          <w:spacing w:val="0"/>
          <w:sz w:val="32"/>
          <w:szCs w:val="32"/>
          <w:lang w:val="en-US" w:eastAsia="zh-CN"/>
        </w:rPr>
        <w:t>不断强化提案办理。</w:t>
      </w:r>
      <w:r>
        <w:rPr>
          <w:rFonts w:hint="eastAsia" w:ascii="仿宋_GB2312" w:hAnsi="仿宋_GB2312" w:eastAsia="仿宋_GB2312" w:cs="仿宋_GB2312"/>
          <w:color w:val="auto"/>
          <w:spacing w:val="0"/>
          <w:kern w:val="2"/>
          <w:sz w:val="32"/>
          <w:szCs w:val="32"/>
          <w:lang w:val="en-US" w:eastAsia="zh-CN" w:bidi="ar-SA"/>
        </w:rPr>
        <w:t>区委办、区政府办、区政协办“三办”联合印发政协提案办理督办工作方案。落实落细区委、区政府主要领导对提案工作的指示批示，区委政府分管领导、区政协主席会成员以上率下、领衔督办6件重点提案，推动提案办理工作高质高效。承办单位与提案委员深入沟通交流、深度协商互动，促进提案所提问题有效解决。一年来，共收到委员提案60件，立案48件，办复率100%，满意率98%，其中聚焦关爱“一老一小”、教育、医疗、就业等热点难点，交办督办涉及民生领域提案18件，许多合理化意见建议被相关部门吸收采纳，落实到了具体工作中，提案成果得到有效转化。</w:t>
      </w:r>
    </w:p>
    <w:p>
      <w:pPr>
        <w:keepNext w:val="0"/>
        <w:keepLines w:val="0"/>
        <w:pageBreakBefore w:val="0"/>
        <w:widowControl w:val="0"/>
        <w:kinsoku/>
        <w:wordWrap/>
        <w:overflowPunct/>
        <w:topLinePunct w:val="0"/>
        <w:autoSpaceDE/>
        <w:autoSpaceDN/>
        <w:bidi w:val="0"/>
        <w:adjustRightInd/>
        <w:snapToGrid/>
        <w:spacing w:line="632" w:lineRule="exact"/>
        <w:ind w:firstLine="643" w:firstLineChars="200"/>
        <w:textAlignment w:val="auto"/>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楷体_GB2312" w:hAnsi="楷体_GB2312" w:eastAsia="楷体_GB2312" w:cs="楷体_GB2312"/>
          <w:b/>
          <w:bCs/>
          <w:spacing w:val="0"/>
          <w:sz w:val="32"/>
          <w:szCs w:val="32"/>
          <w:lang w:val="en-US" w:eastAsia="zh-CN"/>
        </w:rPr>
        <w:t>广泛凝聚发展共识。</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一年来，我们同站一个台，加强与委员交流，委员距离更近；我们同温一段情，加强与寓外乡友交流，乡友情结更浓；我们同唱一首歌，通过“网端微屏”宣传君山，推介君山，全国政协副主席邵鸿，省政协主席毛万春，副主席胡伟林、肖百灵等全国、省、市政协领导先后来君山调研指导10余次，接待兄弟县（市）区政协考察团27批次；我们同圆一个梦，联络联谊更活，主动加强与外界同行交流，参加湖北石首市桃花节、华容县啤酒节、湘鄂边五县市区政协工作研讨会，促成了君山芦苇总</w:t>
      </w:r>
      <w:r>
        <w:rPr>
          <w:rFonts w:hint="eastAsia" w:ascii="仿宋_GB2312" w:hAnsi="仿宋_GB2312" w:eastAsia="仿宋_GB2312" w:cs="仿宋_GB2312"/>
          <w:color w:val="000000" w:themeColor="text1"/>
          <w:spacing w:val="0"/>
          <w:kern w:val="2"/>
          <w:sz w:val="32"/>
          <w:szCs w:val="32"/>
          <w:lang w:eastAsia="zh-CN" w:bidi="ar-SA"/>
          <w14:textFill>
            <w14:solidFill>
              <w14:schemeClr w14:val="tx1"/>
            </w14:solidFill>
          </w14:textFill>
        </w:rPr>
        <w:t>场</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与</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湖北仙鹤新材料有限公司</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的友好合作</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；我们同举一面旗，加强与省、市政协联动合作，配合省、市政协开展课题调研18个，努力争取省、市级层面对君山的关注和支持，君山区知名度与影响力不断扩大。</w:t>
      </w:r>
    </w:p>
    <w:p>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存在的问题及原因分析</w:t>
      </w:r>
    </w:p>
    <w:p>
      <w:pPr>
        <w:pStyle w:val="4"/>
        <w:numPr>
          <w:ilvl w:val="0"/>
          <w:numId w:val="0"/>
        </w:numPr>
        <w:ind w:firstLine="620" w:firstLineChars="200"/>
        <w:rPr>
          <w:rFonts w:hint="eastAsia"/>
          <w:lang w:val="en-US" w:eastAsia="zh-CN"/>
        </w:rPr>
      </w:pPr>
      <w:r>
        <w:rPr>
          <w:rFonts w:hint="eastAsia"/>
          <w:lang w:val="en-US" w:eastAsia="zh-CN"/>
        </w:rPr>
        <w:t>1、绩效管理体系需要逐渐健全。首先，需要进一步建立健全预算绩效管理制度，预算绩效管理工作提供强有力的制度保障；其次，需要进一步建立健全绩效评价指标体系，对个性化指标进行不断优化调整。</w:t>
      </w:r>
    </w:p>
    <w:p>
      <w:pPr>
        <w:pStyle w:val="4"/>
        <w:numPr>
          <w:ilvl w:val="0"/>
          <w:numId w:val="0"/>
        </w:numPr>
        <w:ind w:firstLine="620" w:firstLineChars="200"/>
        <w:rPr>
          <w:rFonts w:hint="eastAsia"/>
          <w:lang w:val="en-US" w:eastAsia="zh-CN"/>
        </w:rPr>
      </w:pPr>
      <w:r>
        <w:rPr>
          <w:rFonts w:hint="eastAsia"/>
          <w:lang w:val="en-US" w:eastAsia="zh-CN"/>
        </w:rPr>
        <w:t>2、绩效目标设置有待提高。在今后的预算编制工作中，绩效目标的设置需更加科学化、精细化。</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下一步改进措施</w:t>
      </w:r>
    </w:p>
    <w:p>
      <w:pPr>
        <w:pStyle w:val="4"/>
        <w:ind w:firstLine="640"/>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1、做好财政预算资金安排。根据下一年度的工作计划，提前预算，规范操作、严格控制开支范围，节约成本，提高效率。</w:t>
      </w:r>
    </w:p>
    <w:p>
      <w:pPr>
        <w:pStyle w:val="4"/>
        <w:ind w:firstLine="640"/>
        <w:rPr>
          <w:rFonts w:hint="default"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2、通过加强监督检查，对财政预算资金的使用及配套情况有了进一步了解，规范了财政预算资金的使用。</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rPr>
      </w:pPr>
      <w:r>
        <w:rPr>
          <w:rFonts w:hint="eastAsia" w:ascii="Times New Roman" w:hAnsi="Times New Roman" w:eastAsia="仿宋_GB2312" w:cs="Times New Roman"/>
          <w:sz w:val="32"/>
          <w:szCs w:val="32"/>
          <w:lang w:val="en-US" w:eastAsia="zh-CN"/>
        </w:rPr>
        <w:t>对部门整体支出绩效自评在规定时间内公开至本单位门户网站，确保公开数据真实、完整、准确。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kern w:val="0"/>
          <w:sz w:val="32"/>
          <w:szCs w:val="32"/>
          <w:lang w:val="en-US" w:eastAsia="zh-CN" w:bidi="ar-SA"/>
        </w:rPr>
        <w:t>无。</w:t>
      </w:r>
      <w:r>
        <w:rPr>
          <w:rFonts w:hint="eastAsia" w:ascii="Times New Roman" w:hAnsi="Times New Roman" w:eastAsia="仿宋_GB2312" w:cs="Times New Roman"/>
          <w:kern w:val="0"/>
          <w:sz w:val="32"/>
          <w:szCs w:val="32"/>
          <w:lang w:val="en-US" w:eastAsia="zh-CN" w:bidi="ar-SA"/>
        </w:rPr>
        <w:br w:type="page"/>
      </w: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21</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4.1</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4.50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2.65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4.1</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4.50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2.65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176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8</w:t>
            </w:r>
            <w:r>
              <w:rPr>
                <w:rFonts w:hint="eastAsia" w:ascii="仿宋_GB2312" w:hAnsi="仿宋_GB2312" w:eastAsia="仿宋_GB2312" w:cs="仿宋_GB2312"/>
                <w:sz w:val="20"/>
                <w:szCs w:val="20"/>
                <w:highlight w:val="none"/>
                <w:lang w:val="en-US" w:eastAsia="zh-CN"/>
              </w:rPr>
              <w:t>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176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8</w:t>
            </w:r>
            <w:r>
              <w:rPr>
                <w:rFonts w:hint="eastAsia" w:ascii="仿宋_GB2312" w:hAnsi="仿宋_GB2312" w:eastAsia="仿宋_GB2312" w:cs="仿宋_GB2312"/>
                <w:sz w:val="20"/>
                <w:szCs w:val="20"/>
                <w:highlight w:val="none"/>
                <w:lang w:val="en-US" w:eastAsia="zh-CN"/>
              </w:rPr>
              <w:t>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176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8</w:t>
            </w:r>
            <w:r>
              <w:rPr>
                <w:rFonts w:hint="eastAsia" w:ascii="仿宋_GB2312" w:hAnsi="仿宋_GB2312" w:eastAsia="仿宋_GB2312" w:cs="仿宋_GB2312"/>
                <w:sz w:val="20"/>
                <w:szCs w:val="20"/>
                <w:highlight w:val="none"/>
                <w:lang w:val="en-US" w:eastAsia="zh-CN"/>
              </w:rPr>
              <w:t>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176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8</w:t>
            </w:r>
            <w:r>
              <w:rPr>
                <w:rFonts w:hint="eastAsia" w:ascii="仿宋_GB2312" w:hAnsi="仿宋_GB2312" w:eastAsia="仿宋_GB2312" w:cs="仿宋_GB2312"/>
                <w:sz w:val="20"/>
                <w:szCs w:val="20"/>
                <w:highlight w:val="none"/>
                <w:lang w:val="en-US" w:eastAsia="zh-CN"/>
              </w:rPr>
              <w:t>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122.25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60</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6</w:t>
            </w:r>
            <w:r>
              <w:rPr>
                <w:rFonts w:hint="eastAsia" w:ascii="仿宋_GB2312" w:hAnsi="仿宋_GB2312" w:eastAsia="仿宋_GB2312" w:cs="仿宋_GB2312"/>
                <w:sz w:val="20"/>
                <w:szCs w:val="20"/>
                <w:highlight w:val="none"/>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60</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6</w:t>
            </w:r>
            <w:r>
              <w:rPr>
                <w:rFonts w:hint="eastAsia" w:ascii="仿宋_GB2312" w:hAnsi="仿宋_GB2312" w:eastAsia="仿宋_GB2312" w:cs="仿宋_GB2312"/>
                <w:sz w:val="20"/>
                <w:szCs w:val="20"/>
                <w:highlight w:val="none"/>
                <w:lang w:val="en-US" w:eastAsia="zh-CN"/>
              </w:rPr>
              <w:t>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17.45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7.33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7.33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0.38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0.35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0.35</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sz w:val="20"/>
                <w:szCs w:val="20"/>
                <w:highlight w:val="none"/>
                <w:lang w:val="en-US" w:eastAsia="zh-CN"/>
              </w:rPr>
              <w:t>8.62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9.71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9.71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28</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10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28</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10</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rPr>
              <w:t>575</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6</w:t>
            </w:r>
            <w:r>
              <w:rPr>
                <w:rFonts w:hint="eastAsia" w:ascii="仿宋_GB2312" w:hAnsi="仿宋_GB2312" w:eastAsia="仿宋_GB2312" w:cs="仿宋_GB2312"/>
                <w:color w:val="000000"/>
                <w:sz w:val="20"/>
                <w:szCs w:val="20"/>
                <w:highlight w:val="none"/>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575</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6</w:t>
            </w: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特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079" w:type="dxa"/>
        <w:jc w:val="center"/>
        <w:tblLayout w:type="fixed"/>
        <w:tblCellMar>
          <w:top w:w="0" w:type="dxa"/>
          <w:left w:w="108" w:type="dxa"/>
          <w:bottom w:w="0" w:type="dxa"/>
          <w:right w:w="108" w:type="dxa"/>
        </w:tblCellMar>
      </w:tblPr>
      <w:tblGrid>
        <w:gridCol w:w="1080"/>
        <w:gridCol w:w="1080"/>
        <w:gridCol w:w="1073"/>
        <w:gridCol w:w="1650"/>
        <w:gridCol w:w="1455"/>
        <w:gridCol w:w="1410"/>
        <w:gridCol w:w="525"/>
        <w:gridCol w:w="705"/>
        <w:gridCol w:w="1101"/>
      </w:tblGrid>
      <w:tr>
        <w:tblPrEx>
          <w:tblCellMar>
            <w:top w:w="0" w:type="dxa"/>
            <w:left w:w="108" w:type="dxa"/>
            <w:bottom w:w="0" w:type="dxa"/>
            <w:right w:w="108" w:type="dxa"/>
          </w:tblCellMar>
        </w:tblPrEx>
        <w:trPr>
          <w:trHeight w:val="51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中国人民政治协商会议岳阳市君山区委员会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5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65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45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41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52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0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0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5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65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627.22</w:t>
            </w:r>
          </w:p>
        </w:tc>
        <w:tc>
          <w:tcPr>
            <w:tcW w:w="145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eastAsia="zh-CN"/>
              </w:rPr>
              <w:t>752</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w:t>
            </w:r>
            <w:r>
              <w:rPr>
                <w:rFonts w:hint="eastAsia" w:ascii="仿宋_GB2312" w:hAnsi="仿宋_GB2312" w:eastAsia="仿宋_GB2312" w:cs="仿宋_GB2312"/>
                <w:sz w:val="20"/>
                <w:szCs w:val="20"/>
                <w:highlight w:val="none"/>
                <w:lang w:val="en-US" w:eastAsia="zh-CN"/>
              </w:rPr>
              <w:t>7</w:t>
            </w:r>
          </w:p>
        </w:tc>
        <w:tc>
          <w:tcPr>
            <w:tcW w:w="141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752</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w:t>
            </w:r>
            <w:r>
              <w:rPr>
                <w:rFonts w:hint="eastAsia" w:ascii="仿宋_GB2312" w:hAnsi="仿宋_GB2312" w:eastAsia="仿宋_GB2312" w:cs="仿宋_GB2312"/>
                <w:sz w:val="20"/>
                <w:szCs w:val="20"/>
                <w:highlight w:val="none"/>
                <w:lang w:val="en-US" w:eastAsia="zh-CN"/>
              </w:rPr>
              <w:t>7</w:t>
            </w:r>
          </w:p>
        </w:tc>
        <w:tc>
          <w:tcPr>
            <w:tcW w:w="52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0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10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25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74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25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eastAsia="zh-CN"/>
              </w:rPr>
              <w:t>752</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w:t>
            </w:r>
            <w:r>
              <w:rPr>
                <w:rFonts w:hint="eastAsia" w:ascii="仿宋_GB2312" w:hAnsi="仿宋_GB2312" w:eastAsia="仿宋_GB2312" w:cs="仿宋_GB2312"/>
                <w:sz w:val="20"/>
                <w:szCs w:val="20"/>
                <w:highlight w:val="none"/>
                <w:lang w:val="en-US" w:eastAsia="zh-CN"/>
              </w:rPr>
              <w:t>7</w:t>
            </w:r>
          </w:p>
        </w:tc>
        <w:tc>
          <w:tcPr>
            <w:tcW w:w="374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其中：基本支出：575</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6</w:t>
            </w:r>
            <w:r>
              <w:rPr>
                <w:rFonts w:hint="eastAsia" w:ascii="仿宋_GB2312" w:hAnsi="仿宋_GB2312" w:eastAsia="仿宋_GB2312" w:cs="仿宋_GB2312"/>
                <w:color w:val="000000"/>
                <w:sz w:val="20"/>
                <w:szCs w:val="20"/>
                <w:highlight w:val="none"/>
                <w:lang w:val="en-US" w:eastAsia="zh-CN"/>
              </w:rPr>
              <w:t>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258"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3741"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项目支出：176</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8</w:t>
            </w:r>
            <w:r>
              <w:rPr>
                <w:rFonts w:hint="eastAsia" w:ascii="仿宋_GB2312" w:hAnsi="仿宋_GB2312" w:eastAsia="仿宋_GB2312" w:cs="仿宋_GB2312"/>
                <w:color w:val="000000"/>
                <w:sz w:val="20"/>
                <w:szCs w:val="20"/>
                <w:highlight w:val="none"/>
                <w:lang w:val="en-US" w:eastAsia="zh-CN"/>
              </w:rPr>
              <w:t>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25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374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258"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374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258"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74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258" w:type="dxa"/>
            <w:gridSpan w:val="4"/>
            <w:tcBorders>
              <w:top w:val="single" w:color="auto" w:sz="4" w:space="0"/>
              <w:left w:val="nil"/>
              <w:bottom w:val="single" w:color="auto" w:sz="4" w:space="0"/>
              <w:right w:val="single" w:color="000000" w:sz="4" w:space="0"/>
            </w:tcBorders>
            <w:noWrap w:val="0"/>
            <w:vAlign w:val="top"/>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推行预算绩效管理，强化对资金使用情况的预算约束和监督，</w:t>
            </w:r>
            <w:r>
              <w:rPr>
                <w:rFonts w:hint="eastAsia" w:ascii="仿宋_GB2312" w:hAnsi="仿宋_GB2312" w:eastAsia="仿宋_GB2312" w:cs="仿宋_GB2312"/>
                <w:color w:val="000000"/>
                <w:kern w:val="0"/>
                <w:sz w:val="20"/>
                <w:szCs w:val="20"/>
                <w:highlight w:val="none"/>
                <w:lang w:val="en-US" w:eastAsia="zh-CN" w:bidi="ar-SA"/>
              </w:rPr>
              <w:t>瞄准职责，</w:t>
            </w:r>
            <w:r>
              <w:rPr>
                <w:rFonts w:hint="eastAsia" w:ascii="仿宋_GB2312" w:hAnsi="仿宋_GB2312" w:eastAsia="仿宋_GB2312" w:cs="仿宋_GB2312"/>
                <w:color w:val="000000"/>
                <w:sz w:val="20"/>
                <w:szCs w:val="20"/>
                <w:highlight w:val="none"/>
                <w:lang w:val="en-US" w:eastAsia="zh-CN"/>
              </w:rPr>
              <w:t>积极推动各项工作任务完成，提高财政资金的使用效能，促进管理效能的大力提升。</w:t>
            </w:r>
          </w:p>
        </w:tc>
        <w:tc>
          <w:tcPr>
            <w:tcW w:w="3741" w:type="dxa"/>
            <w:gridSpan w:val="4"/>
            <w:tcBorders>
              <w:top w:val="single" w:color="auto" w:sz="4" w:space="0"/>
              <w:left w:val="nil"/>
              <w:bottom w:val="single" w:color="auto" w:sz="4" w:space="0"/>
              <w:right w:val="single" w:color="auto" w:sz="4" w:space="0"/>
            </w:tcBorders>
            <w:noWrap w:val="0"/>
            <w:vAlign w:val="top"/>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认真履行政治协商、民主监督、参政议政三大职能，为建设精致精美、出新出彩的洞庭明珠做出了积极的贡献，提高了财政资金使用绩效，促进了管理效能提升。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6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41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65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开展集中学习.专题调研</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12次</w:t>
            </w:r>
          </w:p>
        </w:tc>
        <w:tc>
          <w:tcPr>
            <w:tcW w:w="14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24次</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6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组织政协委员学习、培训</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140人次</w:t>
            </w:r>
          </w:p>
        </w:tc>
        <w:tc>
          <w:tcPr>
            <w:tcW w:w="14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160人次</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0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6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专题调研报告</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 xml:space="preserve"> 12件</w:t>
            </w:r>
          </w:p>
        </w:tc>
        <w:tc>
          <w:tcPr>
            <w:tcW w:w="14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18件</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65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开展生态环境专项民主监督</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50场次</w:t>
            </w:r>
          </w:p>
        </w:tc>
        <w:tc>
          <w:tcPr>
            <w:tcW w:w="14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56场次</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1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65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实际完成率</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r>
              <w:rPr>
                <w:rFonts w:hint="eastAsia" w:ascii="Arial" w:hAnsi="Arial" w:eastAsia="仿宋_GB2312" w:cs="Arial"/>
                <w:color w:val="000000"/>
                <w:sz w:val="20"/>
                <w:szCs w:val="20"/>
                <w:highlight w:val="none"/>
                <w:lang w:val="en-US" w:eastAsia="zh-CN"/>
              </w:rPr>
              <w:t>%</w:t>
            </w:r>
          </w:p>
        </w:tc>
        <w:tc>
          <w:tcPr>
            <w:tcW w:w="14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28"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6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提案</w:t>
            </w:r>
            <w:r>
              <w:rPr>
                <w:rFonts w:hint="eastAsia" w:ascii="仿宋_GB2312" w:hAnsi="仿宋_GB2312" w:eastAsia="仿宋_GB2312" w:cs="仿宋_GB2312"/>
                <w:color w:val="000000"/>
                <w:sz w:val="20"/>
                <w:szCs w:val="20"/>
                <w:highlight w:val="none"/>
                <w:lang w:val="en-US" w:eastAsia="zh-CN"/>
              </w:rPr>
              <w:t>办复率</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98</w:t>
            </w:r>
            <w:r>
              <w:rPr>
                <w:rFonts w:hint="eastAsia" w:ascii="Arial" w:hAnsi="Arial" w:eastAsia="仿宋_GB2312" w:cs="Arial"/>
                <w:color w:val="000000"/>
                <w:sz w:val="20"/>
                <w:szCs w:val="20"/>
                <w:highlight w:val="none"/>
                <w:lang w:val="en-US" w:eastAsia="zh-CN"/>
              </w:rPr>
              <w:t>%</w:t>
            </w:r>
          </w:p>
        </w:tc>
        <w:tc>
          <w:tcPr>
            <w:tcW w:w="14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73"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65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质量达标率</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r>
              <w:rPr>
                <w:rFonts w:hint="eastAsia" w:ascii="Arial" w:hAnsi="Arial" w:eastAsia="仿宋_GB2312" w:cs="Arial"/>
                <w:color w:val="000000"/>
                <w:sz w:val="20"/>
                <w:szCs w:val="20"/>
                <w:highlight w:val="none"/>
                <w:lang w:val="en-US" w:eastAsia="zh-CN"/>
              </w:rPr>
              <w:t>%</w:t>
            </w:r>
          </w:p>
        </w:tc>
        <w:tc>
          <w:tcPr>
            <w:tcW w:w="14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6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按</w:t>
            </w:r>
            <w:bookmarkStart w:id="0" w:name="_GoBack"/>
            <w:bookmarkEnd w:id="0"/>
            <w:r>
              <w:rPr>
                <w:rFonts w:hint="eastAsia" w:ascii="仿宋_GB2312" w:hAnsi="仿宋_GB2312" w:eastAsia="仿宋_GB2312" w:cs="仿宋_GB2312"/>
                <w:color w:val="000000"/>
                <w:sz w:val="20"/>
                <w:szCs w:val="20"/>
              </w:rPr>
              <w:t>计划时间完成任务</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2023、12、31</w:t>
            </w:r>
          </w:p>
        </w:tc>
        <w:tc>
          <w:tcPr>
            <w:tcW w:w="14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2023、12、31</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6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支出不超过预算批复金额</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default" w:ascii="Arial" w:hAnsi="Arial" w:eastAsia="仿宋_GB2312" w:cs="Arial"/>
                <w:sz w:val="20"/>
                <w:szCs w:val="20"/>
                <w:highlight w:val="none"/>
              </w:rPr>
              <w:t>≤</w:t>
            </w:r>
            <w:r>
              <w:rPr>
                <w:rFonts w:hint="eastAsia" w:ascii="仿宋_GB2312" w:hAnsi="仿宋_GB2312" w:eastAsia="仿宋_GB2312" w:cs="仿宋_GB2312"/>
                <w:sz w:val="20"/>
                <w:szCs w:val="20"/>
                <w:highlight w:val="none"/>
                <w:lang w:eastAsia="zh-CN"/>
              </w:rPr>
              <w:t>752</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w:t>
            </w:r>
            <w:r>
              <w:rPr>
                <w:rFonts w:hint="eastAsia" w:ascii="仿宋_GB2312" w:hAnsi="仿宋_GB2312" w:eastAsia="仿宋_GB2312" w:cs="仿宋_GB2312"/>
                <w:sz w:val="20"/>
                <w:szCs w:val="20"/>
                <w:highlight w:val="none"/>
                <w:lang w:val="en-US" w:eastAsia="zh-CN"/>
              </w:rPr>
              <w:t>7</w:t>
            </w:r>
            <w:r>
              <w:rPr>
                <w:rFonts w:hint="eastAsia" w:ascii="仿宋_GB2312" w:hAnsi="仿宋_GB2312" w:eastAsia="仿宋_GB2312" w:cs="仿宋_GB2312"/>
                <w:color w:val="000000"/>
                <w:sz w:val="20"/>
                <w:szCs w:val="20"/>
                <w:highlight w:val="none"/>
                <w:lang w:val="en-US" w:eastAsia="zh-CN"/>
              </w:rPr>
              <w:t>万元</w:t>
            </w:r>
          </w:p>
        </w:tc>
        <w:tc>
          <w:tcPr>
            <w:tcW w:w="141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eastAsia="zh-CN"/>
              </w:rPr>
              <w:t>752</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4</w:t>
            </w:r>
            <w:r>
              <w:rPr>
                <w:rFonts w:hint="eastAsia" w:ascii="仿宋_GB2312" w:hAnsi="仿宋_GB2312" w:eastAsia="仿宋_GB2312" w:cs="仿宋_GB2312"/>
                <w:sz w:val="20"/>
                <w:szCs w:val="20"/>
                <w:highlight w:val="none"/>
                <w:lang w:val="en-US" w:eastAsia="zh-CN"/>
              </w:rPr>
              <w:t>7</w:t>
            </w:r>
            <w:r>
              <w:rPr>
                <w:rFonts w:hint="eastAsia" w:ascii="仿宋_GB2312" w:hAnsi="仿宋_GB2312" w:eastAsia="仿宋_GB2312" w:cs="仿宋_GB2312"/>
                <w:color w:val="000000"/>
                <w:sz w:val="20"/>
                <w:szCs w:val="20"/>
                <w:highlight w:val="none"/>
                <w:lang w:val="en-US" w:eastAsia="zh-CN"/>
              </w:rPr>
              <w:t>万元</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5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参政议政职能，</w:t>
            </w:r>
            <w:r>
              <w:rPr>
                <w:rFonts w:hint="eastAsia" w:ascii="仿宋_GB2312" w:hAnsi="仿宋_GB2312" w:eastAsia="仿宋_GB2312" w:cs="仿宋_GB2312"/>
                <w:color w:val="000000"/>
                <w:sz w:val="20"/>
                <w:szCs w:val="20"/>
                <w:highlight w:val="none"/>
                <w:lang w:eastAsia="zh-CN"/>
              </w:rPr>
              <w:t>服务经济发展</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41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参政议政职能，促进社会和谐</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41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参政议政职能，</w:t>
            </w:r>
            <w:r>
              <w:rPr>
                <w:rFonts w:hint="eastAsia" w:ascii="仿宋_GB2312" w:hAnsi="仿宋_GB2312" w:eastAsia="仿宋_GB2312" w:cs="仿宋_GB2312"/>
                <w:color w:val="000000"/>
                <w:sz w:val="20"/>
                <w:szCs w:val="20"/>
                <w:highlight w:val="none"/>
                <w:lang w:eastAsia="zh-CN"/>
              </w:rPr>
              <w:t>促进环境改善</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41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社会和谐稳定，环境明显改善。</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6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社会公众或服务对象满意度</w:t>
            </w:r>
          </w:p>
        </w:tc>
        <w:tc>
          <w:tcPr>
            <w:tcW w:w="145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41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98%</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45" w:hRule="atLeast"/>
          <w:jc w:val="center"/>
        </w:trPr>
        <w:tc>
          <w:tcPr>
            <w:tcW w:w="7748"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0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55167"/>
    <w:multiLevelType w:val="singleLevel"/>
    <w:tmpl w:val="A5E55167"/>
    <w:lvl w:ilvl="0" w:tentative="0">
      <w:start w:val="8"/>
      <w:numFmt w:val="chineseCounting"/>
      <w:suff w:val="nothing"/>
      <w:lvlText w:val="%1、"/>
      <w:lvlJc w:val="left"/>
      <w:rPr>
        <w:rFonts w:hint="eastAsia"/>
      </w:rPr>
    </w:lvl>
  </w:abstractNum>
  <w:abstractNum w:abstractNumId="1">
    <w:nsid w:val="1113A4A2"/>
    <w:multiLevelType w:val="singleLevel"/>
    <w:tmpl w:val="1113A4A2"/>
    <w:lvl w:ilvl="0" w:tentative="0">
      <w:start w:val="1"/>
      <w:numFmt w:val="chineseCounting"/>
      <w:suff w:val="nothing"/>
      <w:lvlText w:val="（%1）"/>
      <w:lvlJc w:val="left"/>
      <w:rPr>
        <w:rFonts w:hint="eastAsia"/>
      </w:rPr>
    </w:lvl>
  </w:abstractNum>
  <w:abstractNum w:abstractNumId="2">
    <w:nsid w:val="425036FE"/>
    <w:multiLevelType w:val="singleLevel"/>
    <w:tmpl w:val="425036FE"/>
    <w:lvl w:ilvl="0" w:tentative="0">
      <w:start w:val="2"/>
      <w:numFmt w:val="chineseCounting"/>
      <w:suff w:val="nothing"/>
      <w:lvlText w:val="（%1）"/>
      <w:lvlJc w:val="left"/>
      <w:rPr>
        <w:rFonts w:hint="eastAsia"/>
      </w:rPr>
    </w:lvl>
  </w:abstractNum>
  <w:abstractNum w:abstractNumId="3">
    <w:nsid w:val="7F0490DB"/>
    <w:multiLevelType w:val="singleLevel"/>
    <w:tmpl w:val="7F0490DB"/>
    <w:lvl w:ilvl="0" w:tentative="0">
      <w:start w:val="1"/>
      <w:numFmt w:val="chineseCounting"/>
      <w:suff w:val="nothing"/>
      <w:lvlText w:val="%1、"/>
      <w:lvlJc w:val="left"/>
      <w:rPr>
        <w:rFonts w:hint="eastAsia"/>
      </w:rPr>
    </w:lvl>
  </w:abstractNum>
  <w:abstractNum w:abstractNumId="4">
    <w:nsid w:val="7F66692C"/>
    <w:multiLevelType w:val="singleLevel"/>
    <w:tmpl w:val="7F66692C"/>
    <w:lvl w:ilvl="0" w:tentative="0">
      <w:start w:val="3"/>
      <w:numFmt w:val="chineseCounting"/>
      <w:suff w:val="nothing"/>
      <w:lvlText w:val="（%1）"/>
      <w:lvlJc w:val="left"/>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OWIzYzk1MWM3N2I3MjEzZjQ5NzNmYzQ5ZWNlZGYifQ=="/>
  </w:docVars>
  <w:rsids>
    <w:rsidRoot w:val="59886344"/>
    <w:rsid w:val="005C088A"/>
    <w:rsid w:val="0061443A"/>
    <w:rsid w:val="00F57038"/>
    <w:rsid w:val="01B46D0E"/>
    <w:rsid w:val="02E96621"/>
    <w:rsid w:val="03585F5D"/>
    <w:rsid w:val="0368705F"/>
    <w:rsid w:val="03E40645"/>
    <w:rsid w:val="05F16DA0"/>
    <w:rsid w:val="05F97CBA"/>
    <w:rsid w:val="067D155B"/>
    <w:rsid w:val="072A0D5E"/>
    <w:rsid w:val="07E01DA1"/>
    <w:rsid w:val="08002443"/>
    <w:rsid w:val="08C83AA8"/>
    <w:rsid w:val="08D531AA"/>
    <w:rsid w:val="0A0718F5"/>
    <w:rsid w:val="0A23066B"/>
    <w:rsid w:val="0AF172CB"/>
    <w:rsid w:val="0B521208"/>
    <w:rsid w:val="0BD0037E"/>
    <w:rsid w:val="0BD07CC1"/>
    <w:rsid w:val="0E542111"/>
    <w:rsid w:val="0E884F40"/>
    <w:rsid w:val="0F29227F"/>
    <w:rsid w:val="0F376EAB"/>
    <w:rsid w:val="0F753C37"/>
    <w:rsid w:val="0FC41FA8"/>
    <w:rsid w:val="101F6442"/>
    <w:rsid w:val="104073FF"/>
    <w:rsid w:val="125E74E2"/>
    <w:rsid w:val="12C549B5"/>
    <w:rsid w:val="12D32267"/>
    <w:rsid w:val="13D670D0"/>
    <w:rsid w:val="13DA2702"/>
    <w:rsid w:val="1405311A"/>
    <w:rsid w:val="14B2665B"/>
    <w:rsid w:val="15C0622B"/>
    <w:rsid w:val="172B2124"/>
    <w:rsid w:val="172D2B29"/>
    <w:rsid w:val="17AD2D85"/>
    <w:rsid w:val="17C34EE7"/>
    <w:rsid w:val="17DC7904"/>
    <w:rsid w:val="18096877"/>
    <w:rsid w:val="18A72D74"/>
    <w:rsid w:val="192E77AB"/>
    <w:rsid w:val="198A7D37"/>
    <w:rsid w:val="1CA92FCC"/>
    <w:rsid w:val="1CD734AB"/>
    <w:rsid w:val="1DD737EE"/>
    <w:rsid w:val="1E284F2F"/>
    <w:rsid w:val="1ECA401E"/>
    <w:rsid w:val="1F417171"/>
    <w:rsid w:val="1F9C4CF0"/>
    <w:rsid w:val="1F9F20EA"/>
    <w:rsid w:val="1FE411A4"/>
    <w:rsid w:val="20717F2A"/>
    <w:rsid w:val="20F87A39"/>
    <w:rsid w:val="210B001D"/>
    <w:rsid w:val="216B6728"/>
    <w:rsid w:val="22E514ED"/>
    <w:rsid w:val="22FA6E68"/>
    <w:rsid w:val="24BE2C1C"/>
    <w:rsid w:val="26EE11E7"/>
    <w:rsid w:val="27CB7F20"/>
    <w:rsid w:val="292C7FA1"/>
    <w:rsid w:val="29451ACF"/>
    <w:rsid w:val="2A100353"/>
    <w:rsid w:val="2A450AA9"/>
    <w:rsid w:val="2A827950"/>
    <w:rsid w:val="2A8D3BB3"/>
    <w:rsid w:val="2AD97091"/>
    <w:rsid w:val="2B0F3E96"/>
    <w:rsid w:val="2BAA0E41"/>
    <w:rsid w:val="2D410C84"/>
    <w:rsid w:val="2D4657EE"/>
    <w:rsid w:val="2D476116"/>
    <w:rsid w:val="2E4513B8"/>
    <w:rsid w:val="2F0E4B96"/>
    <w:rsid w:val="2F2045CC"/>
    <w:rsid w:val="30B9657A"/>
    <w:rsid w:val="31FF1D81"/>
    <w:rsid w:val="320B53DF"/>
    <w:rsid w:val="321D3FE2"/>
    <w:rsid w:val="32C548F8"/>
    <w:rsid w:val="330C2E13"/>
    <w:rsid w:val="349D45A9"/>
    <w:rsid w:val="35CF5E74"/>
    <w:rsid w:val="37490E61"/>
    <w:rsid w:val="38C118F0"/>
    <w:rsid w:val="38D658A4"/>
    <w:rsid w:val="3984255C"/>
    <w:rsid w:val="39F23A32"/>
    <w:rsid w:val="3B23785C"/>
    <w:rsid w:val="3C156456"/>
    <w:rsid w:val="3C2C64D2"/>
    <w:rsid w:val="3CB537CF"/>
    <w:rsid w:val="3CF73497"/>
    <w:rsid w:val="3D070645"/>
    <w:rsid w:val="3D0A1F5D"/>
    <w:rsid w:val="3F696B11"/>
    <w:rsid w:val="40F273ED"/>
    <w:rsid w:val="41B63929"/>
    <w:rsid w:val="41F76A00"/>
    <w:rsid w:val="42182D4E"/>
    <w:rsid w:val="42733236"/>
    <w:rsid w:val="427C2F78"/>
    <w:rsid w:val="42907FB1"/>
    <w:rsid w:val="42DE2DA6"/>
    <w:rsid w:val="43B151C2"/>
    <w:rsid w:val="440B0BF3"/>
    <w:rsid w:val="44182F4F"/>
    <w:rsid w:val="44401EAB"/>
    <w:rsid w:val="4441183E"/>
    <w:rsid w:val="445265DF"/>
    <w:rsid w:val="44930287"/>
    <w:rsid w:val="458D5615"/>
    <w:rsid w:val="45BD3146"/>
    <w:rsid w:val="47F62B74"/>
    <w:rsid w:val="4829354E"/>
    <w:rsid w:val="48770C66"/>
    <w:rsid w:val="497F0684"/>
    <w:rsid w:val="49A50F0B"/>
    <w:rsid w:val="49C65963"/>
    <w:rsid w:val="49FC1D3A"/>
    <w:rsid w:val="49FF2520"/>
    <w:rsid w:val="4A747320"/>
    <w:rsid w:val="4AD7419C"/>
    <w:rsid w:val="4AE07385"/>
    <w:rsid w:val="4B9C166F"/>
    <w:rsid w:val="4C404189"/>
    <w:rsid w:val="4D4A4DD6"/>
    <w:rsid w:val="4EC87298"/>
    <w:rsid w:val="4F450691"/>
    <w:rsid w:val="503F0BFC"/>
    <w:rsid w:val="53E5073C"/>
    <w:rsid w:val="540612DD"/>
    <w:rsid w:val="54326440"/>
    <w:rsid w:val="54622945"/>
    <w:rsid w:val="55215252"/>
    <w:rsid w:val="55241353"/>
    <w:rsid w:val="556914AB"/>
    <w:rsid w:val="557C1FAA"/>
    <w:rsid w:val="56EE3E47"/>
    <w:rsid w:val="570F7BE9"/>
    <w:rsid w:val="577354C1"/>
    <w:rsid w:val="57EA583A"/>
    <w:rsid w:val="57F152A0"/>
    <w:rsid w:val="58393127"/>
    <w:rsid w:val="594F6BA8"/>
    <w:rsid w:val="59886344"/>
    <w:rsid w:val="59BB0154"/>
    <w:rsid w:val="5AF440A0"/>
    <w:rsid w:val="5B0A331F"/>
    <w:rsid w:val="5B192C82"/>
    <w:rsid w:val="5B411CCC"/>
    <w:rsid w:val="5B950730"/>
    <w:rsid w:val="5C1263A3"/>
    <w:rsid w:val="5D3715D8"/>
    <w:rsid w:val="5E457D25"/>
    <w:rsid w:val="5E8C14B0"/>
    <w:rsid w:val="5EB6065E"/>
    <w:rsid w:val="5EE144F9"/>
    <w:rsid w:val="5F906D7E"/>
    <w:rsid w:val="60121E89"/>
    <w:rsid w:val="607D37A6"/>
    <w:rsid w:val="61045C75"/>
    <w:rsid w:val="619E0691"/>
    <w:rsid w:val="62D378CB"/>
    <w:rsid w:val="63202106"/>
    <w:rsid w:val="63C60FC0"/>
    <w:rsid w:val="6410048D"/>
    <w:rsid w:val="64CF6C8F"/>
    <w:rsid w:val="66A3383B"/>
    <w:rsid w:val="674F6FAE"/>
    <w:rsid w:val="68DD5D2B"/>
    <w:rsid w:val="68DF1F4A"/>
    <w:rsid w:val="6A7B3442"/>
    <w:rsid w:val="6AC74FA9"/>
    <w:rsid w:val="6B99345E"/>
    <w:rsid w:val="6BBF215B"/>
    <w:rsid w:val="6C303DC2"/>
    <w:rsid w:val="6CA97D11"/>
    <w:rsid w:val="6D800432"/>
    <w:rsid w:val="6E705326"/>
    <w:rsid w:val="6EBC4974"/>
    <w:rsid w:val="6EC01A4C"/>
    <w:rsid w:val="6F0D3B6F"/>
    <w:rsid w:val="6F41220A"/>
    <w:rsid w:val="6FC82564"/>
    <w:rsid w:val="70F133F4"/>
    <w:rsid w:val="71973F9C"/>
    <w:rsid w:val="73102258"/>
    <w:rsid w:val="731F6574"/>
    <w:rsid w:val="73BF6C6B"/>
    <w:rsid w:val="74EC4E86"/>
    <w:rsid w:val="758D6016"/>
    <w:rsid w:val="75A9159E"/>
    <w:rsid w:val="75CE1F56"/>
    <w:rsid w:val="767D7DFF"/>
    <w:rsid w:val="768770CB"/>
    <w:rsid w:val="76B26AD4"/>
    <w:rsid w:val="76B94E94"/>
    <w:rsid w:val="7728263E"/>
    <w:rsid w:val="7763551D"/>
    <w:rsid w:val="778B55F6"/>
    <w:rsid w:val="77E67A2B"/>
    <w:rsid w:val="78746DE5"/>
    <w:rsid w:val="79607369"/>
    <w:rsid w:val="798C015E"/>
    <w:rsid w:val="7A3C0663"/>
    <w:rsid w:val="7A5614FA"/>
    <w:rsid w:val="7B1702F5"/>
    <w:rsid w:val="7BB83415"/>
    <w:rsid w:val="7C7D6B26"/>
    <w:rsid w:val="7C9150AE"/>
    <w:rsid w:val="7CF23D63"/>
    <w:rsid w:val="7D7B41D1"/>
    <w:rsid w:val="7E723FFE"/>
    <w:rsid w:val="7F2A13E6"/>
    <w:rsid w:val="7F343489"/>
    <w:rsid w:val="7F40525B"/>
    <w:rsid w:val="7F7865E9"/>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color w:val="000000"/>
      <w:szCs w:val="20"/>
    </w:rPr>
  </w:style>
  <w:style w:type="paragraph" w:styleId="3">
    <w:name w:val="Normal Indent"/>
    <w:basedOn w:val="1"/>
    <w:unhideWhenUsed/>
    <w:qFormat/>
    <w:uiPriority w:val="99"/>
    <w:pPr>
      <w:ind w:firstLine="420" w:firstLineChars="200"/>
    </w:pPr>
  </w:style>
  <w:style w:type="paragraph" w:styleId="4">
    <w:name w:val="Body Text"/>
    <w:basedOn w:val="1"/>
    <w:qFormat/>
    <w:uiPriority w:val="0"/>
    <w:rPr>
      <w:rFonts w:ascii="仿宋" w:hAnsi="仿宋" w:eastAsia="仿宋" w:cs="仿宋"/>
      <w:sz w:val="31"/>
      <w:szCs w:val="31"/>
      <w:lang w:val="en-US" w:eastAsia="en-US" w:bidi="ar-SA"/>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BodyText"/>
    <w:basedOn w:val="1"/>
    <w:next w:val="9"/>
    <w:qFormat/>
    <w:uiPriority w:val="0"/>
    <w:pPr>
      <w:textAlignment w:val="baseline"/>
    </w:pPr>
    <w:rPr>
      <w:rFonts w:ascii="仿宋_GB2312" w:hAnsi="仿宋_GB2312" w:eastAsia="仿宋_GB2312"/>
      <w:sz w:val="32"/>
      <w:szCs w:val="32"/>
      <w:lang w:val="zh-CN" w:bidi="zh-CN"/>
    </w:rPr>
  </w:style>
  <w:style w:type="paragraph" w:customStyle="1" w:styleId="9">
    <w:name w:val="BodyText1I"/>
    <w:basedOn w:val="8"/>
    <w:qFormat/>
    <w:uiPriority w:val="0"/>
    <w:pPr>
      <w:ind w:firstLine="420" w:firstLineChars="100"/>
      <w:textAlignment w:val="baseline"/>
    </w:pPr>
    <w:rPr>
      <w:rFonts w:ascii="仿宋_GB2312" w:hAnsi="仿宋_GB2312" w:eastAsia="仿宋_GB2312" w:cs="宋体"/>
      <w:sz w:val="32"/>
      <w:szCs w:val="32"/>
      <w:lang w:val="zh-CN" w:bidi="zh-CN"/>
    </w:r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6479</Words>
  <Characters>6923</Characters>
  <Lines>0</Lines>
  <Paragraphs>0</Paragraphs>
  <TotalTime>4</TotalTime>
  <ScaleCrop>false</ScaleCrop>
  <LinksUpToDate>false</LinksUpToDate>
  <CharactersWithSpaces>7350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Mr.1.689小姐</cp:lastModifiedBy>
  <dcterms:modified xsi:type="dcterms:W3CDTF">2024-07-01T01:29:58Z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12C804FB5DC74582993175EDEB038DA2_13</vt:lpwstr>
  </property>
</Properties>
</file>