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中共岳阳市君山区委政策研究中心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  月  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中共岳阳市君山区委政策研究中心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6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单位职能</w:t>
      </w:r>
    </w:p>
    <w:p>
      <w:pPr>
        <w:spacing w:line="60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负责区委向上级的汇报材料、综合材料起草；围绕区委总体工作部署、中心工作和领导交办的课题开展调查研究，提出预案和建议；根据区委的意图，围绕中心工作，进行有关经济、政治、社会和党建等方面方针、政策问题的调查研究，提出意见和建议，供区委决策参考，并进行决策后的跟踪调查，为完善区委决策服务；在区委领导同志主持下，起草或修改区委重要政策性文件，负责或参与区委领导同志报告、讲话等文稿的起草工作；协助有关刊物的编辑工作。</w:t>
      </w:r>
      <w:bookmarkStart w:id="0" w:name="_GoBack"/>
      <w:bookmarkEnd w:id="0"/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、机构设置</w:t>
      </w:r>
    </w:p>
    <w:p>
      <w:pPr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中共岳阳市君山区委政策研究中心内设机构1个，为综合办公室。正科级事业单位，财政全额拨款，核定事业编制7名，其中领导职数1正2副。</w:t>
      </w:r>
    </w:p>
    <w:p>
      <w:pPr>
        <w:spacing w:line="560" w:lineRule="exact"/>
        <w:ind w:firstLine="643" w:firstLineChars="200"/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）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、2023年度部门整体支出、使用方向、主要内容和涉及范围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1、</w:t>
      </w: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2023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年经费整体支出情况。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年全年支出77.77万元，其中工资福利支出57.43万元；商品服务支出20.34万元。</w:t>
      </w:r>
    </w:p>
    <w:p>
      <w:pPr>
        <w:spacing w:line="560" w:lineRule="exact"/>
        <w:ind w:firstLine="643" w:firstLineChars="200"/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-SA"/>
        </w:rPr>
        <w:t>2、资金使用方向、主要内容及涉及范围。</w:t>
      </w:r>
    </w:p>
    <w:p>
      <w:pPr>
        <w:pStyle w:val="2"/>
        <w:bidi w:val="0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2023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年全年支出77.77万元，基本支出为58.91万元，系保障本单位机构正常运转、完成日常工作任务而发生的各项支出，包括用于在职人员基本工资、津贴补贴等人员经费以及办公费、印刷费、水电费、会议费、办公设备购置等。其中：人员经费52.78万元，日常公用经费6.13万元。项目支出为18.86万元，主要用于政策研究中心日常工作开支及区委政策专项资金。</w:t>
      </w:r>
    </w:p>
    <w:p>
      <w:pPr>
        <w:pStyle w:val="2"/>
        <w:bidi w:val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3、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2023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三公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经费决算情况</w:t>
      </w:r>
    </w:p>
    <w:p>
      <w:pPr>
        <w:pStyle w:val="2"/>
        <w:bidi w:val="0"/>
        <w:ind w:left="0" w:leftChars="0" w:firstLine="320" w:firstLineChars="100"/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2023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三公经费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预算1万元，其中：公务接待1万元、因公出国（境）费0万元、公务用车购置及运行费0万元。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2023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三公经费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实际完成0.59万元，其中：公务用车运行维护费0万元；公务接待费0.59万元，比上年增加0.33万元，增加的主要原因是本单位2023年度学习交流增多，全年实际支出较预算有所减少。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基本支出用于为保障机构正常运转、完成日常工作任务而发生的支出，包括人员经费和公用经费。2023年基本支出58.91万元，其中：工资福利支出52.78万元，占基本支出的89.6%；商品和服务支出6.13万元，占基本支出的10.4%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2023年项目支出18.86万元，主要用于政策研究中心日常工作开支及区委政策专项资金。</w:t>
      </w:r>
    </w:p>
    <w:p>
      <w:pPr>
        <w:pStyle w:val="2"/>
        <w:bidi w:val="0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政府性基金预算支出情况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无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无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六、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部门整体支出绩效情况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2023年单位整体支出较好地完成了绩效目标，基本实现了预算绩效管理，强化了财政资金的有效使用。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（一）2023年部门整体支出绩效目标设置及完成情况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目标1、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狠抓学习固根本，精修内功强素质。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Times New Roman"/>
          <w:b/>
          <w:kern w:val="0"/>
          <w:sz w:val="32"/>
          <w:szCs w:val="32"/>
          <w:lang w:val="en-US" w:eastAsia="zh-CN" w:bidi="ar-SA"/>
        </w:rPr>
        <w:t>完成情况：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始终深入学习贯彻党的二十大精神，以习近平新时代中国特色社会主义思想主题教育为契机，牢牢把握中央决策部署和省、市、区委工作要求，持续推动思想学习与中心工作同频共振，不断提高政策把握水平和文稿写作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目标2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、围绕中心优服务，精益求精提质效。</w:t>
      </w:r>
    </w:p>
    <w:p>
      <w:pP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完成情况：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充分发挥“以文辅政”职能职责，高质量起草各类文稿230余篇，约105万字，其中，在《湖南工作》发表署名文章1篇，在市级相关刊物刊发署名文章和典型经验性材料若干篇，积极协助文字、信息工作，把关区委常委会议纪要29期。同时认真做好区委财经办相关工作。</w:t>
      </w:r>
    </w:p>
    <w:p>
      <w:pPr>
        <w:ind w:firstLine="643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目标3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、深入调研谋全局，精雕细琢出精品。</w:t>
      </w:r>
    </w:p>
    <w:p>
      <w:pP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完成情况：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围绕区域经济发展、产业项目、园区建设等重点工作，随同领导深入基层一线开展调研，切实加强对涉及全区经济社会发展重大问题的综合分析研究，为区委领导决策提供有效参考。</w:t>
      </w:r>
    </w:p>
    <w:p>
      <w:pPr>
        <w:ind w:firstLine="643" w:firstLineChars="20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单位资产管理和整体业务实施效果情况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本单位资产设有专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门人员将单位所有资产全部录入固定资产信息系统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实行动态管理。资产配置严格按照规定程序报批，坚持资产配备与单位履行职能需要相适应，坚持资产管理与预算管理相结合。资产利用率高，资产配置基本合理，人均占有办公室使用面积、人均占有通用设备数量等指标均在正常范围。科学管理和使用国有资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保障单位正常运转的同时，合理配备并有效使用资产，充分发挥了国有资产的使用效益和社会效益。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2023年，在区委的坚强领导下，区委政研中心以习近平新时代中国特色社会主义思想为指导，坚持围绕中心，服务大局，不断研究新情况，探索新方法，适应新要求，以强化服务能力、提高服务水平为核心，集中精力抓好文稿起草工作，全面履行工作职责，高质量完成各项工作任务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、存在的问题及原因分析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zh-CN" w:eastAsia="zh-CN" w:bidi="ar-SA"/>
        </w:rPr>
        <w:t>绩效管理意识还有待加强。 绩效管理目标细化量化方式较为单一，前期对预算项目定位、功能、实施内容梳理不够深入。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八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、下一步改进措施</w:t>
      </w:r>
    </w:p>
    <w:p>
      <w:pPr>
        <w:ind w:firstLine="640" w:firstLineChars="200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加强财务人员的学习培训。加强单位财务人员新《预算法》《政府会计准则》和《政府会计制度》等相关方面的业务培训学习，规范部门预算收支核算，增强预算的约束力和严肃性，切实提高部门预算收支管理水平，建议财政部门每年多组织几次财务人员业务培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九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、部门整体支出绩效自评结果拟应用和公开情况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单位2023年度部门整体支出绩效自评结果拟按湖南省财政厅关于印发《湖南省预算支出绩效评价管理办法》的通知（湘财绩〔2020〕7号）要求，在整体支出项目绩效目标编制申报时，根据项目实际情况和预期可达成的目标，设置更科学合理的指标。严格按规定内容、时限在君山区政务中心门户网站公开，接受社会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部门整体支出绩效自评工作考核评分表</w:t>
      </w:r>
    </w:p>
    <w:p>
      <w:pPr>
        <w:spacing w:after="120" w:afterLines="50" w:line="60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360" w:firstLineChars="1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360" w:firstLineChars="1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360" w:firstLineChars="1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360" w:firstLineChars="1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360" w:firstLineChars="1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360" w:firstLineChars="1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360" w:firstLineChars="1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360" w:firstLineChars="1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360" w:firstLineChars="1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360" w:firstLineChars="1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360" w:firstLineChars="1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360" w:firstLineChars="1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7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0.26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0.26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18.86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18.86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其他资金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   3、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20.07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10.26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20.07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10.26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一是加强支出预算管理；二是严格经费审批；三是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大力推行节约型机关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；四是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严格控制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各类会议和培训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经费支出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。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 填报日期：          联系电话：         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7"/>
        <w:tblW w:w="104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873"/>
        <w:gridCol w:w="1936"/>
        <w:gridCol w:w="1091"/>
        <w:gridCol w:w="1159"/>
        <w:gridCol w:w="873"/>
        <w:gridCol w:w="791"/>
        <w:gridCol w:w="15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93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中共岳阳市君山区委政策研究中心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81.2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77.77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77.77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95.7%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9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9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77.77</w:t>
            </w:r>
          </w:p>
        </w:tc>
        <w:tc>
          <w:tcPr>
            <w:tcW w:w="43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58.91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9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3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18.86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9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9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</w:p>
        </w:tc>
        <w:tc>
          <w:tcPr>
            <w:tcW w:w="43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1、精心起草各类文稿。2、积极做好区委财经办相关工作，协助综调、信息工作。3、落实主要负责同志文字材料代拟稿制度，压实相关单位工作主体责任。</w:t>
            </w:r>
          </w:p>
        </w:tc>
        <w:tc>
          <w:tcPr>
            <w:tcW w:w="4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2023年，在区委的坚强领导下，区委政研中心以习近平新时代中国特色社会主义思想为指导，坚持围绕中心，服务大局，不断研究新情况，探索新方法，适应新要求，以强化服务能力、提高服务水平为核心，集中精力抓好文稿起草工作，全面履行工作职责，高质量完成各项工作任务。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起草各类讲话稿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250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发表区委主要领导文章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完成调研报告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文稿错字率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≥1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完善区委重要文件或方案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≤0.1%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文稿采用率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≥1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工作完成及时性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≥99%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财政资金支出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≤81.2万元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77.77万元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预算减少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政府经济决策科学性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定性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有效推动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开展调查研究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定性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有效提升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献言建策制度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定性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有效促进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社会公众满意度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spacing w:before="120" w:beforeLines="50" w:after="120" w:afterLines="50"/>
        <w:jc w:val="center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  <w:t>：</w:t>
      </w:r>
    </w:p>
    <w:p>
      <w:pPr>
        <w:spacing w:before="120" w:beforeLines="50" w:after="120" w:afterLines="50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7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>
            <w:pPr>
              <w:numPr>
                <w:ilvl w:val="0"/>
                <w:numId w:val="2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A8D352"/>
    <w:multiLevelType w:val="singleLevel"/>
    <w:tmpl w:val="48A8D35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NGQ2ZDdhZDNjNWUyMjRiNDQ1ZThhMzRkNTJiM2QifQ=="/>
  </w:docVars>
  <w:rsids>
    <w:rsidRoot w:val="59886344"/>
    <w:rsid w:val="03597864"/>
    <w:rsid w:val="036216B5"/>
    <w:rsid w:val="04B44004"/>
    <w:rsid w:val="07DC141F"/>
    <w:rsid w:val="08C11394"/>
    <w:rsid w:val="0C5D60B6"/>
    <w:rsid w:val="10796170"/>
    <w:rsid w:val="10BC46C0"/>
    <w:rsid w:val="13094AA5"/>
    <w:rsid w:val="13547AE7"/>
    <w:rsid w:val="13D61A1C"/>
    <w:rsid w:val="185D7A31"/>
    <w:rsid w:val="186F154E"/>
    <w:rsid w:val="1B6765F2"/>
    <w:rsid w:val="1D6357BE"/>
    <w:rsid w:val="1F8E4CE0"/>
    <w:rsid w:val="1FA431B2"/>
    <w:rsid w:val="20362A4E"/>
    <w:rsid w:val="21132EE8"/>
    <w:rsid w:val="21A84623"/>
    <w:rsid w:val="223B2B5A"/>
    <w:rsid w:val="24C63360"/>
    <w:rsid w:val="261F7E95"/>
    <w:rsid w:val="2825407B"/>
    <w:rsid w:val="2D2C69E8"/>
    <w:rsid w:val="2EFC30B5"/>
    <w:rsid w:val="32D86C30"/>
    <w:rsid w:val="335079DD"/>
    <w:rsid w:val="340A3386"/>
    <w:rsid w:val="34745E56"/>
    <w:rsid w:val="35260E8C"/>
    <w:rsid w:val="364C66D0"/>
    <w:rsid w:val="3688482F"/>
    <w:rsid w:val="36E1072C"/>
    <w:rsid w:val="3AAF1381"/>
    <w:rsid w:val="3B046B78"/>
    <w:rsid w:val="3DAE7C70"/>
    <w:rsid w:val="3DCC00F6"/>
    <w:rsid w:val="3EA949A3"/>
    <w:rsid w:val="400B05F7"/>
    <w:rsid w:val="40E41BD8"/>
    <w:rsid w:val="41801923"/>
    <w:rsid w:val="46270E21"/>
    <w:rsid w:val="46BE415C"/>
    <w:rsid w:val="484566D6"/>
    <w:rsid w:val="4871646A"/>
    <w:rsid w:val="48895562"/>
    <w:rsid w:val="492E39C8"/>
    <w:rsid w:val="4B7F2C4C"/>
    <w:rsid w:val="53DA21AF"/>
    <w:rsid w:val="55276664"/>
    <w:rsid w:val="556012F3"/>
    <w:rsid w:val="586C030E"/>
    <w:rsid w:val="59886344"/>
    <w:rsid w:val="5AC07DC2"/>
    <w:rsid w:val="5B310598"/>
    <w:rsid w:val="5FDB49AB"/>
    <w:rsid w:val="605A7513"/>
    <w:rsid w:val="6517411C"/>
    <w:rsid w:val="65DE3BB0"/>
    <w:rsid w:val="673D3495"/>
    <w:rsid w:val="675B77B9"/>
    <w:rsid w:val="67AE6E6A"/>
    <w:rsid w:val="699C28B0"/>
    <w:rsid w:val="69C67397"/>
    <w:rsid w:val="6B5864BC"/>
    <w:rsid w:val="6EDD3662"/>
    <w:rsid w:val="70383DAA"/>
    <w:rsid w:val="71087164"/>
    <w:rsid w:val="71730628"/>
    <w:rsid w:val="72630EE2"/>
    <w:rsid w:val="73232BFD"/>
    <w:rsid w:val="758842E0"/>
    <w:rsid w:val="78A65614"/>
    <w:rsid w:val="7A7F00D9"/>
    <w:rsid w:val="7ED10B84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eastAsia="宋体" w:cs="Times New Roman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spacing w:before="100" w:beforeAutospacing="1" w:after="0"/>
      <w:ind w:left="0" w:firstLine="420" w:firstLineChars="200"/>
    </w:pPr>
    <w:rPr>
      <w:rFonts w:ascii="Calibri" w:hAnsi="Calibri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4401</Words>
  <Characters>4709</Characters>
  <Lines>0</Lines>
  <Paragraphs>0</Paragraphs>
  <TotalTime>16</TotalTime>
  <ScaleCrop>false</ScaleCrop>
  <LinksUpToDate>false</LinksUpToDate>
  <CharactersWithSpaces>4867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默默有为</cp:lastModifiedBy>
  <dcterms:modified xsi:type="dcterms:W3CDTF">2024-06-21T07:00:36Z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6182D3A10D564617983F46DEE354AEAF</vt:lpwstr>
  </property>
</Properties>
</file>