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年度共青团岳阳市君山区委员会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单位整体支出绩效自评报告</w:t>
      </w:r>
    </w:p>
    <w:p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spacing w:line="600" w:lineRule="exact"/>
        <w:ind w:firstLine="1920" w:firstLineChars="6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部门（单位）名称：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>（盖章）</w:t>
      </w:r>
    </w:p>
    <w:p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年  月  日</w:t>
      </w: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年度共青团岳阳市君山区委员会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单位整体支出绩效自评报告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部门（单位）基本情况</w:t>
      </w:r>
    </w:p>
    <w:p>
      <w:pPr>
        <w:numPr>
          <w:ilvl w:val="0"/>
          <w:numId w:val="2"/>
        </w:num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单位职能</w:t>
      </w:r>
    </w:p>
    <w:p>
      <w:pPr>
        <w:widowControl/>
        <w:spacing w:line="600" w:lineRule="exact"/>
        <w:ind w:firstLine="627" w:firstLineChars="196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 w:cs="仿宋_GB2312"/>
          <w:kern w:val="0"/>
          <w:sz w:val="32"/>
          <w:szCs w:val="32"/>
        </w:rPr>
        <w:t>领导全区共青团、少先队工作，对全区青少年社团组织进行指导和管理；负责全区团的组织建设；</w:t>
      </w:r>
      <w:r>
        <w:rPr>
          <w:rFonts w:eastAsia="仿宋_GB2312" w:cs="仿宋_GB2312"/>
          <w:kern w:val="0"/>
          <w:sz w:val="32"/>
          <w:szCs w:val="32"/>
        </w:rPr>
        <w:t>认真研究和把握新形势下青年工作的规律，积极探索组织、引导、服务、联系青年的新途径，充分发挥共青团作为党的助手和后备军、党联系青年群众的桥梁纽带作用</w:t>
      </w:r>
      <w:r>
        <w:rPr>
          <w:rFonts w:hint="eastAsia" w:eastAsia="仿宋_GB2312" w:cs="仿宋_GB2312"/>
          <w:kern w:val="0"/>
          <w:sz w:val="32"/>
          <w:szCs w:val="32"/>
        </w:rPr>
        <w:t>；完成领导和上级交办的其它事项。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  <w:lang w:eastAsia="zh-CN"/>
        </w:rPr>
        <w:t>二</w:t>
      </w: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、机构设置</w:t>
      </w:r>
    </w:p>
    <w:p>
      <w:pPr>
        <w:widowControl/>
        <w:spacing w:line="600" w:lineRule="exact"/>
        <w:ind w:firstLine="640" w:firstLineChars="200"/>
        <w:jc w:val="left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共青团岳阳市君山区委员会</w:t>
      </w:r>
      <w:r>
        <w:rPr>
          <w:rFonts w:hint="eastAsia" w:eastAsia="仿宋_GB2312" w:cs="仿宋_GB2312"/>
          <w:kern w:val="0"/>
          <w:sz w:val="32"/>
          <w:szCs w:val="32"/>
        </w:rPr>
        <w:t>内设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eastAsia="仿宋_GB2312" w:cs="仿宋_GB2312"/>
          <w:kern w:val="0"/>
          <w:sz w:val="32"/>
          <w:szCs w:val="32"/>
        </w:rPr>
        <w:t>个职能股室：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综合性办公室</w:t>
      </w:r>
      <w:r>
        <w:rPr>
          <w:rFonts w:hint="eastAsia" w:eastAsia="仿宋_GB2312" w:cs="仿宋_GB2312"/>
          <w:kern w:val="0"/>
          <w:sz w:val="32"/>
          <w:szCs w:val="32"/>
        </w:rPr>
        <w:t>；核定区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团委</w:t>
      </w:r>
      <w:r>
        <w:rPr>
          <w:rFonts w:hint="eastAsia" w:eastAsia="仿宋_GB2312" w:cs="仿宋_GB2312"/>
          <w:kern w:val="0"/>
          <w:sz w:val="32"/>
          <w:szCs w:val="32"/>
        </w:rPr>
        <w:t>机关全额拨款事业编制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eastAsia="仿宋_GB2312" w:cs="仿宋_GB2312"/>
          <w:kern w:val="0"/>
          <w:sz w:val="32"/>
          <w:szCs w:val="32"/>
        </w:rPr>
        <w:t>名，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其中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书记1名，副书记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名</w:t>
      </w:r>
      <w:r>
        <w:rPr>
          <w:rFonts w:hint="eastAsia" w:eastAsia="仿宋_GB2312" w:cs="仿宋_GB2312"/>
          <w:kern w:val="0"/>
          <w:sz w:val="32"/>
          <w:szCs w:val="32"/>
        </w:rPr>
        <w:t>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二、一般公共预算支出情况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（一）基本支出情况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楷体_GB2312" w:cs="Times New Roman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2023年本单位部门预算资金68.37万元（基本支出68.37万元，项目支出0万元），全年实际支出68.37万元，其中基本支出68.37万元，项目支出0万元，预算执行率100%。　　　　　　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单位2023年度全年预算68.37万元（工资福利支出35.92万元、商品和服务支出28.95万元、对个人和家庭的补助3.5万元），其中一般公共预算财政拨款62.27万元。本单位2023年度基本支出68.37万元（工资福利支出35.92万元、商品和服务支出28.95万元、资本性支出0万元、对个人和家庭的补助3.5万元），其中人员经费39.42万元，公用经费28.95万元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基本支出主要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是指为保障单位机构正常运转、完成日常工作任务而发生的各项支出，包括用于基本工资、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绩效工资、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津贴补贴、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社会保障缴费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等人员经费，办公费、印刷费、水电费、差旅费、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公务接待费、维修（护）费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等日常公用经费，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以及离退休费用等其他对个人和家庭的补助支出。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（二）项目支出情况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Chars="200" w:right="0" w:rightChars="0" w:firstLine="320" w:firstLineChars="1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2024年本单位项目支出0万元。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三、政府性基金预算支出情况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 xml:space="preserve"> 2023年本单位无此项支出。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国有资本经营预算支出情况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2023年本单位无此项支出。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社会保险基金预算支出情况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 xml:space="preserve"> 2023年本单位无此项支出。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六、部门整体支出绩效情况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　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2023年，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本单位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积极履职，资金管理规范，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资产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管理到位，政策执行有力，较好地完成了年度工作目标，有效发挥了财政资金的使用效率。在人员经费支出上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严格执行上级的各项制度;在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公用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经费使用上，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严格执行预算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;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在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“三公”经费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开支上，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厉行节约，从严控制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根据《部门整体支出绩效自评表》自评得分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98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分(详见附表2)，部门整体支出绩效为“优”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（一）2023年部门整体支出绩效目标设置及完成情况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40" w:lineRule="exact"/>
        <w:ind w:left="0" w:right="0" w:firstLine="48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Style w:val="8"/>
          <w:rFonts w:hint="eastAsia" w:ascii="楷体" w:hAnsi="楷体" w:eastAsia="楷体" w:cs="楷体"/>
          <w:i w:val="0"/>
          <w:caps w:val="0"/>
          <w:color w:val="auto"/>
          <w:spacing w:val="8"/>
          <w:sz w:val="32"/>
          <w:szCs w:val="32"/>
          <w:shd w:val="clear" w:color="auto" w:fill="FFFFFF"/>
        </w:rPr>
        <w:t>把准政治方向，站稳政治立场。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以持续深化“青年大学习”行动为统揽，以学习习近平新时代中国特色社会主义思想和党的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二十大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精神为主要内容，促推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学习体系同日常工作融合、在基层落地落实。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一是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积极推广“青年大学习”主题团课线上学习，并召开多次“青年大学习”主题座谈会，着力引领青年学深悟透，切实增强“四个意识”、坚定“四个自信”、坚决做到“两个维护”。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二是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开展线上线下集中学习宣讲20余次，通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过“三会两制一课”、主题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团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日活动等形式，组织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青年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团员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少先队员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认认真真读原著、学原文、悟原理。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三是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积极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带动区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级“青年讲师团”、“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红领巾宣讲员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”、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青年文明号及青年岗位能手开展党的二十大精神宣讲活动。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40" w:lineRule="exact"/>
        <w:ind w:left="0" w:right="0" w:firstLine="525"/>
        <w:jc w:val="both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Style w:val="8"/>
          <w:rFonts w:hint="eastAsia" w:ascii="楷体" w:hAnsi="楷体" w:eastAsia="楷体" w:cs="楷体"/>
          <w:i w:val="0"/>
          <w:cap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  <w:t>2、</w:t>
      </w:r>
      <w:r>
        <w:rPr>
          <w:rStyle w:val="8"/>
          <w:rFonts w:hint="eastAsia" w:ascii="楷体" w:hAnsi="楷体" w:eastAsia="楷体" w:cs="楷体"/>
          <w:i w:val="0"/>
          <w:caps w:val="0"/>
          <w:color w:val="auto"/>
          <w:spacing w:val="8"/>
          <w:sz w:val="32"/>
          <w:szCs w:val="32"/>
          <w:shd w:val="clear" w:color="auto" w:fill="FFFFFF"/>
        </w:rPr>
        <w:t>加强政治领导，提升发展后劲。强化执行力</w:t>
      </w:r>
      <w:r>
        <w:rPr>
          <w:rStyle w:val="8"/>
          <w:rFonts w:hint="eastAsia" w:ascii="仿宋" w:hAnsi="仿宋" w:eastAsia="仿宋" w:cs="仿宋"/>
          <w:i w:val="0"/>
          <w:caps w:val="0"/>
          <w:color w:val="auto"/>
          <w:spacing w:val="8"/>
          <w:sz w:val="32"/>
          <w:szCs w:val="32"/>
          <w:shd w:val="clear" w:color="auto" w:fill="FFFFFF"/>
        </w:rPr>
        <w:t>。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  <w:lang w:eastAsia="zh-CN"/>
        </w:rPr>
        <w:t>团区委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</w:rPr>
        <w:t>以打造模范政治机关为目标，把方向、管大局、保落实，对标对表、看齐跟紧上级党委政府的决策部署，高标准谋划、高效率推进各项工作，不折不扣落实部署、执行政策。</w:t>
      </w:r>
      <w:r>
        <w:rPr>
          <w:rStyle w:val="8"/>
          <w:rFonts w:hint="eastAsia" w:ascii="仿宋" w:hAnsi="仿宋" w:eastAsia="仿宋" w:cs="仿宋"/>
          <w:i w:val="0"/>
          <w:caps w:val="0"/>
          <w:color w:val="auto"/>
          <w:spacing w:val="8"/>
          <w:sz w:val="32"/>
          <w:szCs w:val="32"/>
          <w:shd w:val="clear" w:color="auto" w:fill="FFFFFF"/>
        </w:rPr>
        <w:t>强化组织力。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  <w:lang w:eastAsia="zh-CN"/>
        </w:rPr>
        <w:t>党有号召，团有行动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</w:rPr>
        <w:t>。今年，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  <w:lang w:eastAsia="zh-CN"/>
        </w:rPr>
        <w:t>团区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</w:rPr>
        <w:t>委根据中心实际，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  <w:lang w:eastAsia="zh-CN"/>
        </w:rPr>
        <w:t>在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  <w:t>生态环保、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  <w:lang w:eastAsia="zh-CN"/>
        </w:rPr>
        <w:t>疫情防控、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  <w:t>乡村振兴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  <w:lang w:eastAsia="zh-CN"/>
        </w:rPr>
        <w:t>等领域组织强有力的青年突击队和青年志愿者参与中心工作，凸显了青年团员的先锋队和后备军作用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</w:rPr>
        <w:t>。</w:t>
      </w:r>
      <w:r>
        <w:rPr>
          <w:rStyle w:val="8"/>
          <w:rFonts w:hint="eastAsia" w:ascii="仿宋" w:hAnsi="仿宋" w:eastAsia="仿宋" w:cs="仿宋"/>
          <w:i w:val="0"/>
          <w:cap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  <w:t>提高</w:t>
      </w:r>
      <w:r>
        <w:rPr>
          <w:rStyle w:val="8"/>
          <w:rFonts w:hint="eastAsia" w:ascii="仿宋" w:hAnsi="仿宋" w:eastAsia="仿宋" w:cs="仿宋"/>
          <w:i w:val="0"/>
          <w:caps w:val="0"/>
          <w:color w:val="auto"/>
          <w:spacing w:val="8"/>
          <w:sz w:val="32"/>
          <w:szCs w:val="32"/>
          <w:shd w:val="clear" w:color="auto" w:fill="FFFFFF"/>
        </w:rPr>
        <w:t>战斗力。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</w:rPr>
        <w:t>将党的政治建设贯穿于整体业务工作，切实发挥党组织的战斗堡垒作用，团结和带领干部职工围绕中心、服务大局、加压奋进。</w:t>
      </w:r>
      <w:r>
        <w:rPr>
          <w:rStyle w:val="8"/>
          <w:rFonts w:hint="eastAsia" w:ascii="仿宋" w:hAnsi="仿宋" w:eastAsia="仿宋" w:cs="仿宋"/>
          <w:i w:val="0"/>
          <w:cap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  <w:t>永葆廉洁力。</w:t>
      </w:r>
      <w:r>
        <w:rPr>
          <w:rFonts w:hint="eastAsia" w:ascii="仿宋" w:hAnsi="仿宋" w:eastAsia="仿宋" w:cs="仿宋"/>
          <w:sz w:val="32"/>
          <w:szCs w:val="32"/>
        </w:rPr>
        <w:t>坚持民主集中制，坚决不搞“一言堂”，</w:t>
      </w:r>
      <w:r>
        <w:rPr>
          <w:rFonts w:hint="eastAsia" w:ascii="仿宋" w:hAnsi="仿宋" w:eastAsia="仿宋"/>
          <w:sz w:val="32"/>
          <w:szCs w:val="32"/>
        </w:rPr>
        <w:t>严格落实“三重一大”事项集体决策、“一把手”末位表态和“四个不直接分管”制度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能较好地落实从严治党主体责任，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shd w:val="clear" w:color="auto" w:fill="FFFFFF"/>
        </w:rPr>
        <w:t>学习贯彻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shd w:val="clear" w:color="auto" w:fill="FFFFFF"/>
          <w:lang w:val="en-US" w:eastAsia="zh-CN"/>
        </w:rPr>
        <w:t>践行好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shd w:val="clear" w:color="auto" w:fill="FFFFFF"/>
        </w:rPr>
        <w:t>“一把手”和领导班子监督的十六条措施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shd w:val="clear" w:color="auto" w:fill="FFFFFF"/>
          <w:lang w:val="en-US" w:eastAsia="zh-CN"/>
        </w:rPr>
        <w:t>等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line="540" w:lineRule="exact"/>
        <w:ind w:firstLine="675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Style w:val="8"/>
          <w:rFonts w:hint="eastAsia" w:ascii="仿宋" w:hAnsi="仿宋" w:eastAsia="仿宋" w:cs="仿宋"/>
          <w:i w:val="0"/>
          <w:caps w:val="0"/>
          <w:color w:val="auto"/>
          <w:spacing w:val="8"/>
          <w:sz w:val="32"/>
          <w:szCs w:val="32"/>
          <w:shd w:val="clear" w:color="auto" w:fill="FFFFFF"/>
        </w:rPr>
        <w:t>3、践行服务宗旨，夯实政治根基。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广泛开展各类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理想信念教育活动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组织开展团系统党的二十大精神宣讲，在青年之家、团代表联络站等邀请团干部、新兴青年、公益协会带头人等开展“学习二十大 永远跟党走 奋进新征程”主题宣讲75场，直接覆盖175个基层团组织、31个少先队组织、青少年9000余名，推动形成共青团系统学习贯彻践行二十大精神的良好氛围。</w:t>
      </w:r>
    </w:p>
    <w:p>
      <w:pPr>
        <w:ind w:firstLine="643" w:firstLineChars="200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楷体_GB2312" w:hAnsi="微软雅黑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</w:t>
      </w:r>
      <w:r>
        <w:rPr>
          <w:rFonts w:ascii="楷体_GB2312" w:hAnsi="微软雅黑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单位资产管理和整体业务实施效果情况</w:t>
      </w: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>本单位资产设有专</w:t>
      </w:r>
      <w:r>
        <w:rPr>
          <w:rFonts w:hint="eastAsia"/>
          <w:sz w:val="30"/>
          <w:szCs w:val="30"/>
          <w:lang w:val="en-US" w:eastAsia="zh-CN"/>
        </w:rPr>
        <w:t>门人员将单位所有资产全部录入固定资产信息系统</w:t>
      </w:r>
      <w:r>
        <w:rPr>
          <w:rFonts w:hint="default"/>
          <w:sz w:val="30"/>
          <w:szCs w:val="30"/>
          <w:lang w:val="en-US" w:eastAsia="zh-CN"/>
        </w:rPr>
        <w:t>,</w:t>
      </w:r>
      <w:r>
        <w:rPr>
          <w:rFonts w:hint="eastAsia"/>
          <w:sz w:val="30"/>
          <w:szCs w:val="30"/>
          <w:lang w:val="en-US" w:eastAsia="zh-CN"/>
        </w:rPr>
        <w:t>实行动态管理。资产配置严格按照规定程序报批，坚持资产配备与单位履行职能需要相适应，坚持资产管理与预算管理相结合。资产利用率高，资产配置基本合理，人均占有办公室使用面积、人均占有通用设备数量等指标均在正常范围。科学管理和使用国有资产</w:t>
      </w:r>
      <w:r>
        <w:rPr>
          <w:rFonts w:hint="default"/>
          <w:sz w:val="30"/>
          <w:szCs w:val="30"/>
          <w:lang w:val="en-US" w:eastAsia="zh-CN"/>
        </w:rPr>
        <w:t>,</w:t>
      </w:r>
      <w:r>
        <w:rPr>
          <w:rFonts w:hint="eastAsia"/>
          <w:sz w:val="30"/>
          <w:szCs w:val="30"/>
          <w:lang w:val="en-US" w:eastAsia="zh-CN"/>
        </w:rPr>
        <w:t>保障单位正常运转的同时，合理配备并有效使用资产，充分发挥了国有资产的使用效益和社会效益。</w:t>
      </w:r>
    </w:p>
    <w:p>
      <w:pPr>
        <w:rPr>
          <w:rFonts w:hint="eastAsia"/>
          <w:b/>
          <w:bCs/>
          <w:sz w:val="30"/>
          <w:szCs w:val="30"/>
        </w:rPr>
      </w:pPr>
    </w:p>
    <w:p>
      <w:pPr>
        <w:rPr>
          <w:rFonts w:hint="eastAsia" w:eastAsia="宋体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rPr>
          <w:rFonts w:hint="default" w:eastAsia="宋体"/>
          <w:b/>
          <w:bCs/>
          <w:sz w:val="30"/>
          <w:szCs w:val="30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七、存在的问题及原因分析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（一）预算精准性有待进一步提高</w:t>
      </w:r>
      <w:r>
        <w:rPr>
          <w:rFonts w:hint="eastAsia" w:ascii="Times New Roman" w:hAnsi="Times New Roman" w:eastAsia="楷体_GB2312" w:cs="Times New Roman"/>
          <w:b w:val="0"/>
          <w:bCs/>
          <w:kern w:val="0"/>
          <w:sz w:val="32"/>
          <w:szCs w:val="32"/>
          <w:lang w:val="en-US" w:eastAsia="zh-CN" w:bidi="ar-SA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由于预算编制具有不可预见性，年初安排预算时，对各项公用支出的分配安排缺乏统一的硬性标准，导致部分资金使用时需要进行指标调剂。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（二）预算绩效管理意识有待进一步加强，预算绩效管理的工作方法方式有待创新。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预算绩效管理工作贯穿全年，与各个业务股室息息相关，由于对预算绩效管理的全面性和重要性缺乏深入的了解，统揽全局的意识有所欠缺，导致预算绩效管理工作在推动过程中能够很好地完成各项工作任务，但工作质量难以实现质的飞跃。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财务业务水平有待进一步提高。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由于财务工作内容变化较大，各项制度、政策更新快，加之财务人员忙于琐碎的日常工作，对各项新知识、新业务的学习时间、精力有限，导致财务人员预算绩效管理工作水平一般，在将预算绩效管理转化成工作成果，更好地指导各项工作的开展方面有所欠缺。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下一步改进措施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（一）加强预算编制的前瞻性，提高预算编制水平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进一步提高预算编制的科学性、合理性、严谨性和可控性，紧密结合上一年度预算执行情况和本年度预算收支变化因素，科学、合理地编制本年预算草案，避免出现预算支出与预算执行出现偏差较大的情况。落实预算执行分析，及时了解预算执行差异，合理调整、纠正预算执行偏差，切实提高部门预算收支管理水平。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牢固树立预算绩效管理贯穿全局的理念，进一步创新工作方式方法。切实做好预算绩效管理的上传下达工作，在全单位形成将预算绩效管理意识融入到业务工作中的意识，多向优秀典型案例学习，拓宽工作思路，多想办法，想好办法，自觉提高预算绩效管理能力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三）加大财务人员培训力度，提高财务人员从业水平。督促财务人员树立常学常新的理念，及时更新知识体系，通过加大对财务人员预算绩效管理理论水平和实操的培训，提高将预算绩效管理转化成生产力的能力，更好地提高本单位的管理水平，促进各项事业更好发展。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部门整体支出绩效自评结果拟应用和公开情况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单位2023年度部门整体支出绩效自评结果拟按湖南省财政厅关于印发《湖南省预算支出绩效评价管理办法》的通知（湘财绩〔2020〕7号）要求，在整体支出项目绩效目标编制申报时，根据项目实际情况和预期可达成的目标，设置更科学合理的指标。严格按规定内容、时限在君山区政务中心门户网站公开，接受社会监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十、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其他需要说明的情况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br w:type="page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部门整体支出绩效评价基础数据表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部门整体支出绩效自评表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部门整体支出绩效自评工作考核评分表</w:t>
      </w:r>
    </w:p>
    <w:p>
      <w:pPr>
        <w:spacing w:after="120" w:afterLines="50" w:line="600" w:lineRule="exact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</w:p>
    <w:p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>
      <w:pPr>
        <w:spacing w:after="120" w:afterLines="50" w:line="600" w:lineRule="exact"/>
        <w:ind w:firstLine="1080" w:firstLineChars="300"/>
        <w:jc w:val="both"/>
        <w:rPr>
          <w:rFonts w:hint="eastAsia" w:ascii="方正小标宋简体" w:hAnsi="方正小标宋简体" w:eastAsia="方正小标宋简体" w:cs="方正小标宋简体"/>
          <w:sz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年度部门整体支出绩效评价基础数据表</w:t>
      </w:r>
    </w:p>
    <w:tbl>
      <w:tblPr>
        <w:tblStyle w:val="6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100%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0.11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0.11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29.67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28.95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28.95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9.16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4.87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4.87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0.04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11.08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11.08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68.37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68.37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楼堂馆所控制情况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（202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批复规模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投资概算控制率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深入贯彻落实中央八项规定及其实施细则特神，严格控制“三公”经费开支，严禁超范围、超标准开支，践行精细化管理理念，加强绩效化管理，推进绩效评价结果与预算挂钩，严防资金低效使用，确保财力有效转化为保障力。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>
      <w:pPr>
        <w:widowControl/>
        <w:spacing w:after="0" w:afterLines="0" w:line="400" w:lineRule="exact"/>
        <w:ind w:left="220" w:hanging="220" w:hangingChars="100"/>
        <w:jc w:val="left"/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</w:t>
      </w:r>
      <w:r>
        <w:rPr>
          <w:rFonts w:hint="eastAsia" w:ascii="Times New Roman" w:hAnsi="Times New Roman" w:eastAsia="仿宋_GB2312" w:cs="Times New Roman"/>
          <w:sz w:val="22"/>
          <w:highlight w:val="none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吴朝霞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>填报日期：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2024.6.19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联系电话：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13873063680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>单位负责人签字：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李升兵</w:t>
      </w:r>
    </w:p>
    <w:p>
      <w:pPr>
        <w:widowControl/>
        <w:spacing w:after="0" w:afterLines="0" w:line="400" w:lineRule="exact"/>
        <w:ind w:left="220" w:hanging="220" w:hangingChars="100"/>
        <w:jc w:val="left"/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</w:pPr>
    </w:p>
    <w:p>
      <w:pPr>
        <w:widowControl/>
        <w:spacing w:after="0" w:afterLines="0" w:line="400" w:lineRule="exact"/>
        <w:ind w:left="220" w:hanging="320" w:hangingChars="100"/>
        <w:jc w:val="left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>
      <w:pPr>
        <w:widowControl/>
        <w:spacing w:after="120" w:afterLines="5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年度部门整体支出绩效自评表</w:t>
      </w:r>
    </w:p>
    <w:tbl>
      <w:tblPr>
        <w:tblStyle w:val="6"/>
        <w:tblW w:w="100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4"/>
        <w:gridCol w:w="1270"/>
        <w:gridCol w:w="1311"/>
        <w:gridCol w:w="1269"/>
        <w:gridCol w:w="716"/>
        <w:gridCol w:w="873"/>
        <w:gridCol w:w="14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级预算部门名称</w:t>
            </w:r>
          </w:p>
        </w:tc>
        <w:tc>
          <w:tcPr>
            <w:tcW w:w="89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共青团岳阳市君山区委员会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算申请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全年执行数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41.54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68.37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68.37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按收入性质分：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按支出性质分：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  其中：  一般公共预算：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62.27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其中：基本支出：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68.37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800" w:firstLineChars="4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政府性基金拨款：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600" w:firstLineChars="3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纳入专户管理的非税收入拨款：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1400" w:firstLineChars="7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6.1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认真研究和把握新形势下青年工作的规律，积极探索组织、引导、服务、联系青年的新途径，充分发挥了共青团作为党的助手和后备军、党联系青年群众的桥梁纽带作用。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widowControl/>
              <w:spacing w:line="27" w:lineRule="atLeast"/>
              <w:ind w:firstLine="480" w:firstLineChars="240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一、强化思想政治引领，坚持不懈用习近平新时代中国特色社会主义思想武装头脑、指导实践、教育青年</w:t>
            </w:r>
          </w:p>
          <w:p>
            <w:pPr>
              <w:pStyle w:val="5"/>
              <w:widowControl/>
              <w:spacing w:line="27" w:lineRule="atLeast"/>
              <w:ind w:firstLine="480" w:firstLineChars="240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二、坚持围绕中心服务大局，引领广大青年在建设精致精美出新出彩的洞庭明珠征程中团结奋斗</w:t>
            </w:r>
          </w:p>
          <w:p>
            <w:pPr>
              <w:pStyle w:val="5"/>
              <w:widowControl/>
              <w:spacing w:line="27" w:lineRule="atLeast"/>
              <w:ind w:firstLine="480" w:firstLineChars="240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三、全面从严治团，树立新时代君山共青团的良好形象。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年度指标值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实际完成值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关爱帮扶困难学子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≥20人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≥20人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助力各类志愿服务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≥2次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≥2次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加强团员队伍建设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≥95%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≥95%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团组织规范化建设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≥95%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≥95%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学社衔接率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≥95%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≥95%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员参与率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＝100%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年度各项任务完成期限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2023年12月31日前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2023年12月20日前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预算控制率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青年创业率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≥95%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≥95%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13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“青年大学习”进度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≥95%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≥95%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无生态效益效果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无生态效益效果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无生态效益效果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无可持续影响效果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无可持续影响效果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无可持续影响效果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服务对象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满意度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widowControl/>
        <w:spacing w:after="0" w:afterLines="0" w:line="400" w:lineRule="exact"/>
        <w:jc w:val="left"/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</w:t>
      </w:r>
      <w:r>
        <w:rPr>
          <w:rFonts w:hint="eastAsia" w:ascii="Times New Roman" w:hAnsi="Times New Roman" w:eastAsia="仿宋_GB2312" w:cs="Times New Roman"/>
          <w:sz w:val="22"/>
          <w:highlight w:val="none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>填报日期：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>联系电话：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>单位负责人签字：</w:t>
      </w:r>
    </w:p>
    <w:p>
      <w:pPr>
        <w:jc w:val="both"/>
        <w:rPr>
          <w:rFonts w:hint="default" w:ascii="Times New Roman" w:hAnsi="Times New Roman" w:eastAsia="方正小标宋_GBK" w:cs="Times New Roman"/>
          <w:sz w:val="52"/>
          <w:szCs w:val="52"/>
          <w:highlight w:val="none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5</w:t>
      </w:r>
    </w:p>
    <w:p>
      <w:pPr>
        <w:spacing w:before="120" w:beforeLines="50" w:after="120" w:afterLines="50"/>
        <w:jc w:val="center"/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部门整体支出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  <w:t>绩效自评工作考核评分表</w:t>
      </w:r>
    </w:p>
    <w:tbl>
      <w:tblPr>
        <w:tblStyle w:val="6"/>
        <w:tblW w:w="99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174"/>
        <w:gridCol w:w="5000"/>
        <w:gridCol w:w="30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一级指标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二级指标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评分标准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所需佐证材料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布置工作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自评通知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（8分）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印发绩效自评通知的得2分，否则不得分。</w:t>
            </w: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按照本规程规定，绩效自评通知包括自评范围、自评主要依据、自评主要内容、自评程序和步骤、有关要求等内容，并附有本通知要求的附件的，得6分；否则缺1项扣1分，最多扣6分。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绩效自评通知盖章的电子版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工作小组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成立绩效自评工作小组的得2分，否则不得分。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本部门、本单位预算绩效管理领导小组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绩效评价工作小组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有关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</w:rPr>
              <w:t>文件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盖章的电子版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实施评价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单位自查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预算部门本级和所属单位都要开展绩效自查，转移支付项目单位都要开展绩效自查，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县、区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级主管部门都要汇总本区域转移支付情况；以上各项每发现一个单位没有做相应工作的，扣1分，最多扣10分。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8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转移支付项目单位名称和资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金情况清单</w:t>
            </w:r>
          </w:p>
          <w:p>
            <w:pPr>
              <w:numPr>
                <w:ilvl w:val="0"/>
                <w:numId w:val="8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有转移支付资金的各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主管部门汇总情况的盖章PDF版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提交报告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80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按时向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市财政局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报送报告的得10分；每推迟一个工作日报送报告的扣1分，最多扣10分。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自评报告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70分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完整性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绩效自评报告正文部分内容齐全的，得8分；否则每少一个部分扣2分，最多扣8分。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绩效自评报告附件部分内容齐全的，得7分；否则每少一个部分扣2分，最多扣7分。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自评表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1、部门整体支出和项目支出绩效指标反映产出、效益、服务对象满意度方面的指标和预算执行率的权重符合《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岳阳市市级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预算部门绩效自评操作规程》要求的，得5分，否则按比例扣除相应的分数。</w:t>
            </w: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部门整体支出和项目支出绩效指标全部细化到三级指标的，得5分；部分细化的，酌情扣分；没有细化的，不得分。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三级绩效指标内涵明确、具体、可衡量的得5分；突出核心指标，精简实用的得3分；指标与部门整体支出和项目支出密切相关，全面反映产出和效益的得2分；否则，每项酌情扣分，最多扣10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反映问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题情况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从预算和预算绩效管理，部门履职效能，资金分配、使用和管理，资产和财务管理，政府采购等方面归纳问题、分析原因全面的，得20分；反映问题、分析原因较全面的，得16—18分；反映问题、分析原因不全面的，得13—15分；问题未归纳且过于简单的，得10—12分；只提出资金不足问题的不得分；其他情况酌情扣分。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建议情况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建议与问题对应且全面的得15分，建议比较全面的得12—14分，建议不全面的得9—11分，建议过于简单的得6—8分，只提出加大资金投入建议的不得分；其他情况酌情扣分。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合计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100分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98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9E57AF"/>
    <w:multiLevelType w:val="singleLevel"/>
    <w:tmpl w:val="C19E57AF"/>
    <w:lvl w:ilvl="0" w:tentative="0">
      <w:start w:val="2"/>
      <w:numFmt w:val="chineseCounting"/>
      <w:suff w:val="nothing"/>
      <w:lvlText w:val="（%1）"/>
      <w:lvlJc w:val="left"/>
      <w:pPr>
        <w:ind w:left="-360"/>
      </w:pPr>
      <w:rPr>
        <w:rFonts w:hint="eastAsia" w:ascii="楷体" w:hAnsi="楷体" w:eastAsia="楷体" w:cs="楷体"/>
        <w:sz w:val="32"/>
        <w:szCs w:val="32"/>
      </w:rPr>
    </w:lvl>
  </w:abstractNum>
  <w:abstractNum w:abstractNumId="1">
    <w:nsid w:val="DA81C459"/>
    <w:multiLevelType w:val="singleLevel"/>
    <w:tmpl w:val="DA81C459"/>
    <w:lvl w:ilvl="0" w:tentative="0">
      <w:start w:val="2"/>
      <w:numFmt w:val="chineseCounting"/>
      <w:suff w:val="nothing"/>
      <w:lvlText w:val="（%1）"/>
      <w:lvlJc w:val="left"/>
      <w:rPr>
        <w:rFonts w:hint="eastAsia" w:ascii="楷体" w:hAnsi="楷体" w:eastAsia="楷体" w:cs="楷体"/>
        <w:sz w:val="32"/>
        <w:szCs w:val="32"/>
      </w:rPr>
    </w:lvl>
  </w:abstractNum>
  <w:abstractNum w:abstractNumId="2">
    <w:nsid w:val="FC5BD96D"/>
    <w:multiLevelType w:val="singleLevel"/>
    <w:tmpl w:val="FC5BD96D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1BCD131B"/>
    <w:multiLevelType w:val="singleLevel"/>
    <w:tmpl w:val="1BCD131B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1DD36296"/>
    <w:multiLevelType w:val="singleLevel"/>
    <w:tmpl w:val="1DD3629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59CC8B3D"/>
    <w:multiLevelType w:val="singleLevel"/>
    <w:tmpl w:val="59CC8B3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6">
    <w:nsid w:val="5DDF8822"/>
    <w:multiLevelType w:val="singleLevel"/>
    <w:tmpl w:val="5DDF8822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72666873"/>
    <w:multiLevelType w:val="singleLevel"/>
    <w:tmpl w:val="7266687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hMjdlZjQ5YjRhZjNkYTU5MWJjNTdiM2YyYzk4OWIifQ=="/>
  </w:docVars>
  <w:rsids>
    <w:rsidRoot w:val="59886344"/>
    <w:rsid w:val="0A467A21"/>
    <w:rsid w:val="0E710FB3"/>
    <w:rsid w:val="1356560D"/>
    <w:rsid w:val="1AD81A1B"/>
    <w:rsid w:val="1CB462C1"/>
    <w:rsid w:val="1EF50984"/>
    <w:rsid w:val="1F38206B"/>
    <w:rsid w:val="22220C72"/>
    <w:rsid w:val="274176DD"/>
    <w:rsid w:val="2CB52ADF"/>
    <w:rsid w:val="2D7A1A9E"/>
    <w:rsid w:val="2E114AFB"/>
    <w:rsid w:val="36C93C0A"/>
    <w:rsid w:val="3A0164D6"/>
    <w:rsid w:val="3CE26112"/>
    <w:rsid w:val="424543E4"/>
    <w:rsid w:val="49C65963"/>
    <w:rsid w:val="55004DFD"/>
    <w:rsid w:val="58670CF0"/>
    <w:rsid w:val="597B2CA5"/>
    <w:rsid w:val="59886344"/>
    <w:rsid w:val="5A5A0E47"/>
    <w:rsid w:val="5C5A0BD2"/>
    <w:rsid w:val="5CCD6BA5"/>
    <w:rsid w:val="5CF9234B"/>
    <w:rsid w:val="5E94553F"/>
    <w:rsid w:val="6516562F"/>
    <w:rsid w:val="66954A48"/>
    <w:rsid w:val="66D77B48"/>
    <w:rsid w:val="68193552"/>
    <w:rsid w:val="6AD037C8"/>
    <w:rsid w:val="70C62A07"/>
    <w:rsid w:val="7A050594"/>
    <w:rsid w:val="DFEF8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before="100" w:beforeAutospacing="1" w:after="0"/>
      <w:ind w:left="0" w:firstLine="420" w:firstLineChars="200"/>
    </w:pPr>
    <w:rPr>
      <w:rFonts w:ascii="Calibri" w:hAnsi="Calibri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eastAsia="宋体" w:cs="Times New Roman"/>
    </w:r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paragraph" w:styleId="10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5124</Words>
  <Characters>5489</Characters>
  <Lines>0</Lines>
  <Paragraphs>0</Paragraphs>
  <TotalTime>3</TotalTime>
  <ScaleCrop>false</ScaleCrop>
  <LinksUpToDate>false</LinksUpToDate>
  <CharactersWithSpaces>5665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2024-03-18T08:36:00Z</dcterms:created>
  <dc:creator>Administrator</dc:creator>
  <cp:lastModifiedBy>Administrator</cp:lastModifiedBy>
  <dcterms:modified xsi:type="dcterms:W3CDTF">2024-07-01T01:20:19Z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C57D92FC50714B589FF7E269257E5C57_13</vt:lpwstr>
  </property>
</Properties>
</file>