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overflowPunct/>
        <w:topLinePunct w:val="0"/>
        <w:autoSpaceDE/>
        <w:autoSpaceDN/>
        <w:bidi w:val="0"/>
        <w:adjustRightInd/>
        <w:snapToGrid/>
        <w:spacing w:afterLines="0" w:line="360" w:lineRule="auto"/>
        <w:ind w:left="0" w:leftChars="0" w:firstLine="640" w:firstLineChars="200"/>
        <w:jc w:val="both"/>
        <w:textAlignment w:val="auto"/>
        <w:rPr>
          <w:rFonts w:hint="eastAsia" w:ascii="仿宋_GB2312" w:hAnsi="仿宋_GB2312" w:eastAsia="仿宋_GB2312" w:cs="仿宋_GB2312"/>
          <w:sz w:val="32"/>
          <w:szCs w:val="32"/>
          <w:highlight w:val="none"/>
          <w:lang w:val="en-US" w:eastAsia="zh-CN"/>
        </w:rPr>
      </w:pPr>
      <w:r>
        <w:rPr>
          <w:rFonts w:hint="eastAsia" w:ascii="仿宋_GB2312" w:hAnsi="仿宋_GB2312" w:eastAsia="仿宋_GB2312" w:cs="仿宋_GB2312"/>
          <w:b w:val="0"/>
          <w:spacing w:val="0"/>
          <w:sz w:val="32"/>
          <w:szCs w:val="32"/>
          <w:highlight w:val="none"/>
          <w:lang w:val="en-US" w:eastAsia="zh-CN"/>
        </w:rPr>
        <w:t xml:space="preserve"> </w:t>
      </w:r>
      <w:r>
        <w:rPr>
          <w:rFonts w:hint="eastAsia" w:ascii="仿宋_GB2312" w:hAnsi="仿宋_GB2312" w:eastAsia="仿宋_GB2312" w:cs="仿宋_GB2312"/>
          <w:spacing w:val="0"/>
          <w:sz w:val="32"/>
          <w:szCs w:val="32"/>
          <w:highlight w:val="none"/>
          <w:lang w:val="en-US" w:eastAsia="zh-CN"/>
        </w:rPr>
        <w:t xml:space="preserve">     </w:t>
      </w:r>
      <w:r>
        <w:rPr>
          <w:rFonts w:hint="eastAsia" w:ascii="仿宋_GB2312" w:hAnsi="仿宋_GB2312" w:eastAsia="仿宋_GB2312" w:cs="仿宋_GB2312"/>
          <w:sz w:val="32"/>
          <w:szCs w:val="32"/>
          <w:highlight w:val="none"/>
          <w:lang w:val="en-US" w:eastAsia="zh-CN"/>
        </w:rPr>
        <w:t xml:space="preserve">        </w:t>
      </w:r>
    </w:p>
    <w:p>
      <w:pPr>
        <w:keepNext w:val="0"/>
        <w:keepLines w:val="0"/>
        <w:pageBreakBefore w:val="0"/>
        <w:widowControl w:val="0"/>
        <w:kinsoku/>
        <w:wordWrap/>
        <w:overflowPunct/>
        <w:topLinePunct w:val="0"/>
        <w:autoSpaceDE/>
        <w:autoSpaceDN/>
        <w:bidi w:val="0"/>
        <w:adjustRightInd/>
        <w:snapToGrid/>
        <w:spacing w:afterLines="0" w:line="360" w:lineRule="auto"/>
        <w:ind w:left="0" w:leftChars="0" w:firstLine="640" w:firstLineChars="200"/>
        <w:jc w:val="both"/>
        <w:textAlignment w:val="auto"/>
        <w:rPr>
          <w:rFonts w:hint="eastAsia" w:ascii="仿宋_GB2312" w:hAnsi="仿宋_GB2312" w:eastAsia="仿宋_GB2312" w:cs="仿宋_GB2312"/>
          <w:sz w:val="32"/>
          <w:szCs w:val="32"/>
          <w:highlight w:val="none"/>
        </w:rPr>
      </w:pPr>
      <w:r>
        <w:rPr>
          <w:rFonts w:hint="eastAsia" w:ascii="仿宋_GB2312" w:hAnsi="仿宋_GB2312" w:eastAsia="仿宋_GB2312" w:cs="仿宋_GB2312"/>
          <w:sz w:val="32"/>
          <w:szCs w:val="32"/>
          <w:highlight w:val="none"/>
        </w:rPr>
        <w:t>附件：1</w:t>
      </w:r>
      <w:r>
        <w:rPr>
          <w:rFonts w:hint="eastAsia" w:ascii="仿宋_GB2312" w:hAnsi="仿宋_GB2312" w:eastAsia="仿宋_GB2312" w:cs="仿宋_GB2312"/>
          <w:sz w:val="32"/>
          <w:szCs w:val="32"/>
          <w:highlight w:val="none"/>
          <w:lang w:val="en-US" w:eastAsia="zh-CN"/>
        </w:rPr>
        <w:t>.</w:t>
      </w:r>
      <w:r>
        <w:rPr>
          <w:rFonts w:hint="eastAsia" w:ascii="仿宋_GB2312" w:hAnsi="仿宋_GB2312" w:eastAsia="仿宋_GB2312" w:cs="仿宋_GB2312"/>
          <w:sz w:val="32"/>
          <w:szCs w:val="32"/>
          <w:highlight w:val="none"/>
        </w:rPr>
        <w:t>202</w:t>
      </w:r>
      <w:r>
        <w:rPr>
          <w:rFonts w:hint="eastAsia" w:ascii="仿宋_GB2312" w:hAnsi="仿宋_GB2312" w:eastAsia="仿宋_GB2312" w:cs="仿宋_GB2312"/>
          <w:sz w:val="32"/>
          <w:szCs w:val="32"/>
          <w:highlight w:val="none"/>
          <w:lang w:val="en-US" w:eastAsia="zh-CN"/>
        </w:rPr>
        <w:t>3</w:t>
      </w:r>
      <w:r>
        <w:rPr>
          <w:rFonts w:hint="eastAsia" w:ascii="仿宋_GB2312" w:hAnsi="仿宋_GB2312" w:eastAsia="仿宋_GB2312" w:cs="仿宋_GB2312"/>
          <w:sz w:val="32"/>
          <w:szCs w:val="32"/>
          <w:highlight w:val="none"/>
        </w:rPr>
        <w:t xml:space="preserve">年度部门整体支出绩效评价基础数据表 </w:t>
      </w:r>
    </w:p>
    <w:p>
      <w:pPr>
        <w:keepNext w:val="0"/>
        <w:keepLines w:val="0"/>
        <w:pageBreakBefore w:val="0"/>
        <w:widowControl w:val="0"/>
        <w:kinsoku/>
        <w:wordWrap/>
        <w:overflowPunct/>
        <w:topLinePunct w:val="0"/>
        <w:autoSpaceDE/>
        <w:autoSpaceDN/>
        <w:bidi w:val="0"/>
        <w:adjustRightInd/>
        <w:snapToGrid/>
        <w:spacing w:afterLines="0" w:line="360" w:lineRule="auto"/>
        <w:ind w:left="0" w:leftChars="0" w:firstLine="1600" w:firstLineChars="500"/>
        <w:jc w:val="both"/>
        <w:textAlignment w:val="auto"/>
        <w:rPr>
          <w:rFonts w:hint="eastAsia" w:ascii="仿宋_GB2312" w:hAnsi="仿宋_GB2312" w:eastAsia="仿宋_GB2312" w:cs="仿宋_GB2312"/>
          <w:sz w:val="32"/>
          <w:szCs w:val="32"/>
          <w:highlight w:val="none"/>
        </w:rPr>
      </w:pPr>
      <w:r>
        <w:rPr>
          <w:rFonts w:hint="eastAsia" w:ascii="仿宋_GB2312" w:hAnsi="仿宋_GB2312" w:eastAsia="仿宋_GB2312" w:cs="仿宋_GB2312"/>
          <w:sz w:val="32"/>
          <w:szCs w:val="32"/>
          <w:highlight w:val="none"/>
          <w:lang w:val="en-US" w:eastAsia="zh-CN"/>
        </w:rPr>
        <w:t>2.</w:t>
      </w:r>
      <w:r>
        <w:rPr>
          <w:rFonts w:hint="eastAsia" w:ascii="仿宋_GB2312" w:hAnsi="仿宋_GB2312" w:eastAsia="仿宋_GB2312" w:cs="仿宋_GB2312"/>
          <w:sz w:val="32"/>
          <w:szCs w:val="32"/>
          <w:highlight w:val="none"/>
        </w:rPr>
        <w:t>202</w:t>
      </w:r>
      <w:r>
        <w:rPr>
          <w:rFonts w:hint="eastAsia" w:ascii="仿宋_GB2312" w:hAnsi="仿宋_GB2312" w:eastAsia="仿宋_GB2312" w:cs="仿宋_GB2312"/>
          <w:sz w:val="32"/>
          <w:szCs w:val="32"/>
          <w:highlight w:val="none"/>
          <w:lang w:val="en-US" w:eastAsia="zh-CN"/>
        </w:rPr>
        <w:t>3</w:t>
      </w:r>
      <w:r>
        <w:rPr>
          <w:rFonts w:hint="eastAsia" w:ascii="仿宋_GB2312" w:hAnsi="仿宋_GB2312" w:eastAsia="仿宋_GB2312" w:cs="仿宋_GB2312"/>
          <w:sz w:val="32"/>
          <w:szCs w:val="32"/>
          <w:highlight w:val="none"/>
        </w:rPr>
        <w:t>年度部门整体支出绩效自评表</w:t>
      </w:r>
    </w:p>
    <w:p>
      <w:pPr>
        <w:keepNext w:val="0"/>
        <w:keepLines w:val="0"/>
        <w:pageBreakBefore w:val="0"/>
        <w:widowControl w:val="0"/>
        <w:kinsoku/>
        <w:wordWrap/>
        <w:overflowPunct/>
        <w:topLinePunct w:val="0"/>
        <w:autoSpaceDE/>
        <w:autoSpaceDN/>
        <w:bidi w:val="0"/>
        <w:adjustRightInd/>
        <w:snapToGrid/>
        <w:spacing w:afterLines="0" w:line="360" w:lineRule="auto"/>
        <w:ind w:left="0" w:leftChars="0" w:firstLine="1600" w:firstLineChars="500"/>
        <w:jc w:val="both"/>
        <w:textAlignment w:val="auto"/>
        <w:rPr>
          <w:rFonts w:hint="eastAsia" w:ascii="仿宋_GB2312" w:hAnsi="仿宋_GB2312" w:eastAsia="仿宋_GB2312" w:cs="仿宋_GB2312"/>
          <w:sz w:val="32"/>
          <w:szCs w:val="32"/>
          <w:highlight w:val="none"/>
        </w:rPr>
      </w:pPr>
      <w:r>
        <w:rPr>
          <w:rFonts w:hint="eastAsia" w:ascii="仿宋_GB2312" w:hAnsi="仿宋_GB2312" w:eastAsia="仿宋_GB2312" w:cs="仿宋_GB2312"/>
          <w:sz w:val="32"/>
          <w:szCs w:val="32"/>
          <w:highlight w:val="none"/>
          <w:lang w:val="en-US" w:eastAsia="zh-CN"/>
        </w:rPr>
        <w:t>3.</w:t>
      </w:r>
      <w:r>
        <w:rPr>
          <w:rFonts w:hint="eastAsia" w:ascii="仿宋_GB2312" w:hAnsi="仿宋_GB2312" w:eastAsia="仿宋_GB2312" w:cs="仿宋_GB2312"/>
          <w:sz w:val="32"/>
          <w:szCs w:val="32"/>
          <w:highlight w:val="none"/>
        </w:rPr>
        <w:t>202</w:t>
      </w:r>
      <w:r>
        <w:rPr>
          <w:rFonts w:hint="eastAsia" w:ascii="仿宋_GB2312" w:hAnsi="仿宋_GB2312" w:eastAsia="仿宋_GB2312" w:cs="仿宋_GB2312"/>
          <w:sz w:val="32"/>
          <w:szCs w:val="32"/>
          <w:highlight w:val="none"/>
          <w:lang w:val="en-US" w:eastAsia="zh-CN"/>
        </w:rPr>
        <w:t>3</w:t>
      </w:r>
      <w:r>
        <w:rPr>
          <w:rFonts w:hint="eastAsia" w:ascii="仿宋_GB2312" w:hAnsi="仿宋_GB2312" w:eastAsia="仿宋_GB2312" w:cs="仿宋_GB2312"/>
          <w:sz w:val="32"/>
          <w:szCs w:val="32"/>
          <w:highlight w:val="none"/>
        </w:rPr>
        <w:t>年度项目支出绩效自评表</w:t>
      </w:r>
    </w:p>
    <w:p>
      <w:pPr>
        <w:keepNext w:val="0"/>
        <w:keepLines w:val="0"/>
        <w:pageBreakBefore w:val="0"/>
        <w:widowControl w:val="0"/>
        <w:kinsoku/>
        <w:wordWrap/>
        <w:overflowPunct/>
        <w:topLinePunct w:val="0"/>
        <w:autoSpaceDE/>
        <w:autoSpaceDN/>
        <w:bidi w:val="0"/>
        <w:adjustRightInd/>
        <w:snapToGrid/>
        <w:spacing w:afterLines="0" w:line="360" w:lineRule="auto"/>
        <w:ind w:left="1596" w:leftChars="570" w:firstLine="0" w:firstLineChars="0"/>
        <w:jc w:val="both"/>
        <w:textAlignment w:val="auto"/>
        <w:rPr>
          <w:rFonts w:hint="eastAsia" w:ascii="仿宋_GB2312" w:hAnsi="仿宋_GB2312" w:eastAsia="仿宋_GB2312" w:cs="仿宋_GB2312"/>
          <w:sz w:val="32"/>
          <w:szCs w:val="32"/>
          <w:highlight w:val="none"/>
        </w:rPr>
      </w:pPr>
      <w:r>
        <w:rPr>
          <w:rFonts w:hint="eastAsia" w:ascii="仿宋_GB2312" w:hAnsi="仿宋_GB2312" w:eastAsia="仿宋_GB2312" w:cs="仿宋_GB2312"/>
          <w:sz w:val="32"/>
          <w:szCs w:val="32"/>
          <w:highlight w:val="none"/>
          <w:lang w:val="en-US" w:eastAsia="zh-CN"/>
        </w:rPr>
        <w:t>4.</w:t>
      </w:r>
      <w:r>
        <w:rPr>
          <w:rFonts w:hint="eastAsia" w:ascii="仿宋_GB2312" w:hAnsi="仿宋_GB2312" w:eastAsia="仿宋_GB2312" w:cs="仿宋_GB2312"/>
          <w:sz w:val="32"/>
          <w:szCs w:val="32"/>
          <w:highlight w:val="none"/>
        </w:rPr>
        <w:t>202</w:t>
      </w:r>
      <w:r>
        <w:rPr>
          <w:rFonts w:hint="eastAsia" w:ascii="仿宋_GB2312" w:hAnsi="仿宋_GB2312" w:eastAsia="仿宋_GB2312" w:cs="仿宋_GB2312"/>
          <w:sz w:val="32"/>
          <w:szCs w:val="32"/>
          <w:highlight w:val="none"/>
          <w:lang w:val="en-US" w:eastAsia="zh-CN"/>
        </w:rPr>
        <w:t>3</w:t>
      </w:r>
      <w:r>
        <w:rPr>
          <w:rFonts w:hint="eastAsia" w:ascii="仿宋_GB2312" w:hAnsi="仿宋_GB2312" w:eastAsia="仿宋_GB2312" w:cs="仿宋_GB2312"/>
          <w:sz w:val="32"/>
          <w:szCs w:val="32"/>
          <w:highlight w:val="none"/>
        </w:rPr>
        <w:t>年度</w:t>
      </w:r>
      <w:r>
        <w:rPr>
          <w:rFonts w:hint="eastAsia" w:ascii="仿宋_GB2312" w:hAnsi="仿宋_GB2312" w:eastAsia="仿宋_GB2312" w:cs="仿宋_GB2312"/>
          <w:sz w:val="32"/>
          <w:szCs w:val="32"/>
          <w:highlight w:val="none"/>
          <w:lang w:eastAsia="zh-CN"/>
        </w:rPr>
        <w:t>市</w:t>
      </w:r>
      <w:r>
        <w:rPr>
          <w:rFonts w:hint="eastAsia" w:ascii="仿宋_GB2312" w:hAnsi="仿宋_GB2312" w:eastAsia="仿宋_GB2312" w:cs="仿宋_GB2312"/>
          <w:sz w:val="32"/>
          <w:szCs w:val="32"/>
          <w:highlight w:val="none"/>
        </w:rPr>
        <w:t xml:space="preserve">直预算部门整体支出绩效自评报告 （统一参考格式）   </w:t>
      </w:r>
    </w:p>
    <w:p>
      <w:pPr>
        <w:keepNext w:val="0"/>
        <w:keepLines w:val="0"/>
        <w:pageBreakBefore w:val="0"/>
        <w:widowControl w:val="0"/>
        <w:kinsoku/>
        <w:wordWrap/>
        <w:overflowPunct/>
        <w:topLinePunct w:val="0"/>
        <w:autoSpaceDE/>
        <w:autoSpaceDN/>
        <w:bidi w:val="0"/>
        <w:adjustRightInd/>
        <w:snapToGrid/>
        <w:spacing w:afterLines="0" w:line="360" w:lineRule="auto"/>
        <w:ind w:left="0" w:leftChars="0" w:firstLine="1600" w:firstLineChars="500"/>
        <w:jc w:val="both"/>
        <w:textAlignment w:val="auto"/>
        <w:rPr>
          <w:rFonts w:hint="eastAsia" w:ascii="仿宋_GB2312" w:hAnsi="仿宋_GB2312" w:eastAsia="仿宋_GB2312" w:cs="仿宋_GB2312"/>
          <w:sz w:val="32"/>
          <w:szCs w:val="32"/>
          <w:highlight w:val="none"/>
        </w:rPr>
      </w:pPr>
      <w:r>
        <w:rPr>
          <w:rFonts w:hint="eastAsia" w:ascii="仿宋_GB2312" w:hAnsi="仿宋_GB2312" w:eastAsia="仿宋_GB2312" w:cs="仿宋_GB2312"/>
          <w:sz w:val="32"/>
          <w:szCs w:val="32"/>
          <w:highlight w:val="none"/>
          <w:lang w:val="en-US" w:eastAsia="zh-CN"/>
        </w:rPr>
        <w:t>5.</w:t>
      </w:r>
      <w:r>
        <w:rPr>
          <w:rFonts w:hint="eastAsia" w:ascii="仿宋_GB2312" w:hAnsi="仿宋_GB2312" w:eastAsia="仿宋_GB2312" w:cs="仿宋_GB2312"/>
          <w:sz w:val="32"/>
          <w:szCs w:val="32"/>
          <w:highlight w:val="none"/>
        </w:rPr>
        <w:t>部门整体支出绩效自评工作考核评分表</w:t>
      </w:r>
    </w:p>
    <w:p>
      <w:pPr>
        <w:keepNext w:val="0"/>
        <w:keepLines w:val="0"/>
        <w:pageBreakBefore w:val="0"/>
        <w:widowControl w:val="0"/>
        <w:kinsoku/>
        <w:wordWrap/>
        <w:overflowPunct/>
        <w:topLinePunct w:val="0"/>
        <w:autoSpaceDE/>
        <w:autoSpaceDN/>
        <w:bidi w:val="0"/>
        <w:adjustRightInd/>
        <w:snapToGrid/>
        <w:spacing w:afterLines="0" w:line="360" w:lineRule="auto"/>
        <w:ind w:right="0" w:rightChars="0"/>
        <w:jc w:val="both"/>
        <w:textAlignment w:val="auto"/>
        <w:rPr>
          <w:rFonts w:hint="eastAsia" w:ascii="仿宋_GB2312" w:hAnsi="仿宋_GB2312" w:eastAsia="仿宋_GB2312" w:cs="仿宋_GB2312"/>
          <w:sz w:val="32"/>
          <w:szCs w:val="32"/>
          <w:highlight w:val="none"/>
          <w:lang w:eastAsia="zh-CN"/>
        </w:rPr>
      </w:pPr>
    </w:p>
    <w:p>
      <w:pPr>
        <w:keepNext w:val="0"/>
        <w:keepLines w:val="0"/>
        <w:pageBreakBefore w:val="0"/>
        <w:widowControl w:val="0"/>
        <w:kinsoku/>
        <w:wordWrap/>
        <w:overflowPunct/>
        <w:topLinePunct w:val="0"/>
        <w:autoSpaceDE/>
        <w:autoSpaceDN/>
        <w:bidi w:val="0"/>
        <w:adjustRightInd/>
        <w:snapToGrid/>
        <w:spacing w:afterLines="0" w:line="360" w:lineRule="auto"/>
        <w:ind w:right="0" w:rightChars="0"/>
        <w:jc w:val="both"/>
        <w:textAlignment w:val="auto"/>
        <w:rPr>
          <w:rFonts w:hint="eastAsia" w:ascii="仿宋_GB2312" w:hAnsi="仿宋_GB2312" w:eastAsia="仿宋_GB2312" w:cs="仿宋_GB2312"/>
          <w:sz w:val="32"/>
          <w:szCs w:val="32"/>
          <w:highlight w:val="none"/>
          <w:lang w:eastAsia="zh-CN"/>
        </w:rPr>
      </w:pPr>
    </w:p>
    <w:p>
      <w:pPr>
        <w:keepNext w:val="0"/>
        <w:keepLines w:val="0"/>
        <w:pageBreakBefore w:val="0"/>
        <w:widowControl w:val="0"/>
        <w:kinsoku/>
        <w:wordWrap/>
        <w:overflowPunct/>
        <w:topLinePunct w:val="0"/>
        <w:autoSpaceDE/>
        <w:autoSpaceDN/>
        <w:bidi w:val="0"/>
        <w:adjustRightInd/>
        <w:snapToGrid/>
        <w:spacing w:afterLines="0" w:line="360" w:lineRule="auto"/>
        <w:ind w:right="0" w:rightChars="0"/>
        <w:jc w:val="both"/>
        <w:textAlignment w:val="auto"/>
        <w:rPr>
          <w:rFonts w:hint="eastAsia" w:ascii="仿宋_GB2312" w:hAnsi="仿宋_GB2312" w:eastAsia="仿宋_GB2312" w:cs="仿宋_GB2312"/>
          <w:sz w:val="32"/>
          <w:szCs w:val="32"/>
          <w:highlight w:val="none"/>
          <w:lang w:eastAsia="zh-CN"/>
        </w:rPr>
      </w:pPr>
    </w:p>
    <w:p>
      <w:pPr>
        <w:keepNext w:val="0"/>
        <w:keepLines w:val="0"/>
        <w:pageBreakBefore w:val="0"/>
        <w:widowControl w:val="0"/>
        <w:kinsoku/>
        <w:wordWrap/>
        <w:overflowPunct/>
        <w:topLinePunct w:val="0"/>
        <w:autoSpaceDE/>
        <w:autoSpaceDN/>
        <w:bidi w:val="0"/>
        <w:adjustRightInd/>
        <w:snapToGrid/>
        <w:spacing w:afterLines="0" w:line="360" w:lineRule="auto"/>
        <w:ind w:right="0" w:rightChars="0"/>
        <w:jc w:val="both"/>
        <w:textAlignment w:val="auto"/>
        <w:rPr>
          <w:rFonts w:hint="eastAsia" w:ascii="仿宋_GB2312" w:hAnsi="仿宋_GB2312" w:eastAsia="仿宋_GB2312" w:cs="仿宋_GB2312"/>
          <w:sz w:val="32"/>
          <w:szCs w:val="32"/>
          <w:highlight w:val="none"/>
          <w:lang w:eastAsia="zh-CN"/>
        </w:rPr>
      </w:pPr>
    </w:p>
    <w:p>
      <w:pPr>
        <w:keepNext w:val="0"/>
        <w:keepLines w:val="0"/>
        <w:pageBreakBefore w:val="0"/>
        <w:widowControl w:val="0"/>
        <w:kinsoku/>
        <w:wordWrap/>
        <w:overflowPunct/>
        <w:topLinePunct w:val="0"/>
        <w:autoSpaceDE/>
        <w:autoSpaceDN/>
        <w:bidi w:val="0"/>
        <w:adjustRightInd/>
        <w:snapToGrid/>
        <w:spacing w:afterLines="0" w:line="360" w:lineRule="auto"/>
        <w:ind w:right="0" w:rightChars="0"/>
        <w:jc w:val="both"/>
        <w:textAlignment w:val="auto"/>
        <w:rPr>
          <w:rFonts w:hint="eastAsia" w:ascii="仿宋_GB2312" w:hAnsi="仿宋_GB2312" w:eastAsia="仿宋_GB2312" w:cs="仿宋_GB2312"/>
          <w:sz w:val="32"/>
          <w:szCs w:val="32"/>
          <w:highlight w:val="none"/>
          <w:lang w:eastAsia="zh-CN"/>
        </w:rPr>
      </w:pPr>
    </w:p>
    <w:p>
      <w:pPr>
        <w:keepNext w:val="0"/>
        <w:keepLines w:val="0"/>
        <w:pageBreakBefore w:val="0"/>
        <w:widowControl w:val="0"/>
        <w:kinsoku/>
        <w:wordWrap/>
        <w:overflowPunct/>
        <w:topLinePunct w:val="0"/>
        <w:autoSpaceDE/>
        <w:autoSpaceDN/>
        <w:bidi w:val="0"/>
        <w:adjustRightInd/>
        <w:snapToGrid/>
        <w:spacing w:afterLines="0" w:line="360" w:lineRule="auto"/>
        <w:ind w:right="0" w:rightChars="0"/>
        <w:jc w:val="both"/>
        <w:textAlignment w:val="auto"/>
        <w:rPr>
          <w:rFonts w:hint="eastAsia" w:ascii="仿宋_GB2312" w:hAnsi="仿宋_GB2312" w:eastAsia="仿宋_GB2312" w:cs="仿宋_GB2312"/>
          <w:sz w:val="32"/>
          <w:szCs w:val="32"/>
          <w:highlight w:val="none"/>
          <w:lang w:eastAsia="zh-CN"/>
        </w:rPr>
      </w:pPr>
    </w:p>
    <w:p>
      <w:pPr>
        <w:keepNext w:val="0"/>
        <w:keepLines w:val="0"/>
        <w:pageBreakBefore w:val="0"/>
        <w:widowControl w:val="0"/>
        <w:kinsoku/>
        <w:wordWrap/>
        <w:overflowPunct/>
        <w:topLinePunct w:val="0"/>
        <w:autoSpaceDE/>
        <w:autoSpaceDN/>
        <w:bidi w:val="0"/>
        <w:adjustRightInd/>
        <w:snapToGrid/>
        <w:spacing w:afterLines="0" w:line="360" w:lineRule="auto"/>
        <w:ind w:right="0" w:rightChars="0"/>
        <w:jc w:val="both"/>
        <w:textAlignment w:val="auto"/>
        <w:rPr>
          <w:rFonts w:hint="eastAsia" w:ascii="仿宋_GB2312" w:hAnsi="仿宋_GB2312" w:eastAsia="仿宋_GB2312" w:cs="仿宋_GB2312"/>
          <w:sz w:val="32"/>
          <w:szCs w:val="32"/>
          <w:highlight w:val="none"/>
          <w:lang w:eastAsia="zh-CN"/>
        </w:rPr>
      </w:pPr>
    </w:p>
    <w:p>
      <w:pPr>
        <w:keepNext w:val="0"/>
        <w:keepLines w:val="0"/>
        <w:pageBreakBefore w:val="0"/>
        <w:widowControl w:val="0"/>
        <w:kinsoku/>
        <w:wordWrap/>
        <w:overflowPunct/>
        <w:topLinePunct w:val="0"/>
        <w:autoSpaceDE/>
        <w:autoSpaceDN/>
        <w:bidi w:val="0"/>
        <w:adjustRightInd/>
        <w:snapToGrid/>
        <w:spacing w:afterLines="0" w:line="360" w:lineRule="auto"/>
        <w:ind w:right="0" w:rightChars="0"/>
        <w:jc w:val="both"/>
        <w:textAlignment w:val="auto"/>
        <w:rPr>
          <w:rFonts w:hint="eastAsia" w:ascii="仿宋_GB2312" w:hAnsi="仿宋_GB2312" w:eastAsia="仿宋_GB2312" w:cs="仿宋_GB2312"/>
          <w:sz w:val="32"/>
          <w:szCs w:val="32"/>
          <w:highlight w:val="none"/>
          <w:lang w:eastAsia="zh-CN"/>
        </w:rPr>
      </w:pPr>
    </w:p>
    <w:p>
      <w:pPr>
        <w:keepNext w:val="0"/>
        <w:keepLines w:val="0"/>
        <w:pageBreakBefore w:val="0"/>
        <w:widowControl w:val="0"/>
        <w:kinsoku/>
        <w:wordWrap/>
        <w:overflowPunct/>
        <w:topLinePunct w:val="0"/>
        <w:autoSpaceDE/>
        <w:autoSpaceDN/>
        <w:bidi w:val="0"/>
        <w:adjustRightInd/>
        <w:snapToGrid/>
        <w:spacing w:afterLines="0" w:line="360" w:lineRule="auto"/>
        <w:ind w:right="0" w:rightChars="0"/>
        <w:jc w:val="both"/>
        <w:textAlignment w:val="auto"/>
        <w:rPr>
          <w:rFonts w:hint="eastAsia" w:ascii="仿宋_GB2312" w:hAnsi="仿宋_GB2312" w:eastAsia="仿宋_GB2312" w:cs="仿宋_GB2312"/>
          <w:sz w:val="32"/>
          <w:szCs w:val="32"/>
          <w:highlight w:val="none"/>
          <w:lang w:eastAsia="zh-CN"/>
        </w:rPr>
      </w:pPr>
    </w:p>
    <w:p>
      <w:pPr>
        <w:keepNext w:val="0"/>
        <w:keepLines w:val="0"/>
        <w:pageBreakBefore w:val="0"/>
        <w:widowControl w:val="0"/>
        <w:kinsoku/>
        <w:wordWrap/>
        <w:overflowPunct/>
        <w:topLinePunct w:val="0"/>
        <w:autoSpaceDE/>
        <w:autoSpaceDN/>
        <w:bidi w:val="0"/>
        <w:adjustRightInd/>
        <w:snapToGrid/>
        <w:spacing w:afterLines="0" w:line="360" w:lineRule="auto"/>
        <w:ind w:right="0" w:rightChars="0"/>
        <w:jc w:val="both"/>
        <w:textAlignment w:val="auto"/>
        <w:rPr>
          <w:rFonts w:hint="eastAsia" w:ascii="仿宋_GB2312" w:hAnsi="仿宋_GB2312" w:eastAsia="仿宋_GB2312" w:cs="仿宋_GB2312"/>
          <w:sz w:val="32"/>
          <w:szCs w:val="32"/>
          <w:highlight w:val="none"/>
          <w:lang w:eastAsia="zh-CN"/>
        </w:rPr>
      </w:pPr>
    </w:p>
    <w:p>
      <w:pPr>
        <w:keepNext w:val="0"/>
        <w:keepLines w:val="0"/>
        <w:pageBreakBefore w:val="0"/>
        <w:widowControl w:val="0"/>
        <w:kinsoku/>
        <w:wordWrap/>
        <w:overflowPunct/>
        <w:topLinePunct w:val="0"/>
        <w:autoSpaceDE/>
        <w:autoSpaceDN/>
        <w:bidi w:val="0"/>
        <w:adjustRightInd/>
        <w:snapToGrid/>
        <w:spacing w:afterLines="0" w:line="360" w:lineRule="auto"/>
        <w:ind w:right="0" w:rightChars="0"/>
        <w:jc w:val="both"/>
        <w:textAlignment w:val="auto"/>
        <w:rPr>
          <w:rFonts w:hint="eastAsia" w:ascii="仿宋_GB2312" w:hAnsi="仿宋_GB2312" w:eastAsia="仿宋_GB2312" w:cs="仿宋_GB2312"/>
          <w:sz w:val="32"/>
          <w:szCs w:val="32"/>
          <w:highlight w:val="none"/>
          <w:lang w:eastAsia="zh-CN"/>
        </w:rPr>
      </w:pPr>
    </w:p>
    <w:p>
      <w:pPr>
        <w:keepNext w:val="0"/>
        <w:keepLines w:val="0"/>
        <w:pageBreakBefore w:val="0"/>
        <w:widowControl w:val="0"/>
        <w:kinsoku/>
        <w:wordWrap/>
        <w:overflowPunct/>
        <w:topLinePunct w:val="0"/>
        <w:autoSpaceDE/>
        <w:autoSpaceDN/>
        <w:bidi w:val="0"/>
        <w:adjustRightInd/>
        <w:snapToGrid/>
        <w:spacing w:afterLines="0" w:line="360" w:lineRule="auto"/>
        <w:ind w:right="0" w:rightChars="0"/>
        <w:jc w:val="both"/>
        <w:textAlignment w:val="auto"/>
        <w:rPr>
          <w:rFonts w:hint="eastAsia" w:ascii="仿宋_GB2312" w:hAnsi="仿宋_GB2312" w:eastAsia="仿宋_GB2312" w:cs="仿宋_GB2312"/>
          <w:sz w:val="32"/>
          <w:szCs w:val="32"/>
          <w:highlight w:val="none"/>
          <w:lang w:eastAsia="zh-CN"/>
        </w:rPr>
      </w:pPr>
    </w:p>
    <w:p>
      <w:pPr>
        <w:keepNext w:val="0"/>
        <w:keepLines w:val="0"/>
        <w:pageBreakBefore w:val="0"/>
        <w:widowControl w:val="0"/>
        <w:kinsoku/>
        <w:wordWrap/>
        <w:overflowPunct/>
        <w:topLinePunct w:val="0"/>
        <w:autoSpaceDE/>
        <w:autoSpaceDN/>
        <w:bidi w:val="0"/>
        <w:adjustRightInd/>
        <w:snapToGrid/>
        <w:spacing w:afterLines="0" w:line="360" w:lineRule="auto"/>
        <w:ind w:right="0" w:rightChars="0"/>
        <w:jc w:val="both"/>
        <w:textAlignment w:val="auto"/>
        <w:rPr>
          <w:rFonts w:hint="eastAsia" w:ascii="仿宋_GB2312" w:hAnsi="仿宋_GB2312" w:eastAsia="仿宋_GB2312" w:cs="仿宋_GB2312"/>
          <w:sz w:val="32"/>
          <w:szCs w:val="32"/>
          <w:highlight w:val="none"/>
          <w:lang w:eastAsia="zh-CN"/>
        </w:rPr>
      </w:pPr>
    </w:p>
    <w:p>
      <w:pPr>
        <w:keepNext w:val="0"/>
        <w:keepLines w:val="0"/>
        <w:pageBreakBefore w:val="0"/>
        <w:widowControl w:val="0"/>
        <w:kinsoku/>
        <w:wordWrap/>
        <w:overflowPunct/>
        <w:topLinePunct w:val="0"/>
        <w:autoSpaceDE/>
        <w:autoSpaceDN/>
        <w:bidi w:val="0"/>
        <w:adjustRightInd/>
        <w:snapToGrid/>
        <w:spacing w:afterLines="0" w:line="360" w:lineRule="auto"/>
        <w:ind w:right="0" w:rightChars="0"/>
        <w:jc w:val="both"/>
        <w:textAlignment w:val="auto"/>
        <w:rPr>
          <w:rFonts w:hint="eastAsia" w:ascii="仿宋_GB2312" w:hAnsi="仿宋_GB2312" w:eastAsia="仿宋_GB2312" w:cs="仿宋_GB2312"/>
          <w:sz w:val="32"/>
          <w:szCs w:val="32"/>
          <w:highlight w:val="none"/>
          <w:lang w:eastAsia="zh-CN"/>
        </w:rPr>
      </w:pPr>
    </w:p>
    <w:p>
      <w:pPr>
        <w:keepNext w:val="0"/>
        <w:keepLines w:val="0"/>
        <w:pageBreakBefore w:val="0"/>
        <w:widowControl w:val="0"/>
        <w:kinsoku/>
        <w:wordWrap/>
        <w:overflowPunct/>
        <w:topLinePunct w:val="0"/>
        <w:autoSpaceDE/>
        <w:autoSpaceDN/>
        <w:bidi w:val="0"/>
        <w:adjustRightInd/>
        <w:snapToGrid/>
        <w:spacing w:afterLines="0" w:line="360" w:lineRule="auto"/>
        <w:ind w:right="0" w:rightChars="0"/>
        <w:jc w:val="both"/>
        <w:textAlignment w:val="auto"/>
        <w:rPr>
          <w:rFonts w:hint="eastAsia" w:ascii="仿宋_GB2312" w:hAnsi="仿宋_GB2312" w:eastAsia="仿宋_GB2312" w:cs="仿宋_GB2312"/>
          <w:sz w:val="32"/>
          <w:szCs w:val="32"/>
          <w:highlight w:val="none"/>
          <w:lang w:eastAsia="zh-CN"/>
        </w:rPr>
      </w:pPr>
    </w:p>
    <w:p>
      <w:pPr>
        <w:spacing w:after="120" w:afterLines="50" w:line="600" w:lineRule="exact"/>
        <w:jc w:val="both"/>
        <w:rPr>
          <w:rFonts w:hint="eastAsia" w:ascii="黑体" w:hAnsi="黑体" w:eastAsia="黑体" w:cs="黑体"/>
          <w:sz w:val="32"/>
          <w:szCs w:val="32"/>
          <w:highlight w:val="none"/>
          <w:lang w:val="en-US" w:eastAsia="zh-CN"/>
        </w:rPr>
      </w:pPr>
      <w:r>
        <w:rPr>
          <w:rFonts w:hint="eastAsia" w:ascii="黑体" w:hAnsi="黑体" w:eastAsia="黑体" w:cs="黑体"/>
          <w:sz w:val="32"/>
          <w:szCs w:val="32"/>
          <w:highlight w:val="none"/>
          <w:lang w:eastAsia="zh-CN"/>
        </w:rPr>
        <w:t>附件</w:t>
      </w:r>
      <w:r>
        <w:rPr>
          <w:rFonts w:hint="eastAsia" w:ascii="黑体" w:hAnsi="黑体" w:eastAsia="黑体" w:cs="黑体"/>
          <w:sz w:val="32"/>
          <w:szCs w:val="32"/>
          <w:highlight w:val="none"/>
          <w:lang w:val="en-US" w:eastAsia="zh-CN"/>
        </w:rPr>
        <w:t>1</w:t>
      </w:r>
    </w:p>
    <w:p>
      <w:pPr>
        <w:spacing w:after="120" w:afterLines="50" w:line="600" w:lineRule="exact"/>
        <w:jc w:val="center"/>
        <w:rPr>
          <w:rFonts w:hint="eastAsia" w:ascii="方正小标宋简体" w:hAnsi="方正小标宋简体" w:eastAsia="方正小标宋简体" w:cs="方正小标宋简体"/>
          <w:sz w:val="24"/>
          <w:highlight w:val="none"/>
        </w:rPr>
      </w:pPr>
      <w:r>
        <w:rPr>
          <w:rFonts w:hint="eastAsia" w:ascii="方正小标宋简体" w:hAnsi="方正小标宋简体" w:eastAsia="方正小标宋简体" w:cs="方正小标宋简体"/>
          <w:sz w:val="36"/>
          <w:szCs w:val="36"/>
          <w:highlight w:val="none"/>
        </w:rPr>
        <w:t>202</w:t>
      </w:r>
      <w:r>
        <w:rPr>
          <w:rFonts w:hint="eastAsia" w:ascii="方正小标宋简体" w:hAnsi="方正小标宋简体" w:eastAsia="方正小标宋简体" w:cs="方正小标宋简体"/>
          <w:sz w:val="36"/>
          <w:szCs w:val="36"/>
          <w:highlight w:val="none"/>
          <w:lang w:val="en-US" w:eastAsia="zh-CN"/>
        </w:rPr>
        <w:t>3</w:t>
      </w:r>
      <w:r>
        <w:rPr>
          <w:rFonts w:hint="eastAsia" w:ascii="方正小标宋简体" w:hAnsi="方正小标宋简体" w:eastAsia="方正小标宋简体" w:cs="方正小标宋简体"/>
          <w:sz w:val="36"/>
          <w:szCs w:val="36"/>
          <w:highlight w:val="none"/>
        </w:rPr>
        <w:t>年度部门整体支出绩效评价基础数据表</w:t>
      </w:r>
    </w:p>
    <w:tbl>
      <w:tblPr>
        <w:tblStyle w:val="6"/>
        <w:tblW w:w="9673" w:type="dxa"/>
        <w:jc w:val="center"/>
        <w:tblLayout w:type="fixed"/>
        <w:tblCellMar>
          <w:top w:w="0" w:type="dxa"/>
          <w:left w:w="108" w:type="dxa"/>
          <w:bottom w:w="0" w:type="dxa"/>
          <w:right w:w="108" w:type="dxa"/>
        </w:tblCellMar>
      </w:tblPr>
      <w:tblGrid>
        <w:gridCol w:w="3354"/>
        <w:gridCol w:w="1189"/>
        <w:gridCol w:w="849"/>
        <w:gridCol w:w="1129"/>
        <w:gridCol w:w="1111"/>
        <w:gridCol w:w="1081"/>
        <w:gridCol w:w="960"/>
      </w:tblGrid>
      <w:tr>
        <w:tblPrEx>
          <w:tblCellMar>
            <w:top w:w="0" w:type="dxa"/>
            <w:left w:w="108" w:type="dxa"/>
            <w:bottom w:w="0" w:type="dxa"/>
            <w:right w:w="108" w:type="dxa"/>
          </w:tblCellMar>
        </w:tblPrEx>
        <w:trPr>
          <w:trHeight w:val="0" w:hRule="atLeast"/>
          <w:jc w:val="center"/>
        </w:trPr>
        <w:tc>
          <w:tcPr>
            <w:tcW w:w="3354" w:type="dxa"/>
            <w:vMerge w:val="restart"/>
            <w:tcBorders>
              <w:top w:val="single" w:color="auto" w:sz="4" w:space="0"/>
              <w:left w:val="single" w:color="auto" w:sz="4" w:space="0"/>
              <w:bottom w:val="single" w:color="auto" w:sz="4" w:space="0"/>
              <w:right w:val="single" w:color="auto"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财政供养人员情况（人）</w:t>
            </w:r>
          </w:p>
        </w:tc>
        <w:tc>
          <w:tcPr>
            <w:tcW w:w="2038" w:type="dxa"/>
            <w:gridSpan w:val="2"/>
            <w:tcBorders>
              <w:top w:val="single" w:color="auto" w:sz="4" w:space="0"/>
              <w:left w:val="nil"/>
              <w:bottom w:val="single" w:color="auto" w:sz="4" w:space="0"/>
              <w:right w:val="single" w:color="auto" w:sz="4" w:space="0"/>
            </w:tcBorders>
            <w:noWrap w:val="0"/>
            <w:vAlign w:val="center"/>
          </w:tcPr>
          <w:p>
            <w:pPr>
              <w:widowControl/>
              <w:spacing w:line="360" w:lineRule="exact"/>
              <w:jc w:val="center"/>
              <w:rPr>
                <w:rFonts w:hint="eastAsia" w:ascii="仿宋_GB2312" w:hAnsi="仿宋_GB2312" w:eastAsia="仿宋_GB2312" w:cs="仿宋_GB2312"/>
                <w:b/>
                <w:bCs/>
                <w:sz w:val="20"/>
                <w:szCs w:val="20"/>
                <w:highlight w:val="none"/>
              </w:rPr>
            </w:pPr>
            <w:r>
              <w:rPr>
                <w:rFonts w:hint="eastAsia" w:ascii="仿宋_GB2312" w:hAnsi="仿宋_GB2312" w:eastAsia="仿宋_GB2312" w:cs="仿宋_GB2312"/>
                <w:b/>
                <w:bCs/>
                <w:sz w:val="20"/>
                <w:szCs w:val="20"/>
                <w:highlight w:val="none"/>
              </w:rPr>
              <w:t>编制数</w:t>
            </w:r>
          </w:p>
        </w:tc>
        <w:tc>
          <w:tcPr>
            <w:tcW w:w="2240" w:type="dxa"/>
            <w:gridSpan w:val="2"/>
            <w:tcBorders>
              <w:top w:val="single" w:color="auto" w:sz="4" w:space="0"/>
              <w:left w:val="nil"/>
              <w:bottom w:val="single" w:color="auto" w:sz="4" w:space="0"/>
              <w:right w:val="single" w:color="auto" w:sz="4" w:space="0"/>
            </w:tcBorders>
            <w:noWrap w:val="0"/>
            <w:vAlign w:val="center"/>
          </w:tcPr>
          <w:p>
            <w:pPr>
              <w:widowControl/>
              <w:spacing w:line="360" w:lineRule="exact"/>
              <w:jc w:val="center"/>
              <w:rPr>
                <w:rFonts w:hint="eastAsia" w:ascii="仿宋_GB2312" w:hAnsi="仿宋_GB2312" w:eastAsia="仿宋_GB2312" w:cs="仿宋_GB2312"/>
                <w:b/>
                <w:bCs/>
                <w:sz w:val="20"/>
                <w:szCs w:val="20"/>
                <w:highlight w:val="none"/>
              </w:rPr>
            </w:pPr>
            <w:r>
              <w:rPr>
                <w:rFonts w:hint="eastAsia" w:ascii="仿宋_GB2312" w:hAnsi="仿宋_GB2312" w:eastAsia="仿宋_GB2312" w:cs="仿宋_GB2312"/>
                <w:b/>
                <w:bCs/>
                <w:sz w:val="20"/>
                <w:szCs w:val="20"/>
                <w:highlight w:val="none"/>
              </w:rPr>
              <w:t>202</w:t>
            </w:r>
            <w:r>
              <w:rPr>
                <w:rFonts w:hint="eastAsia" w:ascii="仿宋_GB2312" w:hAnsi="仿宋_GB2312" w:eastAsia="仿宋_GB2312" w:cs="仿宋_GB2312"/>
                <w:b/>
                <w:bCs/>
                <w:sz w:val="20"/>
                <w:szCs w:val="20"/>
                <w:highlight w:val="none"/>
                <w:lang w:val="en-US" w:eastAsia="zh-CN"/>
              </w:rPr>
              <w:t>3</w:t>
            </w:r>
            <w:r>
              <w:rPr>
                <w:rFonts w:hint="eastAsia" w:ascii="仿宋_GB2312" w:hAnsi="仿宋_GB2312" w:eastAsia="仿宋_GB2312" w:cs="仿宋_GB2312"/>
                <w:b/>
                <w:bCs/>
                <w:sz w:val="20"/>
                <w:szCs w:val="20"/>
                <w:highlight w:val="none"/>
              </w:rPr>
              <w:t>年实际在职人数</w:t>
            </w:r>
          </w:p>
        </w:tc>
        <w:tc>
          <w:tcPr>
            <w:tcW w:w="2041" w:type="dxa"/>
            <w:gridSpan w:val="2"/>
            <w:tcBorders>
              <w:top w:val="single" w:color="auto" w:sz="4" w:space="0"/>
              <w:left w:val="nil"/>
              <w:bottom w:val="single" w:color="auto" w:sz="4" w:space="0"/>
              <w:right w:val="single" w:color="auto" w:sz="4" w:space="0"/>
            </w:tcBorders>
            <w:noWrap w:val="0"/>
            <w:vAlign w:val="center"/>
          </w:tcPr>
          <w:p>
            <w:pPr>
              <w:widowControl/>
              <w:spacing w:line="360" w:lineRule="exact"/>
              <w:jc w:val="center"/>
              <w:rPr>
                <w:rFonts w:hint="eastAsia" w:ascii="仿宋_GB2312" w:hAnsi="仿宋_GB2312" w:eastAsia="仿宋_GB2312" w:cs="仿宋_GB2312"/>
                <w:b/>
                <w:bCs/>
                <w:sz w:val="20"/>
                <w:szCs w:val="20"/>
                <w:highlight w:val="none"/>
              </w:rPr>
            </w:pPr>
            <w:r>
              <w:rPr>
                <w:rFonts w:hint="eastAsia" w:ascii="仿宋_GB2312" w:hAnsi="仿宋_GB2312" w:eastAsia="仿宋_GB2312" w:cs="仿宋_GB2312"/>
                <w:b/>
                <w:bCs/>
                <w:sz w:val="20"/>
                <w:szCs w:val="20"/>
                <w:highlight w:val="none"/>
              </w:rPr>
              <w:t>控制率</w:t>
            </w:r>
          </w:p>
        </w:tc>
      </w:tr>
      <w:tr>
        <w:tblPrEx>
          <w:tblCellMar>
            <w:top w:w="0" w:type="dxa"/>
            <w:left w:w="108" w:type="dxa"/>
            <w:bottom w:w="0" w:type="dxa"/>
            <w:right w:w="108" w:type="dxa"/>
          </w:tblCellMar>
        </w:tblPrEx>
        <w:trPr>
          <w:trHeight w:val="0" w:hRule="atLeast"/>
          <w:jc w:val="center"/>
        </w:trPr>
        <w:tc>
          <w:tcPr>
            <w:tcW w:w="3354" w:type="dxa"/>
            <w:vMerge w:val="continue"/>
            <w:tcBorders>
              <w:top w:val="single" w:color="auto" w:sz="4" w:space="0"/>
              <w:left w:val="single" w:color="auto" w:sz="4" w:space="0"/>
              <w:bottom w:val="single" w:color="auto" w:sz="4" w:space="0"/>
              <w:right w:val="single" w:color="auto" w:sz="4" w:space="0"/>
            </w:tcBorders>
            <w:noWrap w:val="0"/>
            <w:vAlign w:val="center"/>
          </w:tcPr>
          <w:p>
            <w:pPr>
              <w:widowControl/>
              <w:spacing w:line="360" w:lineRule="exact"/>
              <w:jc w:val="left"/>
              <w:rPr>
                <w:rFonts w:hint="eastAsia" w:ascii="仿宋_GB2312" w:hAnsi="仿宋_GB2312" w:eastAsia="仿宋_GB2312" w:cs="仿宋_GB2312"/>
                <w:sz w:val="20"/>
                <w:szCs w:val="20"/>
                <w:highlight w:val="none"/>
              </w:rPr>
            </w:pPr>
          </w:p>
        </w:tc>
        <w:tc>
          <w:tcPr>
            <w:tcW w:w="2038" w:type="dxa"/>
            <w:gridSpan w:val="2"/>
            <w:tcBorders>
              <w:top w:val="single" w:color="auto" w:sz="4" w:space="0"/>
              <w:left w:val="nil"/>
              <w:bottom w:val="single" w:color="auto" w:sz="4" w:space="0"/>
              <w:right w:val="single" w:color="auto"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lang w:val="en-US" w:eastAsia="zh-CN"/>
              </w:rPr>
              <w:t>45</w:t>
            </w:r>
            <w:r>
              <w:rPr>
                <w:rFonts w:hint="eastAsia" w:ascii="仿宋_GB2312" w:hAnsi="仿宋_GB2312" w:eastAsia="仿宋_GB2312" w:cs="仿宋_GB2312"/>
                <w:sz w:val="20"/>
                <w:szCs w:val="20"/>
                <w:highlight w:val="none"/>
              </w:rPr>
              <w:t>　</w:t>
            </w:r>
          </w:p>
        </w:tc>
        <w:tc>
          <w:tcPr>
            <w:tcW w:w="2240" w:type="dxa"/>
            <w:gridSpan w:val="2"/>
            <w:tcBorders>
              <w:top w:val="single" w:color="auto" w:sz="4" w:space="0"/>
              <w:left w:val="nil"/>
              <w:bottom w:val="single" w:color="auto" w:sz="4" w:space="0"/>
              <w:right w:val="single" w:color="auto"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lang w:val="en-US" w:eastAsia="zh-CN"/>
              </w:rPr>
              <w:t>77</w:t>
            </w:r>
            <w:r>
              <w:rPr>
                <w:rFonts w:hint="eastAsia" w:ascii="仿宋_GB2312" w:hAnsi="仿宋_GB2312" w:eastAsia="仿宋_GB2312" w:cs="仿宋_GB2312"/>
                <w:sz w:val="20"/>
                <w:szCs w:val="20"/>
                <w:highlight w:val="none"/>
              </w:rPr>
              <w:t>　</w:t>
            </w:r>
          </w:p>
        </w:tc>
        <w:tc>
          <w:tcPr>
            <w:tcW w:w="2041" w:type="dxa"/>
            <w:gridSpan w:val="2"/>
            <w:tcBorders>
              <w:top w:val="single" w:color="auto" w:sz="4" w:space="0"/>
              <w:left w:val="nil"/>
              <w:bottom w:val="single" w:color="auto" w:sz="4" w:space="0"/>
              <w:right w:val="single" w:color="auto"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lang w:val="en-US" w:eastAsia="zh-CN"/>
              </w:rPr>
              <w:t>171.11%</w:t>
            </w:r>
            <w:r>
              <w:rPr>
                <w:rFonts w:hint="eastAsia" w:ascii="仿宋_GB2312" w:hAnsi="仿宋_GB2312" w:eastAsia="仿宋_GB2312" w:cs="仿宋_GB2312"/>
                <w:sz w:val="20"/>
                <w:szCs w:val="20"/>
                <w:highlight w:val="none"/>
              </w:rPr>
              <w:t>　</w:t>
            </w:r>
          </w:p>
        </w:tc>
      </w:tr>
      <w:tr>
        <w:tblPrEx>
          <w:tblCellMar>
            <w:top w:w="0" w:type="dxa"/>
            <w:left w:w="108" w:type="dxa"/>
            <w:bottom w:w="0" w:type="dxa"/>
            <w:right w:w="108" w:type="dxa"/>
          </w:tblCellMar>
        </w:tblPrEx>
        <w:trPr>
          <w:trHeight w:val="0" w:hRule="atLeast"/>
          <w:jc w:val="center"/>
        </w:trPr>
        <w:tc>
          <w:tcPr>
            <w:tcW w:w="3354" w:type="dxa"/>
            <w:tcBorders>
              <w:top w:val="nil"/>
              <w:left w:val="single" w:color="auto" w:sz="4" w:space="0"/>
              <w:bottom w:val="single" w:color="auto" w:sz="4" w:space="0"/>
              <w:right w:val="single" w:color="auto"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经费控制情况（万元）</w:t>
            </w:r>
          </w:p>
        </w:tc>
        <w:tc>
          <w:tcPr>
            <w:tcW w:w="2038"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b/>
                <w:bCs/>
                <w:sz w:val="20"/>
                <w:szCs w:val="20"/>
                <w:highlight w:val="none"/>
              </w:rPr>
            </w:pPr>
            <w:r>
              <w:rPr>
                <w:rFonts w:hint="eastAsia" w:ascii="仿宋_GB2312" w:hAnsi="仿宋_GB2312" w:eastAsia="仿宋_GB2312" w:cs="仿宋_GB2312"/>
                <w:b/>
                <w:bCs/>
                <w:sz w:val="20"/>
                <w:szCs w:val="20"/>
                <w:highlight w:val="none"/>
              </w:rPr>
              <w:t>202</w:t>
            </w:r>
            <w:r>
              <w:rPr>
                <w:rFonts w:hint="eastAsia" w:ascii="仿宋_GB2312" w:hAnsi="仿宋_GB2312" w:eastAsia="仿宋_GB2312" w:cs="仿宋_GB2312"/>
                <w:b/>
                <w:bCs/>
                <w:sz w:val="20"/>
                <w:szCs w:val="20"/>
                <w:highlight w:val="none"/>
                <w:lang w:val="en-US" w:eastAsia="zh-CN"/>
              </w:rPr>
              <w:t>2</w:t>
            </w:r>
            <w:r>
              <w:rPr>
                <w:rFonts w:hint="eastAsia" w:ascii="仿宋_GB2312" w:hAnsi="仿宋_GB2312" w:eastAsia="仿宋_GB2312" w:cs="仿宋_GB2312"/>
                <w:b/>
                <w:bCs/>
                <w:sz w:val="20"/>
                <w:szCs w:val="20"/>
                <w:highlight w:val="none"/>
              </w:rPr>
              <w:t>年决算数</w:t>
            </w:r>
          </w:p>
        </w:tc>
        <w:tc>
          <w:tcPr>
            <w:tcW w:w="2240"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b/>
                <w:bCs/>
                <w:sz w:val="20"/>
                <w:szCs w:val="20"/>
                <w:highlight w:val="none"/>
              </w:rPr>
            </w:pPr>
            <w:r>
              <w:rPr>
                <w:rFonts w:hint="eastAsia" w:ascii="仿宋_GB2312" w:hAnsi="仿宋_GB2312" w:eastAsia="仿宋_GB2312" w:cs="仿宋_GB2312"/>
                <w:b/>
                <w:bCs/>
                <w:sz w:val="20"/>
                <w:szCs w:val="20"/>
                <w:highlight w:val="none"/>
              </w:rPr>
              <w:t>202</w:t>
            </w:r>
            <w:r>
              <w:rPr>
                <w:rFonts w:hint="eastAsia" w:ascii="仿宋_GB2312" w:hAnsi="仿宋_GB2312" w:eastAsia="仿宋_GB2312" w:cs="仿宋_GB2312"/>
                <w:b/>
                <w:bCs/>
                <w:sz w:val="20"/>
                <w:szCs w:val="20"/>
                <w:highlight w:val="none"/>
                <w:lang w:val="en-US" w:eastAsia="zh-CN"/>
              </w:rPr>
              <w:t>3</w:t>
            </w:r>
            <w:r>
              <w:rPr>
                <w:rFonts w:hint="eastAsia" w:ascii="仿宋_GB2312" w:hAnsi="仿宋_GB2312" w:eastAsia="仿宋_GB2312" w:cs="仿宋_GB2312"/>
                <w:b/>
                <w:bCs/>
                <w:sz w:val="20"/>
                <w:szCs w:val="20"/>
                <w:highlight w:val="none"/>
              </w:rPr>
              <w:t>年预算数</w:t>
            </w:r>
          </w:p>
        </w:tc>
        <w:tc>
          <w:tcPr>
            <w:tcW w:w="2041"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b/>
                <w:bCs/>
                <w:sz w:val="20"/>
                <w:szCs w:val="20"/>
                <w:highlight w:val="none"/>
              </w:rPr>
            </w:pPr>
            <w:r>
              <w:rPr>
                <w:rFonts w:hint="eastAsia" w:ascii="仿宋_GB2312" w:hAnsi="仿宋_GB2312" w:eastAsia="仿宋_GB2312" w:cs="仿宋_GB2312"/>
                <w:b/>
                <w:bCs/>
                <w:sz w:val="20"/>
                <w:szCs w:val="20"/>
                <w:highlight w:val="none"/>
              </w:rPr>
              <w:t>202</w:t>
            </w:r>
            <w:r>
              <w:rPr>
                <w:rFonts w:hint="eastAsia" w:ascii="仿宋_GB2312" w:hAnsi="仿宋_GB2312" w:eastAsia="仿宋_GB2312" w:cs="仿宋_GB2312"/>
                <w:b/>
                <w:bCs/>
                <w:sz w:val="20"/>
                <w:szCs w:val="20"/>
                <w:highlight w:val="none"/>
                <w:lang w:val="en-US" w:eastAsia="zh-CN"/>
              </w:rPr>
              <w:t>3</w:t>
            </w:r>
            <w:r>
              <w:rPr>
                <w:rFonts w:hint="eastAsia" w:ascii="仿宋_GB2312" w:hAnsi="仿宋_GB2312" w:eastAsia="仿宋_GB2312" w:cs="仿宋_GB2312"/>
                <w:b/>
                <w:bCs/>
                <w:sz w:val="20"/>
                <w:szCs w:val="20"/>
                <w:highlight w:val="none"/>
              </w:rPr>
              <w:t>年决算数</w:t>
            </w:r>
          </w:p>
        </w:tc>
      </w:tr>
      <w:tr>
        <w:tblPrEx>
          <w:tblCellMar>
            <w:top w:w="0" w:type="dxa"/>
            <w:left w:w="108" w:type="dxa"/>
            <w:bottom w:w="0" w:type="dxa"/>
            <w:right w:w="108" w:type="dxa"/>
          </w:tblCellMar>
        </w:tblPrEx>
        <w:trPr>
          <w:trHeight w:val="0" w:hRule="atLeast"/>
          <w:jc w:val="center"/>
        </w:trPr>
        <w:tc>
          <w:tcPr>
            <w:tcW w:w="3354" w:type="dxa"/>
            <w:tcBorders>
              <w:top w:val="nil"/>
              <w:left w:val="single" w:color="auto" w:sz="4" w:space="0"/>
              <w:bottom w:val="single" w:color="auto" w:sz="4" w:space="0"/>
              <w:right w:val="single" w:color="auto" w:sz="4" w:space="0"/>
            </w:tcBorders>
            <w:noWrap w:val="0"/>
            <w:vAlign w:val="center"/>
          </w:tcPr>
          <w:p>
            <w:pPr>
              <w:widowControl/>
              <w:spacing w:line="360" w:lineRule="exact"/>
              <w:jc w:val="left"/>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三公经费</w:t>
            </w:r>
          </w:p>
        </w:tc>
        <w:tc>
          <w:tcPr>
            <w:tcW w:w="2038"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default" w:ascii="仿宋_GB2312" w:hAnsi="仿宋_GB2312" w:eastAsia="仿宋_GB2312" w:cs="仿宋_GB2312"/>
                <w:sz w:val="20"/>
                <w:szCs w:val="20"/>
                <w:highlight w:val="none"/>
                <w:lang w:val="en-US" w:eastAsia="zh-CN"/>
              </w:rPr>
            </w:pPr>
            <w:r>
              <w:rPr>
                <w:rFonts w:hint="eastAsia" w:ascii="仿宋_GB2312" w:hAnsi="仿宋_GB2312" w:eastAsia="仿宋_GB2312" w:cs="仿宋_GB2312"/>
                <w:sz w:val="20"/>
                <w:szCs w:val="20"/>
                <w:highlight w:val="none"/>
              </w:rPr>
              <w:t>　</w:t>
            </w:r>
            <w:r>
              <w:rPr>
                <w:rFonts w:hint="eastAsia" w:ascii="仿宋_GB2312" w:hAnsi="仿宋_GB2312" w:eastAsia="仿宋_GB2312" w:cs="仿宋_GB2312"/>
                <w:sz w:val="20"/>
                <w:szCs w:val="20"/>
                <w:highlight w:val="none"/>
                <w:lang w:val="en-US" w:eastAsia="zh-CN"/>
              </w:rPr>
              <w:t>23.49</w:t>
            </w:r>
          </w:p>
        </w:tc>
        <w:tc>
          <w:tcPr>
            <w:tcW w:w="2240"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lang w:val="en-US" w:eastAsia="zh-CN"/>
              </w:rPr>
              <w:t>8</w:t>
            </w:r>
            <w:r>
              <w:rPr>
                <w:rFonts w:hint="eastAsia" w:ascii="仿宋_GB2312" w:hAnsi="仿宋_GB2312" w:eastAsia="仿宋_GB2312" w:cs="仿宋_GB2312"/>
                <w:sz w:val="20"/>
                <w:szCs w:val="20"/>
                <w:highlight w:val="none"/>
              </w:rPr>
              <w:t>　</w:t>
            </w:r>
          </w:p>
        </w:tc>
        <w:tc>
          <w:tcPr>
            <w:tcW w:w="2041"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lang w:val="en-US" w:eastAsia="zh-CN"/>
              </w:rPr>
              <w:t>7.91</w:t>
            </w:r>
            <w:r>
              <w:rPr>
                <w:rFonts w:hint="eastAsia" w:ascii="仿宋_GB2312" w:hAnsi="仿宋_GB2312" w:eastAsia="仿宋_GB2312" w:cs="仿宋_GB2312"/>
                <w:sz w:val="20"/>
                <w:szCs w:val="20"/>
                <w:highlight w:val="none"/>
              </w:rPr>
              <w:t>　</w:t>
            </w:r>
          </w:p>
        </w:tc>
      </w:tr>
      <w:tr>
        <w:tblPrEx>
          <w:tblCellMar>
            <w:top w:w="0" w:type="dxa"/>
            <w:left w:w="108" w:type="dxa"/>
            <w:bottom w:w="0" w:type="dxa"/>
            <w:right w:w="108" w:type="dxa"/>
          </w:tblCellMar>
        </w:tblPrEx>
        <w:trPr>
          <w:trHeight w:val="0" w:hRule="atLeast"/>
          <w:jc w:val="center"/>
        </w:trPr>
        <w:tc>
          <w:tcPr>
            <w:tcW w:w="3354" w:type="dxa"/>
            <w:tcBorders>
              <w:top w:val="nil"/>
              <w:left w:val="single" w:color="auto" w:sz="4" w:space="0"/>
              <w:bottom w:val="single" w:color="auto" w:sz="4" w:space="0"/>
              <w:right w:val="single" w:color="auto" w:sz="4" w:space="0"/>
            </w:tcBorders>
            <w:noWrap w:val="0"/>
            <w:vAlign w:val="center"/>
          </w:tcPr>
          <w:p>
            <w:pPr>
              <w:widowControl/>
              <w:spacing w:line="360" w:lineRule="exact"/>
              <w:jc w:val="left"/>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 xml:space="preserve">   1、公务用车购置和维护经费</w:t>
            </w:r>
          </w:p>
        </w:tc>
        <w:tc>
          <w:tcPr>
            <w:tcW w:w="2038"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　</w:t>
            </w:r>
          </w:p>
        </w:tc>
        <w:tc>
          <w:tcPr>
            <w:tcW w:w="2240"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lang w:val="en-US" w:eastAsia="zh-CN"/>
              </w:rPr>
              <w:t>4</w:t>
            </w:r>
            <w:r>
              <w:rPr>
                <w:rFonts w:hint="eastAsia" w:ascii="仿宋_GB2312" w:hAnsi="仿宋_GB2312" w:eastAsia="仿宋_GB2312" w:cs="仿宋_GB2312"/>
                <w:sz w:val="20"/>
                <w:szCs w:val="20"/>
                <w:highlight w:val="none"/>
              </w:rPr>
              <w:t>　</w:t>
            </w:r>
          </w:p>
        </w:tc>
        <w:tc>
          <w:tcPr>
            <w:tcW w:w="2041"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lang w:val="en-US" w:eastAsia="zh-CN"/>
              </w:rPr>
              <w:t>4</w:t>
            </w:r>
            <w:r>
              <w:rPr>
                <w:rFonts w:hint="eastAsia" w:ascii="仿宋_GB2312" w:hAnsi="仿宋_GB2312" w:eastAsia="仿宋_GB2312" w:cs="仿宋_GB2312"/>
                <w:sz w:val="20"/>
                <w:szCs w:val="20"/>
                <w:highlight w:val="none"/>
              </w:rPr>
              <w:t>　</w:t>
            </w:r>
          </w:p>
        </w:tc>
      </w:tr>
      <w:tr>
        <w:tblPrEx>
          <w:tblCellMar>
            <w:top w:w="0" w:type="dxa"/>
            <w:left w:w="108" w:type="dxa"/>
            <w:bottom w:w="0" w:type="dxa"/>
            <w:right w:w="108" w:type="dxa"/>
          </w:tblCellMar>
        </w:tblPrEx>
        <w:trPr>
          <w:trHeight w:val="0" w:hRule="atLeast"/>
          <w:jc w:val="center"/>
        </w:trPr>
        <w:tc>
          <w:tcPr>
            <w:tcW w:w="3354" w:type="dxa"/>
            <w:tcBorders>
              <w:top w:val="nil"/>
              <w:left w:val="single" w:color="auto" w:sz="4" w:space="0"/>
              <w:bottom w:val="single" w:color="auto" w:sz="4" w:space="0"/>
              <w:right w:val="single" w:color="auto" w:sz="4" w:space="0"/>
            </w:tcBorders>
            <w:noWrap w:val="0"/>
            <w:vAlign w:val="center"/>
          </w:tcPr>
          <w:p>
            <w:pPr>
              <w:widowControl/>
              <w:spacing w:line="360" w:lineRule="exact"/>
              <w:jc w:val="left"/>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 xml:space="preserve">       其中：公车购置</w:t>
            </w:r>
          </w:p>
        </w:tc>
        <w:tc>
          <w:tcPr>
            <w:tcW w:w="2038"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　</w:t>
            </w:r>
          </w:p>
        </w:tc>
        <w:tc>
          <w:tcPr>
            <w:tcW w:w="2240"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　</w:t>
            </w:r>
          </w:p>
        </w:tc>
        <w:tc>
          <w:tcPr>
            <w:tcW w:w="2041"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　</w:t>
            </w:r>
          </w:p>
        </w:tc>
      </w:tr>
      <w:tr>
        <w:tblPrEx>
          <w:tblCellMar>
            <w:top w:w="0" w:type="dxa"/>
            <w:left w:w="108" w:type="dxa"/>
            <w:bottom w:w="0" w:type="dxa"/>
            <w:right w:w="108" w:type="dxa"/>
          </w:tblCellMar>
        </w:tblPrEx>
        <w:trPr>
          <w:trHeight w:val="0" w:hRule="atLeast"/>
          <w:jc w:val="center"/>
        </w:trPr>
        <w:tc>
          <w:tcPr>
            <w:tcW w:w="3354" w:type="dxa"/>
            <w:tcBorders>
              <w:top w:val="nil"/>
              <w:left w:val="single" w:color="auto" w:sz="4" w:space="0"/>
              <w:bottom w:val="single" w:color="auto" w:sz="4" w:space="0"/>
              <w:right w:val="single" w:color="auto" w:sz="4" w:space="0"/>
            </w:tcBorders>
            <w:noWrap w:val="0"/>
            <w:vAlign w:val="center"/>
          </w:tcPr>
          <w:p>
            <w:pPr>
              <w:widowControl/>
              <w:spacing w:line="360" w:lineRule="exact"/>
              <w:jc w:val="left"/>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 xml:space="preserve">             公车运行维护</w:t>
            </w:r>
          </w:p>
        </w:tc>
        <w:tc>
          <w:tcPr>
            <w:tcW w:w="2038"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lang w:val="en-US" w:eastAsia="zh-CN"/>
              </w:rPr>
              <w:t>17.61</w:t>
            </w:r>
            <w:r>
              <w:rPr>
                <w:rFonts w:hint="eastAsia" w:ascii="仿宋_GB2312" w:hAnsi="仿宋_GB2312" w:eastAsia="仿宋_GB2312" w:cs="仿宋_GB2312"/>
                <w:sz w:val="20"/>
                <w:szCs w:val="20"/>
                <w:highlight w:val="none"/>
              </w:rPr>
              <w:t>　</w:t>
            </w:r>
          </w:p>
        </w:tc>
        <w:tc>
          <w:tcPr>
            <w:tcW w:w="2240"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lang w:val="en-US" w:eastAsia="zh-CN"/>
              </w:rPr>
              <w:t>4</w:t>
            </w:r>
            <w:r>
              <w:rPr>
                <w:rFonts w:hint="eastAsia" w:ascii="仿宋_GB2312" w:hAnsi="仿宋_GB2312" w:eastAsia="仿宋_GB2312" w:cs="仿宋_GB2312"/>
                <w:sz w:val="20"/>
                <w:szCs w:val="20"/>
                <w:highlight w:val="none"/>
              </w:rPr>
              <w:t>　</w:t>
            </w:r>
          </w:p>
        </w:tc>
        <w:tc>
          <w:tcPr>
            <w:tcW w:w="2041"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lang w:val="en-US" w:eastAsia="zh-CN"/>
              </w:rPr>
              <w:t>4</w:t>
            </w:r>
            <w:r>
              <w:rPr>
                <w:rFonts w:hint="eastAsia" w:ascii="仿宋_GB2312" w:hAnsi="仿宋_GB2312" w:eastAsia="仿宋_GB2312" w:cs="仿宋_GB2312"/>
                <w:sz w:val="20"/>
                <w:szCs w:val="20"/>
                <w:highlight w:val="none"/>
              </w:rPr>
              <w:t>　</w:t>
            </w:r>
          </w:p>
        </w:tc>
      </w:tr>
      <w:tr>
        <w:tblPrEx>
          <w:tblCellMar>
            <w:top w:w="0" w:type="dxa"/>
            <w:left w:w="108" w:type="dxa"/>
            <w:bottom w:w="0" w:type="dxa"/>
            <w:right w:w="108" w:type="dxa"/>
          </w:tblCellMar>
        </w:tblPrEx>
        <w:trPr>
          <w:trHeight w:val="0" w:hRule="atLeast"/>
          <w:jc w:val="center"/>
        </w:trPr>
        <w:tc>
          <w:tcPr>
            <w:tcW w:w="3354" w:type="dxa"/>
            <w:tcBorders>
              <w:top w:val="nil"/>
              <w:left w:val="single" w:color="auto" w:sz="4" w:space="0"/>
              <w:bottom w:val="single" w:color="auto" w:sz="4" w:space="0"/>
              <w:right w:val="single" w:color="auto" w:sz="4" w:space="0"/>
            </w:tcBorders>
            <w:noWrap w:val="0"/>
            <w:vAlign w:val="center"/>
          </w:tcPr>
          <w:p>
            <w:pPr>
              <w:widowControl/>
              <w:spacing w:line="360" w:lineRule="exact"/>
              <w:jc w:val="left"/>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 xml:space="preserve">   2、出国经费</w:t>
            </w:r>
          </w:p>
        </w:tc>
        <w:tc>
          <w:tcPr>
            <w:tcW w:w="2038"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　</w:t>
            </w:r>
          </w:p>
        </w:tc>
        <w:tc>
          <w:tcPr>
            <w:tcW w:w="2240"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　</w:t>
            </w:r>
          </w:p>
        </w:tc>
        <w:tc>
          <w:tcPr>
            <w:tcW w:w="2041"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　</w:t>
            </w:r>
          </w:p>
        </w:tc>
      </w:tr>
      <w:tr>
        <w:tblPrEx>
          <w:tblCellMar>
            <w:top w:w="0" w:type="dxa"/>
            <w:left w:w="108" w:type="dxa"/>
            <w:bottom w:w="0" w:type="dxa"/>
            <w:right w:w="108" w:type="dxa"/>
          </w:tblCellMar>
        </w:tblPrEx>
        <w:trPr>
          <w:trHeight w:val="0" w:hRule="atLeast"/>
          <w:jc w:val="center"/>
        </w:trPr>
        <w:tc>
          <w:tcPr>
            <w:tcW w:w="3354" w:type="dxa"/>
            <w:tcBorders>
              <w:top w:val="nil"/>
              <w:left w:val="single" w:color="auto" w:sz="4" w:space="0"/>
              <w:bottom w:val="single" w:color="auto" w:sz="4" w:space="0"/>
              <w:right w:val="single" w:color="auto" w:sz="4" w:space="0"/>
            </w:tcBorders>
            <w:noWrap w:val="0"/>
            <w:vAlign w:val="center"/>
          </w:tcPr>
          <w:p>
            <w:pPr>
              <w:widowControl/>
              <w:spacing w:line="360" w:lineRule="exact"/>
              <w:jc w:val="left"/>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 xml:space="preserve">   3、公务接待</w:t>
            </w:r>
          </w:p>
        </w:tc>
        <w:tc>
          <w:tcPr>
            <w:tcW w:w="2038"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lang w:val="en-US" w:eastAsia="zh-CN"/>
              </w:rPr>
              <w:t>5.88</w:t>
            </w:r>
            <w:r>
              <w:rPr>
                <w:rFonts w:hint="eastAsia" w:ascii="仿宋_GB2312" w:hAnsi="仿宋_GB2312" w:eastAsia="仿宋_GB2312" w:cs="仿宋_GB2312"/>
                <w:sz w:val="20"/>
                <w:szCs w:val="20"/>
                <w:highlight w:val="none"/>
              </w:rPr>
              <w:t>　</w:t>
            </w:r>
          </w:p>
        </w:tc>
        <w:tc>
          <w:tcPr>
            <w:tcW w:w="2240"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lang w:val="en-US" w:eastAsia="zh-CN"/>
              </w:rPr>
              <w:t>4</w:t>
            </w:r>
            <w:r>
              <w:rPr>
                <w:rFonts w:hint="eastAsia" w:ascii="仿宋_GB2312" w:hAnsi="仿宋_GB2312" w:eastAsia="仿宋_GB2312" w:cs="仿宋_GB2312"/>
                <w:sz w:val="20"/>
                <w:szCs w:val="20"/>
                <w:highlight w:val="none"/>
              </w:rPr>
              <w:t>　</w:t>
            </w:r>
          </w:p>
        </w:tc>
        <w:tc>
          <w:tcPr>
            <w:tcW w:w="2041"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lang w:val="en-US" w:eastAsia="zh-CN"/>
              </w:rPr>
              <w:t>3.91</w:t>
            </w:r>
            <w:r>
              <w:rPr>
                <w:rFonts w:hint="eastAsia" w:ascii="仿宋_GB2312" w:hAnsi="仿宋_GB2312" w:eastAsia="仿宋_GB2312" w:cs="仿宋_GB2312"/>
                <w:sz w:val="20"/>
                <w:szCs w:val="20"/>
                <w:highlight w:val="none"/>
              </w:rPr>
              <w:t>　</w:t>
            </w:r>
          </w:p>
        </w:tc>
      </w:tr>
      <w:tr>
        <w:tblPrEx>
          <w:tblCellMar>
            <w:top w:w="0" w:type="dxa"/>
            <w:left w:w="108" w:type="dxa"/>
            <w:bottom w:w="0" w:type="dxa"/>
            <w:right w:w="108" w:type="dxa"/>
          </w:tblCellMar>
        </w:tblPrEx>
        <w:trPr>
          <w:trHeight w:val="0" w:hRule="atLeast"/>
          <w:jc w:val="center"/>
        </w:trPr>
        <w:tc>
          <w:tcPr>
            <w:tcW w:w="3354" w:type="dxa"/>
            <w:tcBorders>
              <w:top w:val="nil"/>
              <w:left w:val="single" w:color="auto" w:sz="4" w:space="0"/>
              <w:bottom w:val="single" w:color="auto" w:sz="4" w:space="0"/>
              <w:right w:val="single" w:color="auto" w:sz="4" w:space="0"/>
            </w:tcBorders>
            <w:noWrap w:val="0"/>
            <w:vAlign w:val="center"/>
          </w:tcPr>
          <w:p>
            <w:pPr>
              <w:widowControl/>
              <w:spacing w:line="360" w:lineRule="exact"/>
              <w:jc w:val="left"/>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项目支出：</w:t>
            </w:r>
          </w:p>
        </w:tc>
        <w:tc>
          <w:tcPr>
            <w:tcW w:w="2038"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lang w:val="en-US" w:eastAsia="zh-CN"/>
              </w:rPr>
              <w:t>201.48</w:t>
            </w:r>
            <w:r>
              <w:rPr>
                <w:rFonts w:hint="eastAsia" w:ascii="仿宋_GB2312" w:hAnsi="仿宋_GB2312" w:eastAsia="仿宋_GB2312" w:cs="仿宋_GB2312"/>
                <w:sz w:val="20"/>
                <w:szCs w:val="20"/>
                <w:highlight w:val="none"/>
              </w:rPr>
              <w:t>　</w:t>
            </w:r>
          </w:p>
        </w:tc>
        <w:tc>
          <w:tcPr>
            <w:tcW w:w="2240"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lang w:val="en-US" w:eastAsia="zh-CN"/>
              </w:rPr>
              <w:t>80</w:t>
            </w:r>
            <w:r>
              <w:rPr>
                <w:rFonts w:hint="eastAsia" w:ascii="仿宋_GB2312" w:hAnsi="仿宋_GB2312" w:eastAsia="仿宋_GB2312" w:cs="仿宋_GB2312"/>
                <w:sz w:val="20"/>
                <w:szCs w:val="20"/>
                <w:highlight w:val="none"/>
              </w:rPr>
              <w:t>　</w:t>
            </w:r>
          </w:p>
        </w:tc>
        <w:tc>
          <w:tcPr>
            <w:tcW w:w="2041"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lang w:val="en-US" w:eastAsia="zh-CN"/>
              </w:rPr>
              <w:t>77.55</w:t>
            </w:r>
            <w:r>
              <w:rPr>
                <w:rFonts w:hint="eastAsia" w:ascii="仿宋_GB2312" w:hAnsi="仿宋_GB2312" w:eastAsia="仿宋_GB2312" w:cs="仿宋_GB2312"/>
                <w:sz w:val="20"/>
                <w:szCs w:val="20"/>
                <w:highlight w:val="none"/>
              </w:rPr>
              <w:t>　</w:t>
            </w:r>
          </w:p>
        </w:tc>
      </w:tr>
      <w:tr>
        <w:tblPrEx>
          <w:tblCellMar>
            <w:top w:w="0" w:type="dxa"/>
            <w:left w:w="108" w:type="dxa"/>
            <w:bottom w:w="0" w:type="dxa"/>
            <w:right w:w="108" w:type="dxa"/>
          </w:tblCellMar>
        </w:tblPrEx>
        <w:trPr>
          <w:trHeight w:val="0" w:hRule="atLeast"/>
          <w:jc w:val="center"/>
        </w:trPr>
        <w:tc>
          <w:tcPr>
            <w:tcW w:w="3354" w:type="dxa"/>
            <w:tcBorders>
              <w:top w:val="nil"/>
              <w:left w:val="single" w:color="auto" w:sz="4" w:space="0"/>
              <w:bottom w:val="single" w:color="auto" w:sz="4" w:space="0"/>
              <w:right w:val="single" w:color="auto" w:sz="4" w:space="0"/>
            </w:tcBorders>
            <w:noWrap w:val="0"/>
            <w:vAlign w:val="center"/>
          </w:tcPr>
          <w:p>
            <w:pPr>
              <w:widowControl/>
              <w:spacing w:line="360" w:lineRule="exact"/>
              <w:jc w:val="left"/>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 xml:space="preserve">    1、业务工作经费</w:t>
            </w:r>
          </w:p>
        </w:tc>
        <w:tc>
          <w:tcPr>
            <w:tcW w:w="2038"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lang w:val="en-US" w:eastAsia="zh-CN"/>
              </w:rPr>
              <w:t>201.48</w:t>
            </w:r>
            <w:r>
              <w:rPr>
                <w:rFonts w:hint="eastAsia" w:ascii="仿宋_GB2312" w:hAnsi="仿宋_GB2312" w:eastAsia="仿宋_GB2312" w:cs="仿宋_GB2312"/>
                <w:sz w:val="20"/>
                <w:szCs w:val="20"/>
                <w:highlight w:val="none"/>
              </w:rPr>
              <w:t>　</w:t>
            </w:r>
          </w:p>
        </w:tc>
        <w:tc>
          <w:tcPr>
            <w:tcW w:w="2240"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lang w:val="en-US" w:eastAsia="zh-CN"/>
              </w:rPr>
              <w:t>80</w:t>
            </w:r>
            <w:r>
              <w:rPr>
                <w:rFonts w:hint="eastAsia" w:ascii="仿宋_GB2312" w:hAnsi="仿宋_GB2312" w:eastAsia="仿宋_GB2312" w:cs="仿宋_GB2312"/>
                <w:sz w:val="20"/>
                <w:szCs w:val="20"/>
                <w:highlight w:val="none"/>
              </w:rPr>
              <w:t>　</w:t>
            </w:r>
          </w:p>
        </w:tc>
        <w:tc>
          <w:tcPr>
            <w:tcW w:w="2041"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lang w:val="en-US" w:eastAsia="zh-CN"/>
              </w:rPr>
              <w:t>77.55</w:t>
            </w:r>
            <w:r>
              <w:rPr>
                <w:rFonts w:hint="eastAsia" w:ascii="仿宋_GB2312" w:hAnsi="仿宋_GB2312" w:eastAsia="仿宋_GB2312" w:cs="仿宋_GB2312"/>
                <w:sz w:val="20"/>
                <w:szCs w:val="20"/>
                <w:highlight w:val="none"/>
              </w:rPr>
              <w:t>　</w:t>
            </w:r>
          </w:p>
        </w:tc>
      </w:tr>
      <w:tr>
        <w:tblPrEx>
          <w:tblCellMar>
            <w:top w:w="0" w:type="dxa"/>
            <w:left w:w="108" w:type="dxa"/>
            <w:bottom w:w="0" w:type="dxa"/>
            <w:right w:w="108" w:type="dxa"/>
          </w:tblCellMar>
        </w:tblPrEx>
        <w:trPr>
          <w:trHeight w:val="0" w:hRule="atLeast"/>
          <w:jc w:val="center"/>
        </w:trPr>
        <w:tc>
          <w:tcPr>
            <w:tcW w:w="3354" w:type="dxa"/>
            <w:tcBorders>
              <w:top w:val="nil"/>
              <w:left w:val="single" w:color="auto" w:sz="4" w:space="0"/>
              <w:bottom w:val="single" w:color="auto" w:sz="4" w:space="0"/>
              <w:right w:val="single" w:color="auto" w:sz="4" w:space="0"/>
            </w:tcBorders>
            <w:noWrap w:val="0"/>
            <w:vAlign w:val="center"/>
          </w:tcPr>
          <w:p>
            <w:pPr>
              <w:widowControl/>
              <w:spacing w:line="360" w:lineRule="exact"/>
              <w:jc w:val="left"/>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 xml:space="preserve">    2、运行维护经费</w:t>
            </w:r>
          </w:p>
        </w:tc>
        <w:tc>
          <w:tcPr>
            <w:tcW w:w="2038"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　</w:t>
            </w:r>
          </w:p>
        </w:tc>
        <w:tc>
          <w:tcPr>
            <w:tcW w:w="2240"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　</w:t>
            </w:r>
          </w:p>
        </w:tc>
        <w:tc>
          <w:tcPr>
            <w:tcW w:w="2041"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　</w:t>
            </w:r>
          </w:p>
        </w:tc>
      </w:tr>
      <w:tr>
        <w:tblPrEx>
          <w:tblCellMar>
            <w:top w:w="0" w:type="dxa"/>
            <w:left w:w="108" w:type="dxa"/>
            <w:bottom w:w="0" w:type="dxa"/>
            <w:right w:w="108" w:type="dxa"/>
          </w:tblCellMar>
        </w:tblPrEx>
        <w:trPr>
          <w:trHeight w:val="0" w:hRule="atLeast"/>
          <w:jc w:val="center"/>
        </w:trPr>
        <w:tc>
          <w:tcPr>
            <w:tcW w:w="3354" w:type="dxa"/>
            <w:tcBorders>
              <w:top w:val="nil"/>
              <w:left w:val="single" w:color="auto" w:sz="4" w:space="0"/>
              <w:bottom w:val="single" w:color="auto" w:sz="4" w:space="0"/>
              <w:right w:val="single" w:color="auto"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w:t>
            </w:r>
          </w:p>
        </w:tc>
        <w:tc>
          <w:tcPr>
            <w:tcW w:w="2038"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rPr>
            </w:pPr>
          </w:p>
        </w:tc>
        <w:tc>
          <w:tcPr>
            <w:tcW w:w="2240"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rPr>
            </w:pPr>
          </w:p>
        </w:tc>
        <w:tc>
          <w:tcPr>
            <w:tcW w:w="2041"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rPr>
            </w:pPr>
          </w:p>
        </w:tc>
      </w:tr>
      <w:tr>
        <w:tblPrEx>
          <w:tblCellMar>
            <w:top w:w="0" w:type="dxa"/>
            <w:left w:w="108" w:type="dxa"/>
            <w:bottom w:w="0" w:type="dxa"/>
            <w:right w:w="108" w:type="dxa"/>
          </w:tblCellMar>
        </w:tblPrEx>
        <w:trPr>
          <w:trHeight w:val="0" w:hRule="atLeast"/>
          <w:jc w:val="center"/>
        </w:trPr>
        <w:tc>
          <w:tcPr>
            <w:tcW w:w="3354" w:type="dxa"/>
            <w:tcBorders>
              <w:top w:val="nil"/>
              <w:left w:val="single" w:color="auto" w:sz="4" w:space="0"/>
              <w:bottom w:val="single" w:color="auto" w:sz="4" w:space="0"/>
              <w:right w:val="single" w:color="auto" w:sz="4" w:space="0"/>
            </w:tcBorders>
            <w:noWrap w:val="0"/>
            <w:vAlign w:val="center"/>
          </w:tcPr>
          <w:p>
            <w:pPr>
              <w:widowControl/>
              <w:spacing w:line="360" w:lineRule="exact"/>
              <w:jc w:val="left"/>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3、</w:t>
            </w:r>
            <w:r>
              <w:rPr>
                <w:rFonts w:hint="eastAsia" w:ascii="仿宋_GB2312" w:hAnsi="仿宋_GB2312" w:eastAsia="仿宋_GB2312" w:cs="仿宋_GB2312"/>
                <w:sz w:val="20"/>
                <w:szCs w:val="20"/>
                <w:highlight w:val="none"/>
                <w:lang w:eastAsia="zh-CN"/>
              </w:rPr>
              <w:t>市级</w:t>
            </w:r>
            <w:r>
              <w:rPr>
                <w:rFonts w:hint="eastAsia" w:ascii="仿宋_GB2312" w:hAnsi="仿宋_GB2312" w:eastAsia="仿宋_GB2312" w:cs="仿宋_GB2312"/>
                <w:sz w:val="20"/>
                <w:szCs w:val="20"/>
                <w:highlight w:val="none"/>
              </w:rPr>
              <w:t>专项资金（一个专项一行）</w:t>
            </w:r>
          </w:p>
        </w:tc>
        <w:tc>
          <w:tcPr>
            <w:tcW w:w="2038"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　</w:t>
            </w:r>
          </w:p>
        </w:tc>
        <w:tc>
          <w:tcPr>
            <w:tcW w:w="2240"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　</w:t>
            </w:r>
          </w:p>
        </w:tc>
        <w:tc>
          <w:tcPr>
            <w:tcW w:w="2041"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　</w:t>
            </w:r>
          </w:p>
        </w:tc>
      </w:tr>
      <w:tr>
        <w:tblPrEx>
          <w:tblCellMar>
            <w:top w:w="0" w:type="dxa"/>
            <w:left w:w="108" w:type="dxa"/>
            <w:bottom w:w="0" w:type="dxa"/>
            <w:right w:w="108" w:type="dxa"/>
          </w:tblCellMar>
        </w:tblPrEx>
        <w:trPr>
          <w:trHeight w:val="0" w:hRule="atLeast"/>
          <w:jc w:val="center"/>
        </w:trPr>
        <w:tc>
          <w:tcPr>
            <w:tcW w:w="3354" w:type="dxa"/>
            <w:tcBorders>
              <w:top w:val="nil"/>
              <w:left w:val="single" w:color="auto" w:sz="4" w:space="0"/>
              <w:bottom w:val="single" w:color="auto" w:sz="4" w:space="0"/>
              <w:right w:val="single" w:color="auto"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w:t>
            </w:r>
          </w:p>
        </w:tc>
        <w:tc>
          <w:tcPr>
            <w:tcW w:w="2038"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rPr>
            </w:pPr>
          </w:p>
        </w:tc>
        <w:tc>
          <w:tcPr>
            <w:tcW w:w="2240"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rPr>
            </w:pPr>
          </w:p>
        </w:tc>
        <w:tc>
          <w:tcPr>
            <w:tcW w:w="2041"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rPr>
            </w:pPr>
          </w:p>
        </w:tc>
      </w:tr>
      <w:tr>
        <w:tblPrEx>
          <w:tblCellMar>
            <w:top w:w="0" w:type="dxa"/>
            <w:left w:w="108" w:type="dxa"/>
            <w:bottom w:w="0" w:type="dxa"/>
            <w:right w:w="108" w:type="dxa"/>
          </w:tblCellMar>
        </w:tblPrEx>
        <w:trPr>
          <w:trHeight w:val="0" w:hRule="atLeast"/>
          <w:jc w:val="center"/>
        </w:trPr>
        <w:tc>
          <w:tcPr>
            <w:tcW w:w="3354" w:type="dxa"/>
            <w:tcBorders>
              <w:top w:val="nil"/>
              <w:left w:val="single" w:color="auto" w:sz="4" w:space="0"/>
              <w:bottom w:val="single" w:color="auto" w:sz="4" w:space="0"/>
              <w:right w:val="single" w:color="auto" w:sz="4" w:space="0"/>
            </w:tcBorders>
            <w:noWrap w:val="0"/>
            <w:vAlign w:val="center"/>
          </w:tcPr>
          <w:p>
            <w:pPr>
              <w:widowControl/>
              <w:spacing w:line="360" w:lineRule="exact"/>
              <w:jc w:val="left"/>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公用经费</w:t>
            </w:r>
          </w:p>
        </w:tc>
        <w:tc>
          <w:tcPr>
            <w:tcW w:w="2038"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lang w:val="en-US" w:eastAsia="zh-CN"/>
              </w:rPr>
              <w:t>386.94</w:t>
            </w:r>
            <w:r>
              <w:rPr>
                <w:rFonts w:hint="eastAsia" w:ascii="仿宋_GB2312" w:hAnsi="仿宋_GB2312" w:eastAsia="仿宋_GB2312" w:cs="仿宋_GB2312"/>
                <w:sz w:val="20"/>
                <w:szCs w:val="20"/>
                <w:highlight w:val="none"/>
              </w:rPr>
              <w:t>　</w:t>
            </w:r>
          </w:p>
        </w:tc>
        <w:tc>
          <w:tcPr>
            <w:tcW w:w="2240"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lang w:val="en-US" w:eastAsia="zh-CN"/>
              </w:rPr>
              <w:t>479.4</w:t>
            </w:r>
            <w:r>
              <w:rPr>
                <w:rFonts w:hint="eastAsia" w:ascii="仿宋_GB2312" w:hAnsi="仿宋_GB2312" w:eastAsia="仿宋_GB2312" w:cs="仿宋_GB2312"/>
                <w:sz w:val="20"/>
                <w:szCs w:val="20"/>
                <w:highlight w:val="none"/>
              </w:rPr>
              <w:t>　</w:t>
            </w:r>
          </w:p>
        </w:tc>
        <w:tc>
          <w:tcPr>
            <w:tcW w:w="2041"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lang w:val="en-US" w:eastAsia="zh-CN"/>
              </w:rPr>
              <w:t>612.80</w:t>
            </w:r>
            <w:r>
              <w:rPr>
                <w:rFonts w:hint="eastAsia" w:ascii="仿宋_GB2312" w:hAnsi="仿宋_GB2312" w:eastAsia="仿宋_GB2312" w:cs="仿宋_GB2312"/>
                <w:sz w:val="20"/>
                <w:szCs w:val="20"/>
                <w:highlight w:val="none"/>
              </w:rPr>
              <w:t>　</w:t>
            </w:r>
          </w:p>
        </w:tc>
      </w:tr>
      <w:tr>
        <w:tblPrEx>
          <w:tblCellMar>
            <w:top w:w="0" w:type="dxa"/>
            <w:left w:w="108" w:type="dxa"/>
            <w:bottom w:w="0" w:type="dxa"/>
            <w:right w:w="108" w:type="dxa"/>
          </w:tblCellMar>
        </w:tblPrEx>
        <w:trPr>
          <w:trHeight w:val="0" w:hRule="atLeast"/>
          <w:jc w:val="center"/>
        </w:trPr>
        <w:tc>
          <w:tcPr>
            <w:tcW w:w="3354" w:type="dxa"/>
            <w:tcBorders>
              <w:top w:val="nil"/>
              <w:left w:val="single" w:color="auto" w:sz="4" w:space="0"/>
              <w:bottom w:val="single" w:color="auto" w:sz="4" w:space="0"/>
              <w:right w:val="single" w:color="auto" w:sz="4" w:space="0"/>
            </w:tcBorders>
            <w:noWrap w:val="0"/>
            <w:vAlign w:val="center"/>
          </w:tcPr>
          <w:p>
            <w:pPr>
              <w:widowControl/>
              <w:spacing w:line="360" w:lineRule="exact"/>
              <w:jc w:val="left"/>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 xml:space="preserve">    其中：办公经费</w:t>
            </w:r>
          </w:p>
        </w:tc>
        <w:tc>
          <w:tcPr>
            <w:tcW w:w="2038"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color w:val="auto"/>
                <w:sz w:val="20"/>
                <w:szCs w:val="20"/>
                <w:highlight w:val="none"/>
              </w:rPr>
            </w:pPr>
            <w:r>
              <w:rPr>
                <w:rFonts w:hint="eastAsia" w:ascii="仿宋_GB2312" w:hAnsi="仿宋_GB2312" w:eastAsia="仿宋_GB2312" w:cs="仿宋_GB2312"/>
                <w:color w:val="auto"/>
                <w:sz w:val="20"/>
                <w:szCs w:val="20"/>
                <w:highlight w:val="none"/>
                <w:lang w:val="en-US" w:eastAsia="zh-CN"/>
              </w:rPr>
              <w:t>30.48</w:t>
            </w:r>
            <w:r>
              <w:rPr>
                <w:rFonts w:hint="eastAsia" w:ascii="仿宋_GB2312" w:hAnsi="仿宋_GB2312" w:eastAsia="仿宋_GB2312" w:cs="仿宋_GB2312"/>
                <w:color w:val="auto"/>
                <w:sz w:val="20"/>
                <w:szCs w:val="20"/>
                <w:highlight w:val="none"/>
              </w:rPr>
              <w:t>　</w:t>
            </w:r>
          </w:p>
        </w:tc>
        <w:tc>
          <w:tcPr>
            <w:tcW w:w="2240"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color w:val="auto"/>
                <w:sz w:val="20"/>
                <w:szCs w:val="20"/>
                <w:highlight w:val="none"/>
              </w:rPr>
            </w:pPr>
            <w:r>
              <w:rPr>
                <w:rFonts w:hint="eastAsia" w:ascii="仿宋_GB2312" w:hAnsi="仿宋_GB2312" w:eastAsia="仿宋_GB2312" w:cs="仿宋_GB2312"/>
                <w:color w:val="auto"/>
                <w:sz w:val="20"/>
                <w:szCs w:val="20"/>
                <w:highlight w:val="none"/>
                <w:lang w:val="en-US" w:eastAsia="zh-CN"/>
              </w:rPr>
              <w:t>60</w:t>
            </w:r>
            <w:r>
              <w:rPr>
                <w:rFonts w:hint="eastAsia" w:ascii="仿宋_GB2312" w:hAnsi="仿宋_GB2312" w:eastAsia="仿宋_GB2312" w:cs="仿宋_GB2312"/>
                <w:color w:val="auto"/>
                <w:sz w:val="20"/>
                <w:szCs w:val="20"/>
                <w:highlight w:val="none"/>
              </w:rPr>
              <w:t>　</w:t>
            </w:r>
          </w:p>
        </w:tc>
        <w:tc>
          <w:tcPr>
            <w:tcW w:w="2041"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color w:val="auto"/>
                <w:sz w:val="20"/>
                <w:szCs w:val="20"/>
                <w:highlight w:val="none"/>
              </w:rPr>
            </w:pPr>
            <w:r>
              <w:rPr>
                <w:rFonts w:hint="eastAsia" w:ascii="仿宋_GB2312" w:hAnsi="仿宋_GB2312" w:eastAsia="仿宋_GB2312" w:cs="仿宋_GB2312"/>
                <w:color w:val="auto"/>
                <w:sz w:val="20"/>
                <w:szCs w:val="20"/>
                <w:highlight w:val="none"/>
                <w:lang w:val="en-US" w:eastAsia="zh-CN"/>
              </w:rPr>
              <w:t>56.27</w:t>
            </w:r>
            <w:r>
              <w:rPr>
                <w:rFonts w:hint="eastAsia" w:ascii="仿宋_GB2312" w:hAnsi="仿宋_GB2312" w:eastAsia="仿宋_GB2312" w:cs="仿宋_GB2312"/>
                <w:color w:val="auto"/>
                <w:sz w:val="20"/>
                <w:szCs w:val="20"/>
                <w:highlight w:val="none"/>
              </w:rPr>
              <w:t>　</w:t>
            </w:r>
          </w:p>
        </w:tc>
      </w:tr>
      <w:tr>
        <w:tblPrEx>
          <w:tblCellMar>
            <w:top w:w="0" w:type="dxa"/>
            <w:left w:w="108" w:type="dxa"/>
            <w:bottom w:w="0" w:type="dxa"/>
            <w:right w:w="108" w:type="dxa"/>
          </w:tblCellMar>
        </w:tblPrEx>
        <w:trPr>
          <w:trHeight w:val="0" w:hRule="atLeast"/>
          <w:jc w:val="center"/>
        </w:trPr>
        <w:tc>
          <w:tcPr>
            <w:tcW w:w="3354" w:type="dxa"/>
            <w:tcBorders>
              <w:top w:val="nil"/>
              <w:left w:val="single" w:color="auto" w:sz="4" w:space="0"/>
              <w:bottom w:val="single" w:color="auto" w:sz="4" w:space="0"/>
              <w:right w:val="single" w:color="auto" w:sz="4" w:space="0"/>
            </w:tcBorders>
            <w:noWrap w:val="0"/>
            <w:vAlign w:val="center"/>
          </w:tcPr>
          <w:p>
            <w:pPr>
              <w:widowControl/>
              <w:spacing w:line="360" w:lineRule="exact"/>
              <w:jc w:val="left"/>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 xml:space="preserve">          水费、电费、差旅费</w:t>
            </w:r>
          </w:p>
        </w:tc>
        <w:tc>
          <w:tcPr>
            <w:tcW w:w="2038"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color w:val="auto"/>
                <w:sz w:val="20"/>
                <w:szCs w:val="20"/>
                <w:highlight w:val="none"/>
              </w:rPr>
            </w:pPr>
            <w:r>
              <w:rPr>
                <w:rFonts w:hint="eastAsia" w:ascii="仿宋_GB2312" w:hAnsi="仿宋_GB2312" w:eastAsia="仿宋_GB2312" w:cs="仿宋_GB2312"/>
                <w:color w:val="auto"/>
                <w:sz w:val="20"/>
                <w:szCs w:val="20"/>
                <w:highlight w:val="none"/>
                <w:lang w:val="en-US" w:eastAsia="zh-CN"/>
              </w:rPr>
              <w:t>10.4</w:t>
            </w:r>
            <w:r>
              <w:rPr>
                <w:rFonts w:hint="eastAsia" w:ascii="仿宋_GB2312" w:hAnsi="仿宋_GB2312" w:eastAsia="仿宋_GB2312" w:cs="仿宋_GB2312"/>
                <w:color w:val="auto"/>
                <w:sz w:val="20"/>
                <w:szCs w:val="20"/>
                <w:highlight w:val="none"/>
              </w:rPr>
              <w:t>　</w:t>
            </w:r>
          </w:p>
        </w:tc>
        <w:tc>
          <w:tcPr>
            <w:tcW w:w="2240"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color w:val="auto"/>
                <w:sz w:val="20"/>
                <w:szCs w:val="20"/>
                <w:highlight w:val="none"/>
                <w:lang w:val="en-US" w:eastAsia="zh-CN"/>
              </w:rPr>
            </w:pPr>
            <w:r>
              <w:rPr>
                <w:rFonts w:hint="eastAsia" w:ascii="仿宋_GB2312" w:hAnsi="仿宋_GB2312" w:eastAsia="仿宋_GB2312" w:cs="仿宋_GB2312"/>
                <w:color w:val="auto"/>
                <w:sz w:val="20"/>
                <w:szCs w:val="20"/>
                <w:highlight w:val="none"/>
              </w:rPr>
              <w:t>　</w:t>
            </w:r>
            <w:r>
              <w:rPr>
                <w:rFonts w:hint="eastAsia" w:ascii="仿宋_GB2312" w:hAnsi="仿宋_GB2312" w:eastAsia="仿宋_GB2312" w:cs="仿宋_GB2312"/>
                <w:color w:val="auto"/>
                <w:sz w:val="20"/>
                <w:szCs w:val="20"/>
                <w:highlight w:val="none"/>
                <w:lang w:val="en-US" w:eastAsia="zh-CN"/>
              </w:rPr>
              <w:t>7</w:t>
            </w:r>
          </w:p>
        </w:tc>
        <w:tc>
          <w:tcPr>
            <w:tcW w:w="2041"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color w:val="auto"/>
                <w:sz w:val="20"/>
                <w:szCs w:val="20"/>
                <w:highlight w:val="none"/>
              </w:rPr>
            </w:pPr>
            <w:r>
              <w:rPr>
                <w:rFonts w:hint="eastAsia" w:ascii="仿宋_GB2312" w:hAnsi="仿宋_GB2312" w:eastAsia="仿宋_GB2312" w:cs="仿宋_GB2312"/>
                <w:color w:val="auto"/>
                <w:sz w:val="20"/>
                <w:szCs w:val="20"/>
                <w:highlight w:val="none"/>
                <w:lang w:val="en-US" w:eastAsia="zh-CN"/>
              </w:rPr>
              <w:t>9.55</w:t>
            </w:r>
            <w:r>
              <w:rPr>
                <w:rFonts w:hint="eastAsia" w:ascii="仿宋_GB2312" w:hAnsi="仿宋_GB2312" w:eastAsia="仿宋_GB2312" w:cs="仿宋_GB2312"/>
                <w:color w:val="auto"/>
                <w:sz w:val="20"/>
                <w:szCs w:val="20"/>
                <w:highlight w:val="none"/>
              </w:rPr>
              <w:t>　</w:t>
            </w:r>
          </w:p>
        </w:tc>
      </w:tr>
      <w:tr>
        <w:tblPrEx>
          <w:tblCellMar>
            <w:top w:w="0" w:type="dxa"/>
            <w:left w:w="108" w:type="dxa"/>
            <w:bottom w:w="0" w:type="dxa"/>
            <w:right w:w="108" w:type="dxa"/>
          </w:tblCellMar>
        </w:tblPrEx>
        <w:trPr>
          <w:trHeight w:val="0" w:hRule="atLeast"/>
          <w:jc w:val="center"/>
        </w:trPr>
        <w:tc>
          <w:tcPr>
            <w:tcW w:w="3354" w:type="dxa"/>
            <w:tcBorders>
              <w:top w:val="nil"/>
              <w:left w:val="single" w:color="auto" w:sz="4" w:space="0"/>
              <w:bottom w:val="single" w:color="auto" w:sz="4" w:space="0"/>
              <w:right w:val="single" w:color="auto" w:sz="4" w:space="0"/>
            </w:tcBorders>
            <w:noWrap w:val="0"/>
            <w:vAlign w:val="center"/>
          </w:tcPr>
          <w:p>
            <w:pPr>
              <w:widowControl/>
              <w:spacing w:line="360" w:lineRule="exact"/>
              <w:jc w:val="left"/>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 xml:space="preserve">          会议费、培训费</w:t>
            </w:r>
          </w:p>
        </w:tc>
        <w:tc>
          <w:tcPr>
            <w:tcW w:w="2038"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default" w:ascii="仿宋_GB2312" w:hAnsi="仿宋_GB2312" w:eastAsia="仿宋_GB2312" w:cs="仿宋_GB2312"/>
                <w:color w:val="auto"/>
                <w:sz w:val="20"/>
                <w:szCs w:val="20"/>
                <w:highlight w:val="none"/>
                <w:lang w:val="en-US" w:eastAsia="zh-CN"/>
              </w:rPr>
            </w:pPr>
            <w:r>
              <w:rPr>
                <w:rFonts w:hint="eastAsia" w:ascii="仿宋_GB2312" w:hAnsi="仿宋_GB2312" w:eastAsia="仿宋_GB2312" w:cs="仿宋_GB2312"/>
                <w:color w:val="auto"/>
                <w:sz w:val="20"/>
                <w:szCs w:val="20"/>
                <w:highlight w:val="none"/>
              </w:rPr>
              <w:t>　</w:t>
            </w:r>
            <w:r>
              <w:rPr>
                <w:rFonts w:hint="eastAsia" w:ascii="仿宋_GB2312" w:hAnsi="仿宋_GB2312" w:eastAsia="仿宋_GB2312" w:cs="仿宋_GB2312"/>
                <w:color w:val="auto"/>
                <w:sz w:val="20"/>
                <w:szCs w:val="20"/>
                <w:highlight w:val="none"/>
                <w:lang w:val="en-US" w:eastAsia="zh-CN"/>
              </w:rPr>
              <w:t>0.92</w:t>
            </w:r>
          </w:p>
        </w:tc>
        <w:tc>
          <w:tcPr>
            <w:tcW w:w="2240"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color w:val="FF0000"/>
                <w:sz w:val="20"/>
                <w:szCs w:val="20"/>
                <w:highlight w:val="none"/>
              </w:rPr>
            </w:pPr>
            <w:r>
              <w:rPr>
                <w:rFonts w:hint="eastAsia" w:ascii="仿宋_GB2312" w:hAnsi="仿宋_GB2312" w:eastAsia="仿宋_GB2312" w:cs="仿宋_GB2312"/>
                <w:color w:val="FF0000"/>
                <w:sz w:val="20"/>
                <w:szCs w:val="20"/>
                <w:highlight w:val="none"/>
              </w:rPr>
              <w:t>　</w:t>
            </w:r>
          </w:p>
        </w:tc>
        <w:tc>
          <w:tcPr>
            <w:tcW w:w="2041"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color w:val="auto"/>
                <w:sz w:val="20"/>
                <w:szCs w:val="20"/>
                <w:highlight w:val="none"/>
              </w:rPr>
            </w:pPr>
            <w:r>
              <w:rPr>
                <w:rFonts w:hint="eastAsia" w:ascii="仿宋_GB2312" w:hAnsi="仿宋_GB2312" w:eastAsia="仿宋_GB2312" w:cs="仿宋_GB2312"/>
                <w:color w:val="auto"/>
                <w:sz w:val="20"/>
                <w:szCs w:val="20"/>
                <w:highlight w:val="none"/>
                <w:lang w:val="en-US" w:eastAsia="zh-CN"/>
              </w:rPr>
              <w:t>8.59</w:t>
            </w:r>
            <w:r>
              <w:rPr>
                <w:rFonts w:hint="eastAsia" w:ascii="仿宋_GB2312" w:hAnsi="仿宋_GB2312" w:eastAsia="仿宋_GB2312" w:cs="仿宋_GB2312"/>
                <w:color w:val="auto"/>
                <w:sz w:val="20"/>
                <w:szCs w:val="20"/>
                <w:highlight w:val="none"/>
              </w:rPr>
              <w:t>　</w:t>
            </w:r>
          </w:p>
        </w:tc>
      </w:tr>
      <w:tr>
        <w:tblPrEx>
          <w:tblCellMar>
            <w:top w:w="0" w:type="dxa"/>
            <w:left w:w="108" w:type="dxa"/>
            <w:bottom w:w="0" w:type="dxa"/>
            <w:right w:w="108" w:type="dxa"/>
          </w:tblCellMar>
        </w:tblPrEx>
        <w:trPr>
          <w:trHeight w:val="0" w:hRule="atLeast"/>
          <w:jc w:val="center"/>
        </w:trPr>
        <w:tc>
          <w:tcPr>
            <w:tcW w:w="3354" w:type="dxa"/>
            <w:tcBorders>
              <w:top w:val="nil"/>
              <w:left w:val="single" w:color="auto" w:sz="4" w:space="0"/>
              <w:bottom w:val="single" w:color="auto" w:sz="4" w:space="0"/>
              <w:right w:val="single" w:color="auto" w:sz="4" w:space="0"/>
            </w:tcBorders>
            <w:noWrap w:val="0"/>
            <w:vAlign w:val="center"/>
          </w:tcPr>
          <w:p>
            <w:pPr>
              <w:widowControl/>
              <w:spacing w:line="360" w:lineRule="exact"/>
              <w:jc w:val="left"/>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政府采购金额</w:t>
            </w:r>
          </w:p>
        </w:tc>
        <w:tc>
          <w:tcPr>
            <w:tcW w:w="2038"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w:t>
            </w:r>
          </w:p>
        </w:tc>
        <w:tc>
          <w:tcPr>
            <w:tcW w:w="2240"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lang w:val="en-US" w:eastAsia="zh-CN"/>
              </w:rPr>
              <w:t>80</w:t>
            </w:r>
            <w:r>
              <w:rPr>
                <w:rFonts w:hint="eastAsia" w:ascii="仿宋_GB2312" w:hAnsi="仿宋_GB2312" w:eastAsia="仿宋_GB2312" w:cs="仿宋_GB2312"/>
                <w:sz w:val="20"/>
                <w:szCs w:val="20"/>
                <w:highlight w:val="none"/>
              </w:rPr>
              <w:t>　</w:t>
            </w:r>
          </w:p>
        </w:tc>
        <w:tc>
          <w:tcPr>
            <w:tcW w:w="2041"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default" w:ascii="仿宋_GB2312" w:hAnsi="仿宋_GB2312" w:eastAsia="仿宋_GB2312" w:cs="仿宋_GB2312"/>
                <w:sz w:val="20"/>
                <w:szCs w:val="20"/>
                <w:highlight w:val="none"/>
                <w:lang w:val="en-US" w:eastAsia="zh-CN"/>
              </w:rPr>
            </w:pPr>
            <w:r>
              <w:rPr>
                <w:rFonts w:hint="eastAsia" w:ascii="仿宋_GB2312" w:hAnsi="仿宋_GB2312" w:eastAsia="仿宋_GB2312" w:cs="仿宋_GB2312"/>
                <w:sz w:val="20"/>
                <w:szCs w:val="20"/>
                <w:highlight w:val="none"/>
                <w:lang w:val="en-US" w:eastAsia="zh-CN"/>
              </w:rPr>
              <w:t>136.05</w:t>
            </w:r>
          </w:p>
        </w:tc>
      </w:tr>
      <w:tr>
        <w:tblPrEx>
          <w:tblCellMar>
            <w:top w:w="0" w:type="dxa"/>
            <w:left w:w="108" w:type="dxa"/>
            <w:bottom w:w="0" w:type="dxa"/>
            <w:right w:w="108" w:type="dxa"/>
          </w:tblCellMar>
        </w:tblPrEx>
        <w:trPr>
          <w:trHeight w:val="0" w:hRule="atLeast"/>
          <w:jc w:val="center"/>
        </w:trPr>
        <w:tc>
          <w:tcPr>
            <w:tcW w:w="3354" w:type="dxa"/>
            <w:tcBorders>
              <w:top w:val="nil"/>
              <w:left w:val="single" w:color="auto" w:sz="4" w:space="0"/>
              <w:bottom w:val="single" w:color="auto" w:sz="4" w:space="0"/>
              <w:right w:val="single" w:color="auto" w:sz="4" w:space="0"/>
            </w:tcBorders>
            <w:noWrap w:val="0"/>
            <w:vAlign w:val="center"/>
          </w:tcPr>
          <w:p>
            <w:pPr>
              <w:widowControl/>
              <w:spacing w:line="360" w:lineRule="exact"/>
              <w:jc w:val="left"/>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 xml:space="preserve">部门基本支出预算调整 </w:t>
            </w:r>
          </w:p>
        </w:tc>
        <w:tc>
          <w:tcPr>
            <w:tcW w:w="2038"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w:t>
            </w:r>
          </w:p>
        </w:tc>
        <w:tc>
          <w:tcPr>
            <w:tcW w:w="2240"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　</w:t>
            </w:r>
          </w:p>
        </w:tc>
        <w:tc>
          <w:tcPr>
            <w:tcW w:w="2041"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　</w:t>
            </w:r>
          </w:p>
        </w:tc>
      </w:tr>
      <w:tr>
        <w:tblPrEx>
          <w:tblCellMar>
            <w:top w:w="0" w:type="dxa"/>
            <w:left w:w="108" w:type="dxa"/>
            <w:bottom w:w="0" w:type="dxa"/>
            <w:right w:w="108" w:type="dxa"/>
          </w:tblCellMar>
        </w:tblPrEx>
        <w:trPr>
          <w:trHeight w:val="0" w:hRule="atLeast"/>
          <w:jc w:val="center"/>
        </w:trPr>
        <w:tc>
          <w:tcPr>
            <w:tcW w:w="3354" w:type="dxa"/>
            <w:vMerge w:val="restart"/>
            <w:tcBorders>
              <w:top w:val="nil"/>
              <w:left w:val="single" w:color="auto" w:sz="4" w:space="0"/>
              <w:bottom w:val="single" w:color="auto" w:sz="4" w:space="0"/>
              <w:right w:val="single" w:color="auto"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楼堂馆所控制情况</w:t>
            </w:r>
            <w:r>
              <w:rPr>
                <w:rFonts w:hint="eastAsia" w:ascii="仿宋_GB2312" w:hAnsi="仿宋_GB2312" w:eastAsia="仿宋_GB2312" w:cs="仿宋_GB2312"/>
                <w:sz w:val="20"/>
                <w:szCs w:val="20"/>
                <w:highlight w:val="none"/>
              </w:rPr>
              <w:br w:type="textWrapping"/>
            </w:r>
            <w:r>
              <w:rPr>
                <w:rFonts w:hint="eastAsia" w:ascii="仿宋_GB2312" w:hAnsi="仿宋_GB2312" w:eastAsia="仿宋_GB2312" w:cs="仿宋_GB2312"/>
                <w:sz w:val="20"/>
                <w:szCs w:val="20"/>
                <w:highlight w:val="none"/>
              </w:rPr>
              <w:t>（202</w:t>
            </w:r>
            <w:r>
              <w:rPr>
                <w:rFonts w:hint="eastAsia" w:ascii="仿宋_GB2312" w:hAnsi="仿宋_GB2312" w:eastAsia="仿宋_GB2312" w:cs="仿宋_GB2312"/>
                <w:sz w:val="20"/>
                <w:szCs w:val="20"/>
                <w:highlight w:val="none"/>
                <w:lang w:val="en-US" w:eastAsia="zh-CN"/>
              </w:rPr>
              <w:t>3</w:t>
            </w:r>
            <w:r>
              <w:rPr>
                <w:rFonts w:hint="eastAsia" w:ascii="仿宋_GB2312" w:hAnsi="仿宋_GB2312" w:eastAsia="仿宋_GB2312" w:cs="仿宋_GB2312"/>
                <w:sz w:val="20"/>
                <w:szCs w:val="20"/>
                <w:highlight w:val="none"/>
              </w:rPr>
              <w:t>年完工项目）</w:t>
            </w:r>
          </w:p>
        </w:tc>
        <w:tc>
          <w:tcPr>
            <w:tcW w:w="1189" w:type="dxa"/>
            <w:tcBorders>
              <w:top w:val="nil"/>
              <w:left w:val="nil"/>
              <w:bottom w:val="single" w:color="auto" w:sz="4" w:space="0"/>
              <w:right w:val="single" w:color="auto" w:sz="4" w:space="0"/>
            </w:tcBorders>
            <w:noWrap w:val="0"/>
            <w:vAlign w:val="center"/>
          </w:tcPr>
          <w:p>
            <w:pPr>
              <w:widowControl/>
              <w:spacing w:line="360" w:lineRule="exact"/>
              <w:jc w:val="center"/>
              <w:rPr>
                <w:rFonts w:hint="eastAsia" w:ascii="仿宋_GB2312" w:hAnsi="仿宋_GB2312" w:eastAsia="仿宋_GB2312" w:cs="仿宋_GB2312"/>
                <w:bCs/>
                <w:sz w:val="20"/>
                <w:szCs w:val="20"/>
                <w:highlight w:val="none"/>
              </w:rPr>
            </w:pPr>
            <w:r>
              <w:rPr>
                <w:rFonts w:hint="eastAsia" w:ascii="仿宋_GB2312" w:hAnsi="仿宋_GB2312" w:eastAsia="仿宋_GB2312" w:cs="仿宋_GB2312"/>
                <w:bCs/>
                <w:sz w:val="20"/>
                <w:szCs w:val="20"/>
                <w:highlight w:val="none"/>
              </w:rPr>
              <w:t>批复规模</w:t>
            </w:r>
            <w:r>
              <w:rPr>
                <w:rFonts w:hint="eastAsia" w:ascii="仿宋_GB2312" w:hAnsi="仿宋_GB2312" w:eastAsia="仿宋_GB2312" w:cs="仿宋_GB2312"/>
                <w:bCs/>
                <w:sz w:val="20"/>
                <w:szCs w:val="20"/>
                <w:highlight w:val="none"/>
              </w:rPr>
              <w:br w:type="textWrapping"/>
            </w:r>
            <w:r>
              <w:rPr>
                <w:rFonts w:hint="eastAsia" w:ascii="仿宋_GB2312" w:hAnsi="仿宋_GB2312" w:eastAsia="仿宋_GB2312" w:cs="仿宋_GB2312"/>
                <w:bCs/>
                <w:sz w:val="20"/>
                <w:szCs w:val="20"/>
                <w:highlight w:val="none"/>
              </w:rPr>
              <w:t>（㎡）</w:t>
            </w:r>
          </w:p>
        </w:tc>
        <w:tc>
          <w:tcPr>
            <w:tcW w:w="849" w:type="dxa"/>
            <w:tcBorders>
              <w:top w:val="nil"/>
              <w:left w:val="nil"/>
              <w:bottom w:val="single" w:color="auto" w:sz="4" w:space="0"/>
              <w:right w:val="single" w:color="auto" w:sz="4" w:space="0"/>
            </w:tcBorders>
            <w:noWrap w:val="0"/>
            <w:vAlign w:val="center"/>
          </w:tcPr>
          <w:p>
            <w:pPr>
              <w:widowControl/>
              <w:spacing w:line="360" w:lineRule="exact"/>
              <w:jc w:val="center"/>
              <w:rPr>
                <w:rFonts w:hint="eastAsia" w:ascii="仿宋_GB2312" w:hAnsi="仿宋_GB2312" w:eastAsia="仿宋_GB2312" w:cs="仿宋_GB2312"/>
                <w:bCs/>
                <w:sz w:val="20"/>
                <w:szCs w:val="20"/>
                <w:highlight w:val="none"/>
              </w:rPr>
            </w:pPr>
            <w:r>
              <w:rPr>
                <w:rFonts w:hint="eastAsia" w:ascii="仿宋_GB2312" w:hAnsi="仿宋_GB2312" w:eastAsia="仿宋_GB2312" w:cs="仿宋_GB2312"/>
                <w:bCs/>
                <w:sz w:val="20"/>
                <w:szCs w:val="20"/>
                <w:highlight w:val="none"/>
              </w:rPr>
              <w:t>实际规模（㎡）</w:t>
            </w:r>
          </w:p>
        </w:tc>
        <w:tc>
          <w:tcPr>
            <w:tcW w:w="1129" w:type="dxa"/>
            <w:tcBorders>
              <w:top w:val="nil"/>
              <w:left w:val="nil"/>
              <w:bottom w:val="single" w:color="auto" w:sz="4" w:space="0"/>
              <w:right w:val="single" w:color="auto" w:sz="4" w:space="0"/>
            </w:tcBorders>
            <w:noWrap w:val="0"/>
            <w:vAlign w:val="center"/>
          </w:tcPr>
          <w:p>
            <w:pPr>
              <w:widowControl/>
              <w:spacing w:line="360" w:lineRule="exact"/>
              <w:jc w:val="center"/>
              <w:rPr>
                <w:rFonts w:hint="eastAsia" w:ascii="仿宋_GB2312" w:hAnsi="仿宋_GB2312" w:eastAsia="仿宋_GB2312" w:cs="仿宋_GB2312"/>
                <w:bCs/>
                <w:sz w:val="20"/>
                <w:szCs w:val="20"/>
                <w:highlight w:val="none"/>
              </w:rPr>
            </w:pPr>
            <w:r>
              <w:rPr>
                <w:rFonts w:hint="eastAsia" w:ascii="仿宋_GB2312" w:hAnsi="仿宋_GB2312" w:eastAsia="仿宋_GB2312" w:cs="仿宋_GB2312"/>
                <w:bCs/>
                <w:sz w:val="20"/>
                <w:szCs w:val="20"/>
                <w:highlight w:val="none"/>
              </w:rPr>
              <w:t>规模控制率</w:t>
            </w:r>
          </w:p>
        </w:tc>
        <w:tc>
          <w:tcPr>
            <w:tcW w:w="1111" w:type="dxa"/>
            <w:tcBorders>
              <w:top w:val="nil"/>
              <w:left w:val="nil"/>
              <w:bottom w:val="single" w:color="auto" w:sz="4" w:space="0"/>
              <w:right w:val="single" w:color="auto" w:sz="4" w:space="0"/>
            </w:tcBorders>
            <w:noWrap w:val="0"/>
            <w:vAlign w:val="center"/>
          </w:tcPr>
          <w:p>
            <w:pPr>
              <w:widowControl/>
              <w:spacing w:line="360" w:lineRule="exact"/>
              <w:jc w:val="center"/>
              <w:rPr>
                <w:rFonts w:hint="eastAsia" w:ascii="仿宋_GB2312" w:hAnsi="仿宋_GB2312" w:eastAsia="仿宋_GB2312" w:cs="仿宋_GB2312"/>
                <w:bCs/>
                <w:sz w:val="20"/>
                <w:szCs w:val="20"/>
                <w:highlight w:val="none"/>
              </w:rPr>
            </w:pPr>
            <w:r>
              <w:rPr>
                <w:rFonts w:hint="eastAsia" w:ascii="仿宋_GB2312" w:hAnsi="仿宋_GB2312" w:eastAsia="仿宋_GB2312" w:cs="仿宋_GB2312"/>
                <w:bCs/>
                <w:sz w:val="20"/>
                <w:szCs w:val="20"/>
                <w:highlight w:val="none"/>
              </w:rPr>
              <w:t>预算投资（万元）</w:t>
            </w:r>
          </w:p>
        </w:tc>
        <w:tc>
          <w:tcPr>
            <w:tcW w:w="1081" w:type="dxa"/>
            <w:tcBorders>
              <w:top w:val="nil"/>
              <w:left w:val="nil"/>
              <w:bottom w:val="single" w:color="auto" w:sz="4" w:space="0"/>
              <w:right w:val="single" w:color="auto" w:sz="4" w:space="0"/>
            </w:tcBorders>
            <w:noWrap w:val="0"/>
            <w:vAlign w:val="center"/>
          </w:tcPr>
          <w:p>
            <w:pPr>
              <w:widowControl/>
              <w:spacing w:line="360" w:lineRule="exact"/>
              <w:jc w:val="center"/>
              <w:rPr>
                <w:rFonts w:hint="eastAsia" w:ascii="仿宋_GB2312" w:hAnsi="仿宋_GB2312" w:eastAsia="仿宋_GB2312" w:cs="仿宋_GB2312"/>
                <w:bCs/>
                <w:sz w:val="20"/>
                <w:szCs w:val="20"/>
                <w:highlight w:val="none"/>
              </w:rPr>
            </w:pPr>
            <w:r>
              <w:rPr>
                <w:rFonts w:hint="eastAsia" w:ascii="仿宋_GB2312" w:hAnsi="仿宋_GB2312" w:eastAsia="仿宋_GB2312" w:cs="仿宋_GB2312"/>
                <w:bCs/>
                <w:sz w:val="20"/>
                <w:szCs w:val="20"/>
                <w:highlight w:val="none"/>
              </w:rPr>
              <w:t>实际投资（万元）</w:t>
            </w:r>
          </w:p>
        </w:tc>
        <w:tc>
          <w:tcPr>
            <w:tcW w:w="960" w:type="dxa"/>
            <w:tcBorders>
              <w:top w:val="nil"/>
              <w:left w:val="nil"/>
              <w:bottom w:val="single" w:color="auto" w:sz="4" w:space="0"/>
              <w:right w:val="single" w:color="auto" w:sz="4" w:space="0"/>
            </w:tcBorders>
            <w:noWrap w:val="0"/>
            <w:vAlign w:val="center"/>
          </w:tcPr>
          <w:p>
            <w:pPr>
              <w:widowControl/>
              <w:spacing w:line="360" w:lineRule="exact"/>
              <w:jc w:val="center"/>
              <w:rPr>
                <w:rFonts w:hint="eastAsia" w:ascii="仿宋_GB2312" w:hAnsi="仿宋_GB2312" w:eastAsia="仿宋_GB2312" w:cs="仿宋_GB2312"/>
                <w:bCs/>
                <w:sz w:val="20"/>
                <w:szCs w:val="20"/>
                <w:highlight w:val="none"/>
              </w:rPr>
            </w:pPr>
            <w:r>
              <w:rPr>
                <w:rFonts w:hint="eastAsia" w:ascii="仿宋_GB2312" w:hAnsi="仿宋_GB2312" w:eastAsia="仿宋_GB2312" w:cs="仿宋_GB2312"/>
                <w:bCs/>
                <w:sz w:val="20"/>
                <w:szCs w:val="20"/>
                <w:highlight w:val="none"/>
              </w:rPr>
              <w:t>投资概算控制率</w:t>
            </w:r>
          </w:p>
        </w:tc>
      </w:tr>
      <w:tr>
        <w:tblPrEx>
          <w:tblCellMar>
            <w:top w:w="0" w:type="dxa"/>
            <w:left w:w="108" w:type="dxa"/>
            <w:bottom w:w="0" w:type="dxa"/>
            <w:right w:w="108" w:type="dxa"/>
          </w:tblCellMar>
        </w:tblPrEx>
        <w:trPr>
          <w:trHeight w:val="0" w:hRule="atLeast"/>
          <w:jc w:val="center"/>
        </w:trPr>
        <w:tc>
          <w:tcPr>
            <w:tcW w:w="3354" w:type="dxa"/>
            <w:vMerge w:val="continue"/>
            <w:tcBorders>
              <w:top w:val="nil"/>
              <w:left w:val="single" w:color="auto" w:sz="4" w:space="0"/>
              <w:bottom w:val="single" w:color="auto" w:sz="4" w:space="0"/>
              <w:right w:val="single" w:color="auto" w:sz="4" w:space="0"/>
            </w:tcBorders>
            <w:noWrap w:val="0"/>
            <w:vAlign w:val="center"/>
          </w:tcPr>
          <w:p>
            <w:pPr>
              <w:widowControl/>
              <w:spacing w:line="360" w:lineRule="exact"/>
              <w:jc w:val="left"/>
              <w:rPr>
                <w:rFonts w:hint="eastAsia" w:ascii="仿宋_GB2312" w:hAnsi="仿宋_GB2312" w:eastAsia="仿宋_GB2312" w:cs="仿宋_GB2312"/>
                <w:sz w:val="20"/>
                <w:szCs w:val="20"/>
                <w:highlight w:val="none"/>
              </w:rPr>
            </w:pPr>
          </w:p>
        </w:tc>
        <w:tc>
          <w:tcPr>
            <w:tcW w:w="1189" w:type="dxa"/>
            <w:tcBorders>
              <w:top w:val="nil"/>
              <w:left w:val="nil"/>
              <w:bottom w:val="single" w:color="auto" w:sz="4" w:space="0"/>
              <w:right w:val="single" w:color="auto"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lang w:val="en-US" w:eastAsia="zh-CN"/>
              </w:rPr>
            </w:pPr>
            <w:r>
              <w:rPr>
                <w:rFonts w:hint="eastAsia" w:ascii="仿宋_GB2312" w:hAnsi="仿宋_GB2312" w:eastAsia="仿宋_GB2312" w:cs="仿宋_GB2312"/>
                <w:sz w:val="20"/>
                <w:szCs w:val="20"/>
                <w:highlight w:val="none"/>
              </w:rPr>
              <w:t>　</w:t>
            </w:r>
            <w:r>
              <w:rPr>
                <w:rFonts w:hint="eastAsia" w:ascii="仿宋_GB2312" w:hAnsi="仿宋_GB2312" w:eastAsia="仿宋_GB2312" w:cs="仿宋_GB2312"/>
                <w:sz w:val="20"/>
                <w:szCs w:val="20"/>
                <w:highlight w:val="none"/>
                <w:lang w:val="en-US" w:eastAsia="zh-CN"/>
              </w:rPr>
              <w:t>0</w:t>
            </w:r>
          </w:p>
        </w:tc>
        <w:tc>
          <w:tcPr>
            <w:tcW w:w="849" w:type="dxa"/>
            <w:tcBorders>
              <w:top w:val="nil"/>
              <w:left w:val="nil"/>
              <w:bottom w:val="single" w:color="auto" w:sz="4" w:space="0"/>
              <w:right w:val="single" w:color="auto" w:sz="4" w:space="0"/>
            </w:tcBorders>
            <w:noWrap w:val="0"/>
            <w:vAlign w:val="center"/>
          </w:tcPr>
          <w:p>
            <w:pPr>
              <w:widowControl/>
              <w:spacing w:line="360" w:lineRule="exact"/>
              <w:jc w:val="left"/>
              <w:rPr>
                <w:rFonts w:hint="eastAsia" w:ascii="仿宋_GB2312" w:hAnsi="仿宋_GB2312" w:eastAsia="仿宋_GB2312" w:cs="仿宋_GB2312"/>
                <w:sz w:val="20"/>
                <w:szCs w:val="20"/>
                <w:highlight w:val="none"/>
                <w:lang w:val="en-US" w:eastAsia="zh-CN"/>
              </w:rPr>
            </w:pPr>
            <w:r>
              <w:rPr>
                <w:rFonts w:hint="eastAsia" w:ascii="仿宋_GB2312" w:hAnsi="仿宋_GB2312" w:eastAsia="仿宋_GB2312" w:cs="仿宋_GB2312"/>
                <w:sz w:val="20"/>
                <w:szCs w:val="20"/>
                <w:highlight w:val="none"/>
              </w:rPr>
              <w:t>　</w:t>
            </w:r>
            <w:r>
              <w:rPr>
                <w:rFonts w:hint="eastAsia" w:ascii="仿宋_GB2312" w:hAnsi="仿宋_GB2312" w:eastAsia="仿宋_GB2312" w:cs="仿宋_GB2312"/>
                <w:sz w:val="20"/>
                <w:szCs w:val="20"/>
                <w:highlight w:val="none"/>
                <w:lang w:val="en-US" w:eastAsia="zh-CN"/>
              </w:rPr>
              <w:t>0</w:t>
            </w:r>
          </w:p>
        </w:tc>
        <w:tc>
          <w:tcPr>
            <w:tcW w:w="1129" w:type="dxa"/>
            <w:tcBorders>
              <w:top w:val="nil"/>
              <w:left w:val="nil"/>
              <w:bottom w:val="single" w:color="auto" w:sz="4" w:space="0"/>
              <w:right w:val="single" w:color="auto" w:sz="4" w:space="0"/>
            </w:tcBorders>
            <w:noWrap w:val="0"/>
            <w:vAlign w:val="center"/>
          </w:tcPr>
          <w:p>
            <w:pPr>
              <w:widowControl/>
              <w:spacing w:line="360" w:lineRule="exact"/>
              <w:jc w:val="left"/>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　</w:t>
            </w:r>
          </w:p>
        </w:tc>
        <w:tc>
          <w:tcPr>
            <w:tcW w:w="1111" w:type="dxa"/>
            <w:tcBorders>
              <w:top w:val="nil"/>
              <w:left w:val="nil"/>
              <w:bottom w:val="single" w:color="auto" w:sz="4" w:space="0"/>
              <w:right w:val="single" w:color="auto" w:sz="4" w:space="0"/>
            </w:tcBorders>
            <w:noWrap w:val="0"/>
            <w:vAlign w:val="center"/>
          </w:tcPr>
          <w:p>
            <w:pPr>
              <w:widowControl/>
              <w:spacing w:line="360" w:lineRule="exact"/>
              <w:jc w:val="left"/>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　</w:t>
            </w:r>
          </w:p>
        </w:tc>
        <w:tc>
          <w:tcPr>
            <w:tcW w:w="1081" w:type="dxa"/>
            <w:tcBorders>
              <w:top w:val="nil"/>
              <w:left w:val="nil"/>
              <w:bottom w:val="single" w:color="auto" w:sz="4" w:space="0"/>
              <w:right w:val="single" w:color="auto" w:sz="4" w:space="0"/>
            </w:tcBorders>
            <w:noWrap w:val="0"/>
            <w:vAlign w:val="center"/>
          </w:tcPr>
          <w:p>
            <w:pPr>
              <w:widowControl/>
              <w:spacing w:line="360" w:lineRule="exact"/>
              <w:jc w:val="left"/>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　</w:t>
            </w:r>
          </w:p>
        </w:tc>
        <w:tc>
          <w:tcPr>
            <w:tcW w:w="960" w:type="dxa"/>
            <w:tcBorders>
              <w:top w:val="nil"/>
              <w:left w:val="nil"/>
              <w:bottom w:val="single" w:color="auto" w:sz="4" w:space="0"/>
              <w:right w:val="single" w:color="auto" w:sz="4" w:space="0"/>
            </w:tcBorders>
            <w:noWrap w:val="0"/>
            <w:vAlign w:val="center"/>
          </w:tcPr>
          <w:p>
            <w:pPr>
              <w:widowControl/>
              <w:spacing w:line="360" w:lineRule="exact"/>
              <w:jc w:val="left"/>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　</w:t>
            </w:r>
          </w:p>
        </w:tc>
      </w:tr>
      <w:tr>
        <w:tblPrEx>
          <w:tblCellMar>
            <w:top w:w="0" w:type="dxa"/>
            <w:left w:w="108" w:type="dxa"/>
            <w:bottom w:w="0" w:type="dxa"/>
            <w:right w:w="108" w:type="dxa"/>
          </w:tblCellMar>
        </w:tblPrEx>
        <w:trPr>
          <w:trHeight w:val="0" w:hRule="atLeast"/>
          <w:jc w:val="center"/>
        </w:trPr>
        <w:tc>
          <w:tcPr>
            <w:tcW w:w="3354" w:type="dxa"/>
            <w:tcBorders>
              <w:top w:val="nil"/>
              <w:left w:val="single" w:color="auto" w:sz="4" w:space="0"/>
              <w:bottom w:val="single" w:color="auto" w:sz="4" w:space="0"/>
              <w:right w:val="single" w:color="auto"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厉行节约保障措施</w:t>
            </w:r>
          </w:p>
        </w:tc>
        <w:tc>
          <w:tcPr>
            <w:tcW w:w="6319" w:type="dxa"/>
            <w:gridSpan w:val="6"/>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　</w:t>
            </w:r>
          </w:p>
        </w:tc>
      </w:tr>
    </w:tbl>
    <w:p>
      <w:pPr>
        <w:widowControl/>
        <w:spacing w:afterLines="0" w:line="400" w:lineRule="exact"/>
        <w:jc w:val="left"/>
        <w:rPr>
          <w:rFonts w:hint="default" w:ascii="Times New Roman" w:hAnsi="Times New Roman" w:eastAsia="仿宋_GB2312" w:cs="Times New Roman"/>
          <w:sz w:val="22"/>
          <w:highlight w:val="none"/>
        </w:rPr>
      </w:pPr>
      <w:r>
        <w:rPr>
          <w:rFonts w:hint="default" w:ascii="Times New Roman" w:hAnsi="Times New Roman" w:eastAsia="仿宋_GB2312" w:cs="Times New Roman"/>
          <w:sz w:val="22"/>
          <w:highlight w:val="none"/>
        </w:rPr>
        <w:t>说明：“项目支出”需要填报基本支出以外的所有项目支出情况，“公用经费”填报基本支出中的一般商品和服务支出。</w:t>
      </w:r>
    </w:p>
    <w:p>
      <w:pPr>
        <w:widowControl/>
        <w:spacing w:afterLines="0" w:line="400" w:lineRule="exact"/>
        <w:jc w:val="left"/>
        <w:rPr>
          <w:rFonts w:hint="default" w:ascii="Times New Roman" w:hAnsi="Times New Roman" w:eastAsia="仿宋_GB2312" w:cs="Times New Roman"/>
          <w:sz w:val="22"/>
          <w:highlight w:val="none"/>
        </w:rPr>
      </w:pPr>
    </w:p>
    <w:p>
      <w:pPr>
        <w:widowControl/>
        <w:spacing w:after="0" w:afterLines="0" w:line="400" w:lineRule="exact"/>
        <w:jc w:val="left"/>
        <w:rPr>
          <w:rFonts w:hint="eastAsia" w:ascii="Times New Roman" w:hAnsi="Times New Roman" w:eastAsia="仿宋_GB2312" w:cs="Times New Roman"/>
          <w:sz w:val="22"/>
          <w:highlight w:val="none"/>
          <w:lang w:val="en-US" w:eastAsia="zh-CN"/>
        </w:rPr>
      </w:pPr>
      <w:r>
        <w:rPr>
          <w:rFonts w:hint="default" w:ascii="Times New Roman" w:hAnsi="Times New Roman" w:eastAsia="仿宋_GB2312" w:cs="Times New Roman"/>
          <w:sz w:val="22"/>
          <w:highlight w:val="none"/>
        </w:rPr>
        <w:t>填表人：</w:t>
      </w:r>
      <w:r>
        <w:rPr>
          <w:rFonts w:hint="eastAsia" w:ascii="Times New Roman" w:hAnsi="Times New Roman" w:eastAsia="仿宋_GB2312" w:cs="Times New Roman"/>
          <w:sz w:val="22"/>
          <w:highlight w:val="none"/>
          <w:lang w:eastAsia="zh-CN"/>
        </w:rPr>
        <w:t>万小会</w:t>
      </w:r>
      <w:r>
        <w:rPr>
          <w:rFonts w:hint="default" w:ascii="Times New Roman" w:hAnsi="Times New Roman" w:eastAsia="仿宋_GB2312" w:cs="Times New Roman"/>
          <w:sz w:val="22"/>
          <w:highlight w:val="none"/>
        </w:rPr>
        <w:t xml:space="preserve">  </w:t>
      </w:r>
      <w:r>
        <w:rPr>
          <w:rFonts w:hint="eastAsia" w:ascii="Times New Roman" w:hAnsi="Times New Roman" w:eastAsia="仿宋_GB2312" w:cs="Times New Roman"/>
          <w:sz w:val="22"/>
          <w:highlight w:val="none"/>
          <w:lang w:val="en-US" w:eastAsia="zh-CN"/>
        </w:rPr>
        <w:t xml:space="preserve">       </w:t>
      </w:r>
      <w:r>
        <w:rPr>
          <w:rFonts w:hint="default" w:ascii="Times New Roman" w:hAnsi="Times New Roman" w:eastAsia="仿宋_GB2312" w:cs="Times New Roman"/>
          <w:sz w:val="22"/>
          <w:highlight w:val="none"/>
        </w:rPr>
        <w:t>填报日期：</w:t>
      </w:r>
      <w:r>
        <w:rPr>
          <w:rFonts w:hint="eastAsia" w:ascii="Times New Roman" w:hAnsi="Times New Roman" w:eastAsia="仿宋_GB2312" w:cs="Times New Roman"/>
          <w:sz w:val="22"/>
          <w:highlight w:val="none"/>
          <w:lang w:val="en-US" w:eastAsia="zh-CN"/>
        </w:rPr>
        <w:t>2024年6月20日</w:t>
      </w:r>
      <w:r>
        <w:rPr>
          <w:rFonts w:hint="default" w:ascii="Times New Roman" w:hAnsi="Times New Roman" w:eastAsia="仿宋_GB2312" w:cs="Times New Roman"/>
          <w:sz w:val="22"/>
          <w:highlight w:val="none"/>
        </w:rPr>
        <w:t xml:space="preserve"> </w:t>
      </w:r>
      <w:r>
        <w:rPr>
          <w:rFonts w:hint="eastAsia" w:ascii="Times New Roman" w:hAnsi="Times New Roman" w:eastAsia="仿宋_GB2312" w:cs="Times New Roman"/>
          <w:sz w:val="22"/>
          <w:highlight w:val="none"/>
          <w:lang w:val="en-US" w:eastAsia="zh-CN"/>
        </w:rPr>
        <w:t xml:space="preserve">      </w:t>
      </w:r>
      <w:r>
        <w:rPr>
          <w:rFonts w:hint="default" w:ascii="Times New Roman" w:hAnsi="Times New Roman" w:eastAsia="仿宋_GB2312" w:cs="Times New Roman"/>
          <w:sz w:val="22"/>
          <w:highlight w:val="none"/>
        </w:rPr>
        <w:t>联系电话：</w:t>
      </w:r>
      <w:r>
        <w:rPr>
          <w:rFonts w:hint="eastAsia" w:ascii="Times New Roman" w:hAnsi="Times New Roman" w:eastAsia="仿宋_GB2312" w:cs="Times New Roman"/>
          <w:sz w:val="22"/>
          <w:highlight w:val="none"/>
          <w:lang w:val="en-US" w:eastAsia="zh-CN"/>
        </w:rPr>
        <w:t>13975096846</w:t>
      </w:r>
    </w:p>
    <w:p>
      <w:pPr>
        <w:widowControl/>
        <w:spacing w:after="0" w:afterLines="0" w:line="400" w:lineRule="exact"/>
        <w:jc w:val="left"/>
        <w:rPr>
          <w:rFonts w:hint="eastAsia" w:ascii="黑体" w:hAnsi="黑体" w:eastAsia="黑体" w:cs="黑体"/>
          <w:sz w:val="32"/>
          <w:szCs w:val="32"/>
          <w:highlight w:val="none"/>
          <w:lang w:eastAsia="zh-CN"/>
        </w:rPr>
      </w:pPr>
      <w:r>
        <w:rPr>
          <w:rFonts w:hint="default" w:ascii="Times New Roman" w:hAnsi="Times New Roman" w:eastAsia="仿宋_GB2312" w:cs="Times New Roman"/>
          <w:sz w:val="22"/>
          <w:highlight w:val="none"/>
        </w:rPr>
        <w:t>单位负责人签字：</w:t>
      </w:r>
      <w:r>
        <w:rPr>
          <w:rFonts w:hint="default" w:ascii="Times New Roman" w:hAnsi="Times New Roman" w:eastAsia="仿宋_GB2312" w:cs="Times New Roman"/>
          <w:sz w:val="22"/>
          <w:highlight w:val="none"/>
        </w:rPr>
        <w:br w:type="page"/>
      </w:r>
      <w:r>
        <w:rPr>
          <w:rFonts w:hint="eastAsia" w:ascii="黑体" w:hAnsi="黑体" w:eastAsia="黑体" w:cs="黑体"/>
          <w:sz w:val="32"/>
          <w:szCs w:val="32"/>
          <w:highlight w:val="none"/>
        </w:rPr>
        <w:t>附件</w:t>
      </w:r>
      <w:r>
        <w:rPr>
          <w:rFonts w:hint="eastAsia" w:ascii="黑体" w:hAnsi="黑体" w:eastAsia="黑体" w:cs="黑体"/>
          <w:sz w:val="32"/>
          <w:szCs w:val="32"/>
          <w:highlight w:val="none"/>
          <w:lang w:val="en-US" w:eastAsia="zh-CN"/>
        </w:rPr>
        <w:t>2</w:t>
      </w:r>
    </w:p>
    <w:p>
      <w:pPr>
        <w:widowControl/>
        <w:spacing w:after="120" w:afterLines="50"/>
        <w:jc w:val="center"/>
        <w:rPr>
          <w:rFonts w:hint="eastAsia" w:ascii="方正小标宋简体" w:hAnsi="方正小标宋简体" w:eastAsia="方正小标宋简体" w:cs="方正小标宋简体"/>
          <w:color w:val="000000"/>
          <w:sz w:val="36"/>
          <w:szCs w:val="36"/>
          <w:highlight w:val="none"/>
        </w:rPr>
      </w:pPr>
      <w:r>
        <w:rPr>
          <w:rFonts w:hint="eastAsia" w:ascii="方正小标宋简体" w:hAnsi="方正小标宋简体" w:eastAsia="方正小标宋简体" w:cs="方正小标宋简体"/>
          <w:color w:val="000000"/>
          <w:sz w:val="36"/>
          <w:szCs w:val="36"/>
          <w:highlight w:val="none"/>
        </w:rPr>
        <w:t>202</w:t>
      </w:r>
      <w:r>
        <w:rPr>
          <w:rFonts w:hint="eastAsia" w:ascii="方正小标宋简体" w:hAnsi="方正小标宋简体" w:eastAsia="方正小标宋简体" w:cs="方正小标宋简体"/>
          <w:color w:val="000000"/>
          <w:sz w:val="36"/>
          <w:szCs w:val="36"/>
          <w:highlight w:val="none"/>
          <w:lang w:val="en-US" w:eastAsia="zh-CN"/>
        </w:rPr>
        <w:t>3</w:t>
      </w:r>
      <w:r>
        <w:rPr>
          <w:rFonts w:hint="eastAsia" w:ascii="方正小标宋简体" w:hAnsi="方正小标宋简体" w:eastAsia="方正小标宋简体" w:cs="方正小标宋简体"/>
          <w:color w:val="000000"/>
          <w:sz w:val="36"/>
          <w:szCs w:val="36"/>
          <w:highlight w:val="none"/>
        </w:rPr>
        <w:t>年度部门整体支出绩效自评表</w:t>
      </w:r>
    </w:p>
    <w:tbl>
      <w:tblPr>
        <w:tblStyle w:val="6"/>
        <w:tblW w:w="10079" w:type="dxa"/>
        <w:jc w:val="center"/>
        <w:tblLayout w:type="autofit"/>
        <w:tblCellMar>
          <w:top w:w="0" w:type="dxa"/>
          <w:left w:w="108" w:type="dxa"/>
          <w:bottom w:w="0" w:type="dxa"/>
          <w:right w:w="108" w:type="dxa"/>
        </w:tblCellMar>
      </w:tblPr>
      <w:tblGrid>
        <w:gridCol w:w="1068"/>
        <w:gridCol w:w="1068"/>
        <w:gridCol w:w="1018"/>
        <w:gridCol w:w="1608"/>
        <w:gridCol w:w="1354"/>
        <w:gridCol w:w="916"/>
        <w:gridCol w:w="711"/>
        <w:gridCol w:w="916"/>
        <w:gridCol w:w="1420"/>
      </w:tblGrid>
      <w:tr>
        <w:tblPrEx>
          <w:tblCellMar>
            <w:top w:w="0" w:type="dxa"/>
            <w:left w:w="108" w:type="dxa"/>
            <w:bottom w:w="0" w:type="dxa"/>
            <w:right w:w="108" w:type="dxa"/>
          </w:tblCellMar>
        </w:tblPrEx>
        <w:trPr>
          <w:jc w:val="center"/>
        </w:trPr>
        <w:tc>
          <w:tcPr>
            <w:tcW w:w="1068" w:type="dxa"/>
            <w:tcBorders>
              <w:top w:val="single" w:color="auto" w:sz="4" w:space="0"/>
              <w:left w:val="single" w:color="auto" w:sz="4" w:space="0"/>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lang w:eastAsia="zh-CN"/>
              </w:rPr>
              <w:t>市</w:t>
            </w:r>
            <w:r>
              <w:rPr>
                <w:rFonts w:hint="eastAsia" w:ascii="仿宋_GB2312" w:hAnsi="仿宋_GB2312" w:eastAsia="仿宋_GB2312" w:cs="仿宋_GB2312"/>
                <w:color w:val="000000"/>
                <w:sz w:val="20"/>
                <w:szCs w:val="20"/>
                <w:highlight w:val="none"/>
              </w:rPr>
              <w:t>级预算部门名称</w:t>
            </w:r>
          </w:p>
        </w:tc>
        <w:tc>
          <w:tcPr>
            <w:tcW w:w="9011" w:type="dxa"/>
            <w:gridSpan w:val="8"/>
            <w:tcBorders>
              <w:top w:val="single" w:color="auto" w:sz="4" w:space="0"/>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lang w:eastAsia="zh-CN"/>
              </w:rPr>
              <w:t>岳阳市君山区市场监督管理局</w:t>
            </w:r>
            <w:r>
              <w:rPr>
                <w:rFonts w:hint="eastAsia" w:ascii="仿宋_GB2312" w:hAnsi="仿宋_GB2312" w:eastAsia="仿宋_GB2312" w:cs="仿宋_GB2312"/>
                <w:color w:val="000000"/>
                <w:sz w:val="20"/>
                <w:szCs w:val="20"/>
                <w:highlight w:val="none"/>
              </w:rPr>
              <w:t>　</w:t>
            </w:r>
          </w:p>
        </w:tc>
      </w:tr>
      <w:tr>
        <w:tblPrEx>
          <w:tblCellMar>
            <w:top w:w="0" w:type="dxa"/>
            <w:left w:w="108" w:type="dxa"/>
            <w:bottom w:w="0" w:type="dxa"/>
            <w:right w:w="108" w:type="dxa"/>
          </w:tblCellMar>
        </w:tblPrEx>
        <w:trPr>
          <w:jc w:val="center"/>
        </w:trPr>
        <w:tc>
          <w:tcPr>
            <w:tcW w:w="1068" w:type="dxa"/>
            <w:vMerge w:val="restart"/>
            <w:tcBorders>
              <w:top w:val="nil"/>
              <w:left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年度预</w:t>
            </w:r>
          </w:p>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算申请</w:t>
            </w:r>
            <w:r>
              <w:rPr>
                <w:rFonts w:hint="eastAsia" w:ascii="仿宋_GB2312" w:hAnsi="仿宋_GB2312" w:eastAsia="仿宋_GB2312" w:cs="仿宋_GB2312"/>
                <w:color w:val="000000"/>
                <w:sz w:val="20"/>
                <w:szCs w:val="20"/>
                <w:highlight w:val="none"/>
              </w:rPr>
              <w:br w:type="textWrapping"/>
            </w:r>
            <w:r>
              <w:rPr>
                <w:rFonts w:hint="eastAsia" w:ascii="仿宋_GB2312" w:hAnsi="仿宋_GB2312" w:eastAsia="仿宋_GB2312" w:cs="仿宋_GB2312"/>
                <w:color w:val="000000"/>
                <w:sz w:val="20"/>
                <w:szCs w:val="20"/>
                <w:highlight w:val="none"/>
              </w:rPr>
              <w:t>（万元）</w:t>
            </w:r>
          </w:p>
        </w:tc>
        <w:tc>
          <w:tcPr>
            <w:tcW w:w="2086" w:type="dxa"/>
            <w:gridSpan w:val="2"/>
            <w:tcBorders>
              <w:top w:val="nil"/>
              <w:left w:val="nil"/>
              <w:bottom w:val="single" w:color="auto" w:sz="4" w:space="0"/>
              <w:right w:val="single" w:color="auto" w:sz="4" w:space="0"/>
            </w:tcBorders>
            <w:noWrap w:val="0"/>
            <w:vAlign w:val="center"/>
          </w:tcPr>
          <w:p>
            <w:pPr>
              <w:spacing w:line="240" w:lineRule="exact"/>
              <w:jc w:val="center"/>
              <w:rPr>
                <w:rFonts w:hint="eastAsia" w:ascii="仿宋_GB2312" w:hAnsi="仿宋_GB2312" w:eastAsia="仿宋_GB2312" w:cs="仿宋_GB2312"/>
                <w:sz w:val="20"/>
                <w:szCs w:val="20"/>
                <w:highlight w:val="none"/>
              </w:rPr>
            </w:pPr>
          </w:p>
        </w:tc>
        <w:tc>
          <w:tcPr>
            <w:tcW w:w="1608" w:type="dxa"/>
            <w:tcBorders>
              <w:top w:val="nil"/>
              <w:left w:val="nil"/>
              <w:bottom w:val="single" w:color="auto" w:sz="4" w:space="0"/>
              <w:right w:val="single" w:color="auto" w:sz="4" w:space="0"/>
            </w:tcBorders>
            <w:noWrap w:val="0"/>
            <w:vAlign w:val="center"/>
          </w:tcPr>
          <w:p>
            <w:pPr>
              <w:spacing w:line="24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年初预算数</w:t>
            </w:r>
          </w:p>
        </w:tc>
        <w:tc>
          <w:tcPr>
            <w:tcW w:w="1354" w:type="dxa"/>
            <w:tcBorders>
              <w:top w:val="nil"/>
              <w:left w:val="nil"/>
              <w:bottom w:val="single" w:color="auto" w:sz="4" w:space="0"/>
              <w:right w:val="single" w:color="auto" w:sz="4" w:space="0"/>
            </w:tcBorders>
            <w:noWrap w:val="0"/>
            <w:vAlign w:val="center"/>
          </w:tcPr>
          <w:p>
            <w:pPr>
              <w:spacing w:line="24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全年预算数</w:t>
            </w:r>
          </w:p>
        </w:tc>
        <w:tc>
          <w:tcPr>
            <w:tcW w:w="916" w:type="dxa"/>
            <w:tcBorders>
              <w:top w:val="nil"/>
              <w:left w:val="nil"/>
              <w:bottom w:val="single" w:color="auto" w:sz="4" w:space="0"/>
              <w:right w:val="single" w:color="auto" w:sz="4" w:space="0"/>
            </w:tcBorders>
            <w:noWrap w:val="0"/>
            <w:vAlign w:val="center"/>
          </w:tcPr>
          <w:p>
            <w:pPr>
              <w:spacing w:line="24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全年执行数</w:t>
            </w:r>
          </w:p>
        </w:tc>
        <w:tc>
          <w:tcPr>
            <w:tcW w:w="711" w:type="dxa"/>
            <w:tcBorders>
              <w:top w:val="nil"/>
              <w:left w:val="nil"/>
              <w:bottom w:val="single" w:color="auto" w:sz="4" w:space="0"/>
              <w:right w:val="single" w:color="auto" w:sz="4" w:space="0"/>
            </w:tcBorders>
            <w:noWrap w:val="0"/>
            <w:vAlign w:val="center"/>
          </w:tcPr>
          <w:p>
            <w:pPr>
              <w:spacing w:line="24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分值</w:t>
            </w:r>
          </w:p>
        </w:tc>
        <w:tc>
          <w:tcPr>
            <w:tcW w:w="916" w:type="dxa"/>
            <w:tcBorders>
              <w:top w:val="nil"/>
              <w:left w:val="nil"/>
              <w:bottom w:val="single" w:color="auto" w:sz="4" w:space="0"/>
              <w:right w:val="single" w:color="auto" w:sz="4" w:space="0"/>
            </w:tcBorders>
            <w:noWrap w:val="0"/>
            <w:vAlign w:val="center"/>
          </w:tcPr>
          <w:p>
            <w:pPr>
              <w:spacing w:line="24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执行率</w:t>
            </w:r>
          </w:p>
        </w:tc>
        <w:tc>
          <w:tcPr>
            <w:tcW w:w="1420" w:type="dxa"/>
            <w:tcBorders>
              <w:top w:val="nil"/>
              <w:left w:val="nil"/>
              <w:bottom w:val="single" w:color="auto" w:sz="4" w:space="0"/>
              <w:right w:val="single" w:color="auto" w:sz="4" w:space="0"/>
            </w:tcBorders>
            <w:noWrap w:val="0"/>
            <w:vAlign w:val="center"/>
          </w:tcPr>
          <w:p>
            <w:pPr>
              <w:spacing w:line="24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得分</w:t>
            </w:r>
          </w:p>
        </w:tc>
      </w:tr>
      <w:tr>
        <w:tblPrEx>
          <w:tblCellMar>
            <w:top w:w="0" w:type="dxa"/>
            <w:left w:w="108" w:type="dxa"/>
            <w:bottom w:w="0" w:type="dxa"/>
            <w:right w:w="108" w:type="dxa"/>
          </w:tblCellMar>
        </w:tblPrEx>
        <w:trPr>
          <w:jc w:val="center"/>
        </w:trPr>
        <w:tc>
          <w:tcPr>
            <w:tcW w:w="1068" w:type="dxa"/>
            <w:vMerge w:val="continue"/>
            <w:tcBorders>
              <w:top w:val="nil"/>
              <w:left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p>
        </w:tc>
        <w:tc>
          <w:tcPr>
            <w:tcW w:w="2086" w:type="dxa"/>
            <w:gridSpan w:val="2"/>
            <w:tcBorders>
              <w:top w:val="nil"/>
              <w:left w:val="nil"/>
              <w:bottom w:val="single" w:color="auto" w:sz="4" w:space="0"/>
              <w:right w:val="single" w:color="auto" w:sz="4" w:space="0"/>
            </w:tcBorders>
            <w:noWrap w:val="0"/>
            <w:vAlign w:val="center"/>
          </w:tcPr>
          <w:p>
            <w:pPr>
              <w:spacing w:line="24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color w:val="000000"/>
                <w:sz w:val="20"/>
                <w:szCs w:val="20"/>
                <w:highlight w:val="none"/>
              </w:rPr>
              <w:t>年度资金总额</w:t>
            </w:r>
          </w:p>
        </w:tc>
        <w:tc>
          <w:tcPr>
            <w:tcW w:w="1608" w:type="dxa"/>
            <w:tcBorders>
              <w:top w:val="nil"/>
              <w:left w:val="nil"/>
              <w:bottom w:val="single" w:color="auto" w:sz="4" w:space="0"/>
              <w:right w:val="single" w:color="auto" w:sz="4" w:space="0"/>
            </w:tcBorders>
            <w:noWrap w:val="0"/>
            <w:vAlign w:val="center"/>
          </w:tcPr>
          <w:p>
            <w:pPr>
              <w:spacing w:line="240" w:lineRule="exact"/>
              <w:jc w:val="center"/>
              <w:rPr>
                <w:rFonts w:hint="default" w:ascii="仿宋_GB2312" w:hAnsi="仿宋_GB2312" w:eastAsia="仿宋_GB2312" w:cs="仿宋_GB2312"/>
                <w:sz w:val="20"/>
                <w:szCs w:val="20"/>
                <w:highlight w:val="none"/>
                <w:lang w:val="en-US" w:eastAsia="zh-CN"/>
              </w:rPr>
            </w:pPr>
            <w:r>
              <w:rPr>
                <w:rFonts w:hint="eastAsia" w:ascii="仿宋_GB2312" w:hAnsi="仿宋_GB2312" w:eastAsia="仿宋_GB2312" w:cs="仿宋_GB2312"/>
                <w:sz w:val="20"/>
                <w:szCs w:val="20"/>
                <w:highlight w:val="none"/>
                <w:lang w:val="en-US" w:eastAsia="zh-CN"/>
              </w:rPr>
              <w:t>1630.79</w:t>
            </w:r>
          </w:p>
        </w:tc>
        <w:tc>
          <w:tcPr>
            <w:tcW w:w="1354" w:type="dxa"/>
            <w:tcBorders>
              <w:top w:val="nil"/>
              <w:left w:val="nil"/>
              <w:bottom w:val="single" w:color="auto" w:sz="4" w:space="0"/>
              <w:right w:val="single" w:color="auto" w:sz="4" w:space="0"/>
            </w:tcBorders>
            <w:noWrap w:val="0"/>
            <w:vAlign w:val="center"/>
          </w:tcPr>
          <w:p>
            <w:pPr>
              <w:spacing w:line="240" w:lineRule="exact"/>
              <w:jc w:val="center"/>
              <w:rPr>
                <w:rFonts w:hint="default" w:ascii="仿宋_GB2312" w:hAnsi="仿宋_GB2312" w:eastAsia="仿宋_GB2312" w:cs="仿宋_GB2312"/>
                <w:sz w:val="20"/>
                <w:szCs w:val="20"/>
                <w:highlight w:val="none"/>
                <w:lang w:val="en-US" w:eastAsia="zh-CN"/>
              </w:rPr>
            </w:pPr>
            <w:r>
              <w:rPr>
                <w:rFonts w:hint="eastAsia" w:ascii="仿宋_GB2312" w:hAnsi="仿宋_GB2312" w:eastAsia="仿宋_GB2312" w:cs="仿宋_GB2312"/>
                <w:sz w:val="20"/>
                <w:szCs w:val="20"/>
                <w:highlight w:val="none"/>
                <w:lang w:val="en-US" w:eastAsia="zh-CN"/>
              </w:rPr>
              <w:t>2161.58</w:t>
            </w:r>
          </w:p>
        </w:tc>
        <w:tc>
          <w:tcPr>
            <w:tcW w:w="916" w:type="dxa"/>
            <w:tcBorders>
              <w:top w:val="nil"/>
              <w:left w:val="nil"/>
              <w:bottom w:val="single" w:color="auto" w:sz="4" w:space="0"/>
              <w:right w:val="single" w:color="auto" w:sz="4" w:space="0"/>
            </w:tcBorders>
            <w:noWrap w:val="0"/>
            <w:vAlign w:val="center"/>
          </w:tcPr>
          <w:p>
            <w:pPr>
              <w:spacing w:line="240" w:lineRule="exact"/>
              <w:jc w:val="center"/>
              <w:rPr>
                <w:rFonts w:hint="default" w:ascii="仿宋_GB2312" w:hAnsi="仿宋_GB2312" w:eastAsia="仿宋_GB2312" w:cs="仿宋_GB2312"/>
                <w:sz w:val="20"/>
                <w:szCs w:val="20"/>
                <w:highlight w:val="none"/>
                <w:lang w:val="en-US" w:eastAsia="zh-CN"/>
              </w:rPr>
            </w:pPr>
            <w:r>
              <w:rPr>
                <w:rFonts w:hint="eastAsia" w:ascii="仿宋_GB2312" w:hAnsi="仿宋_GB2312" w:eastAsia="仿宋_GB2312" w:cs="仿宋_GB2312"/>
                <w:sz w:val="20"/>
                <w:szCs w:val="20"/>
                <w:highlight w:val="none"/>
                <w:lang w:val="en-US" w:eastAsia="zh-CN"/>
              </w:rPr>
              <w:t>2161.58</w:t>
            </w:r>
          </w:p>
        </w:tc>
        <w:tc>
          <w:tcPr>
            <w:tcW w:w="711" w:type="dxa"/>
            <w:tcBorders>
              <w:top w:val="nil"/>
              <w:left w:val="nil"/>
              <w:bottom w:val="single" w:color="auto" w:sz="4" w:space="0"/>
              <w:right w:val="single" w:color="auto" w:sz="4" w:space="0"/>
            </w:tcBorders>
            <w:noWrap w:val="0"/>
            <w:vAlign w:val="center"/>
          </w:tcPr>
          <w:p>
            <w:pPr>
              <w:spacing w:line="24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10</w:t>
            </w:r>
          </w:p>
        </w:tc>
        <w:tc>
          <w:tcPr>
            <w:tcW w:w="916" w:type="dxa"/>
            <w:tcBorders>
              <w:top w:val="nil"/>
              <w:left w:val="nil"/>
              <w:bottom w:val="single" w:color="auto" w:sz="4" w:space="0"/>
              <w:right w:val="single" w:color="auto" w:sz="4" w:space="0"/>
            </w:tcBorders>
            <w:noWrap w:val="0"/>
            <w:vAlign w:val="center"/>
          </w:tcPr>
          <w:p>
            <w:pPr>
              <w:spacing w:line="240" w:lineRule="exact"/>
              <w:jc w:val="center"/>
              <w:rPr>
                <w:rFonts w:hint="default" w:ascii="仿宋_GB2312" w:hAnsi="仿宋_GB2312" w:eastAsia="仿宋_GB2312" w:cs="仿宋_GB2312"/>
                <w:sz w:val="20"/>
                <w:szCs w:val="20"/>
                <w:highlight w:val="none"/>
                <w:lang w:val="en-US" w:eastAsia="zh-CN"/>
              </w:rPr>
            </w:pPr>
            <w:r>
              <w:rPr>
                <w:rFonts w:hint="eastAsia" w:ascii="仿宋_GB2312" w:hAnsi="仿宋_GB2312" w:eastAsia="仿宋_GB2312" w:cs="仿宋_GB2312"/>
                <w:sz w:val="20"/>
                <w:szCs w:val="20"/>
                <w:highlight w:val="none"/>
                <w:lang w:val="en-US" w:eastAsia="zh-CN"/>
              </w:rPr>
              <w:t>100%</w:t>
            </w:r>
          </w:p>
        </w:tc>
        <w:tc>
          <w:tcPr>
            <w:tcW w:w="1420" w:type="dxa"/>
            <w:tcBorders>
              <w:top w:val="nil"/>
              <w:left w:val="nil"/>
              <w:bottom w:val="single" w:color="auto" w:sz="4" w:space="0"/>
              <w:right w:val="single" w:color="auto" w:sz="4" w:space="0"/>
            </w:tcBorders>
            <w:noWrap w:val="0"/>
            <w:vAlign w:val="center"/>
          </w:tcPr>
          <w:p>
            <w:pPr>
              <w:spacing w:line="240" w:lineRule="exact"/>
              <w:jc w:val="center"/>
              <w:rPr>
                <w:rFonts w:hint="default" w:ascii="仿宋_GB2312" w:hAnsi="仿宋_GB2312" w:eastAsia="仿宋_GB2312" w:cs="仿宋_GB2312"/>
                <w:sz w:val="20"/>
                <w:szCs w:val="20"/>
                <w:highlight w:val="none"/>
                <w:lang w:val="en-US" w:eastAsia="zh-CN"/>
              </w:rPr>
            </w:pPr>
            <w:r>
              <w:rPr>
                <w:rFonts w:hint="eastAsia" w:ascii="仿宋_GB2312" w:hAnsi="仿宋_GB2312" w:eastAsia="仿宋_GB2312" w:cs="仿宋_GB2312"/>
                <w:sz w:val="20"/>
                <w:szCs w:val="20"/>
                <w:highlight w:val="none"/>
                <w:lang w:val="en-US" w:eastAsia="zh-CN"/>
              </w:rPr>
              <w:t>10</w:t>
            </w:r>
          </w:p>
        </w:tc>
      </w:tr>
      <w:tr>
        <w:tblPrEx>
          <w:tblCellMar>
            <w:top w:w="0" w:type="dxa"/>
            <w:left w:w="108" w:type="dxa"/>
            <w:bottom w:w="0" w:type="dxa"/>
            <w:right w:w="108" w:type="dxa"/>
          </w:tblCellMar>
        </w:tblPrEx>
        <w:trPr>
          <w:jc w:val="center"/>
        </w:trPr>
        <w:tc>
          <w:tcPr>
            <w:tcW w:w="1068" w:type="dxa"/>
            <w:vMerge w:val="continue"/>
            <w:tcBorders>
              <w:left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p>
        </w:tc>
        <w:tc>
          <w:tcPr>
            <w:tcW w:w="5048" w:type="dxa"/>
            <w:gridSpan w:val="4"/>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按收入性质分：</w:t>
            </w:r>
          </w:p>
        </w:tc>
        <w:tc>
          <w:tcPr>
            <w:tcW w:w="3963" w:type="dxa"/>
            <w:gridSpan w:val="4"/>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按支出性质分：</w:t>
            </w:r>
          </w:p>
        </w:tc>
      </w:tr>
      <w:tr>
        <w:tblPrEx>
          <w:tblCellMar>
            <w:top w:w="0" w:type="dxa"/>
            <w:left w:w="108" w:type="dxa"/>
            <w:bottom w:w="0" w:type="dxa"/>
            <w:right w:w="108" w:type="dxa"/>
          </w:tblCellMar>
        </w:tblPrEx>
        <w:trPr>
          <w:jc w:val="center"/>
        </w:trPr>
        <w:tc>
          <w:tcPr>
            <w:tcW w:w="1068" w:type="dxa"/>
            <w:vMerge w:val="continue"/>
            <w:tcBorders>
              <w:left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p>
        </w:tc>
        <w:tc>
          <w:tcPr>
            <w:tcW w:w="5048" w:type="dxa"/>
            <w:gridSpan w:val="4"/>
            <w:tcBorders>
              <w:top w:val="nil"/>
              <w:left w:val="nil"/>
              <w:bottom w:val="single" w:color="auto" w:sz="4" w:space="0"/>
              <w:right w:val="single" w:color="auto" w:sz="4" w:space="0"/>
            </w:tcBorders>
            <w:noWrap w:val="0"/>
            <w:vAlign w:val="center"/>
          </w:tcPr>
          <w:p>
            <w:pPr>
              <w:widowControl/>
              <w:spacing w:line="240" w:lineRule="exact"/>
              <w:jc w:val="left"/>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rPr>
              <w:t xml:space="preserve">  其中：  一般公共预算：</w:t>
            </w:r>
            <w:r>
              <w:rPr>
                <w:rFonts w:hint="eastAsia" w:ascii="仿宋_GB2312" w:hAnsi="仿宋_GB2312" w:eastAsia="仿宋_GB2312" w:cs="仿宋_GB2312"/>
                <w:color w:val="000000"/>
                <w:sz w:val="20"/>
                <w:szCs w:val="20"/>
                <w:highlight w:val="none"/>
                <w:lang w:val="en-US" w:eastAsia="zh-CN"/>
              </w:rPr>
              <w:t>2097.33</w:t>
            </w:r>
          </w:p>
        </w:tc>
        <w:tc>
          <w:tcPr>
            <w:tcW w:w="3963" w:type="dxa"/>
            <w:gridSpan w:val="4"/>
            <w:tcBorders>
              <w:top w:val="nil"/>
              <w:left w:val="nil"/>
              <w:bottom w:val="single" w:color="auto" w:sz="4" w:space="0"/>
              <w:right w:val="single" w:color="auto" w:sz="4" w:space="0"/>
            </w:tcBorders>
            <w:noWrap w:val="0"/>
            <w:vAlign w:val="center"/>
          </w:tcPr>
          <w:p>
            <w:pPr>
              <w:widowControl/>
              <w:spacing w:line="240" w:lineRule="exact"/>
              <w:jc w:val="left"/>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rPr>
              <w:t>其中：基本支出：</w:t>
            </w:r>
            <w:r>
              <w:rPr>
                <w:rFonts w:hint="eastAsia" w:ascii="仿宋_GB2312" w:hAnsi="仿宋_GB2312" w:eastAsia="仿宋_GB2312" w:cs="仿宋_GB2312"/>
                <w:color w:val="000000"/>
                <w:sz w:val="20"/>
                <w:szCs w:val="20"/>
                <w:highlight w:val="none"/>
                <w:lang w:val="en-US" w:eastAsia="zh-CN"/>
              </w:rPr>
              <w:t>2084.03</w:t>
            </w:r>
          </w:p>
        </w:tc>
      </w:tr>
      <w:tr>
        <w:tblPrEx>
          <w:tblCellMar>
            <w:top w:w="0" w:type="dxa"/>
            <w:left w:w="108" w:type="dxa"/>
            <w:bottom w:w="0" w:type="dxa"/>
            <w:right w:w="108" w:type="dxa"/>
          </w:tblCellMar>
        </w:tblPrEx>
        <w:trPr>
          <w:jc w:val="center"/>
        </w:trPr>
        <w:tc>
          <w:tcPr>
            <w:tcW w:w="1068" w:type="dxa"/>
            <w:vMerge w:val="continue"/>
            <w:tcBorders>
              <w:left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p>
        </w:tc>
        <w:tc>
          <w:tcPr>
            <w:tcW w:w="5048" w:type="dxa"/>
            <w:gridSpan w:val="4"/>
            <w:tcBorders>
              <w:top w:val="nil"/>
              <w:left w:val="nil"/>
              <w:bottom w:val="single" w:color="auto" w:sz="4" w:space="0"/>
              <w:right w:val="single" w:color="auto" w:sz="4" w:space="0"/>
            </w:tcBorders>
            <w:noWrap w:val="0"/>
            <w:vAlign w:val="center"/>
          </w:tcPr>
          <w:p>
            <w:pPr>
              <w:widowControl/>
              <w:spacing w:line="240" w:lineRule="exact"/>
              <w:ind w:firstLine="800" w:firstLineChars="400"/>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政府性基金拨款：</w:t>
            </w:r>
          </w:p>
        </w:tc>
        <w:tc>
          <w:tcPr>
            <w:tcW w:w="3963" w:type="dxa"/>
            <w:gridSpan w:val="4"/>
            <w:tcBorders>
              <w:top w:val="nil"/>
              <w:left w:val="nil"/>
              <w:bottom w:val="single" w:color="auto" w:sz="4" w:space="0"/>
              <w:right w:val="single" w:color="auto" w:sz="4" w:space="0"/>
            </w:tcBorders>
            <w:noWrap w:val="0"/>
            <w:vAlign w:val="center"/>
          </w:tcPr>
          <w:p>
            <w:pPr>
              <w:widowControl/>
              <w:spacing w:line="240" w:lineRule="exact"/>
              <w:ind w:firstLine="600" w:firstLineChars="300"/>
              <w:jc w:val="left"/>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rPr>
              <w:t>项目支出：</w:t>
            </w:r>
            <w:r>
              <w:rPr>
                <w:rFonts w:hint="eastAsia" w:ascii="仿宋_GB2312" w:hAnsi="仿宋_GB2312" w:eastAsia="仿宋_GB2312" w:cs="仿宋_GB2312"/>
                <w:color w:val="000000"/>
                <w:sz w:val="20"/>
                <w:szCs w:val="20"/>
                <w:highlight w:val="none"/>
                <w:lang w:val="en-US" w:eastAsia="zh-CN"/>
              </w:rPr>
              <w:t>77.55</w:t>
            </w:r>
          </w:p>
        </w:tc>
      </w:tr>
      <w:tr>
        <w:tblPrEx>
          <w:tblCellMar>
            <w:top w:w="0" w:type="dxa"/>
            <w:left w:w="108" w:type="dxa"/>
            <w:bottom w:w="0" w:type="dxa"/>
            <w:right w:w="108" w:type="dxa"/>
          </w:tblCellMar>
        </w:tblPrEx>
        <w:trPr>
          <w:jc w:val="center"/>
        </w:trPr>
        <w:tc>
          <w:tcPr>
            <w:tcW w:w="1068" w:type="dxa"/>
            <w:vMerge w:val="continue"/>
            <w:tcBorders>
              <w:left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p>
        </w:tc>
        <w:tc>
          <w:tcPr>
            <w:tcW w:w="5048" w:type="dxa"/>
            <w:gridSpan w:val="4"/>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纳入专户管理的非税收入拨款：</w:t>
            </w:r>
          </w:p>
        </w:tc>
        <w:tc>
          <w:tcPr>
            <w:tcW w:w="3963" w:type="dxa"/>
            <w:gridSpan w:val="4"/>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p>
        </w:tc>
      </w:tr>
      <w:tr>
        <w:tblPrEx>
          <w:tblCellMar>
            <w:top w:w="0" w:type="dxa"/>
            <w:left w:w="108" w:type="dxa"/>
            <w:bottom w:w="0" w:type="dxa"/>
            <w:right w:w="108" w:type="dxa"/>
          </w:tblCellMar>
        </w:tblPrEx>
        <w:trPr>
          <w:jc w:val="center"/>
        </w:trPr>
        <w:tc>
          <w:tcPr>
            <w:tcW w:w="1068" w:type="dxa"/>
            <w:vMerge w:val="continue"/>
            <w:tcBorders>
              <w:left w:val="single" w:color="auto" w:sz="4" w:space="0"/>
              <w:bottom w:val="single" w:color="000000"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p>
        </w:tc>
        <w:tc>
          <w:tcPr>
            <w:tcW w:w="5048" w:type="dxa"/>
            <w:gridSpan w:val="4"/>
            <w:tcBorders>
              <w:top w:val="nil"/>
              <w:left w:val="nil"/>
              <w:bottom w:val="single" w:color="auto" w:sz="4" w:space="0"/>
              <w:right w:val="single" w:color="auto" w:sz="4" w:space="0"/>
            </w:tcBorders>
            <w:noWrap w:val="0"/>
            <w:vAlign w:val="center"/>
          </w:tcPr>
          <w:p>
            <w:pPr>
              <w:widowControl/>
              <w:spacing w:line="240" w:lineRule="exact"/>
              <w:ind w:firstLine="1400" w:firstLineChars="700"/>
              <w:jc w:val="left"/>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rPr>
              <w:t>其他资金：</w:t>
            </w:r>
            <w:r>
              <w:rPr>
                <w:rFonts w:hint="eastAsia" w:ascii="仿宋_GB2312" w:hAnsi="仿宋_GB2312" w:eastAsia="仿宋_GB2312" w:cs="仿宋_GB2312"/>
                <w:color w:val="000000"/>
                <w:sz w:val="20"/>
                <w:szCs w:val="20"/>
                <w:highlight w:val="none"/>
                <w:lang w:val="en-US" w:eastAsia="zh-CN"/>
              </w:rPr>
              <w:t>64.52</w:t>
            </w:r>
          </w:p>
        </w:tc>
        <w:tc>
          <w:tcPr>
            <w:tcW w:w="3963" w:type="dxa"/>
            <w:gridSpan w:val="4"/>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p>
        </w:tc>
      </w:tr>
      <w:tr>
        <w:tblPrEx>
          <w:tblCellMar>
            <w:top w:w="0" w:type="dxa"/>
            <w:left w:w="108" w:type="dxa"/>
            <w:bottom w:w="0" w:type="dxa"/>
            <w:right w:w="108" w:type="dxa"/>
          </w:tblCellMar>
        </w:tblPrEx>
        <w:trPr>
          <w:jc w:val="center"/>
        </w:trPr>
        <w:tc>
          <w:tcPr>
            <w:tcW w:w="1068" w:type="dxa"/>
            <w:vMerge w:val="restart"/>
            <w:tcBorders>
              <w:top w:val="nil"/>
              <w:left w:val="single" w:color="auto" w:sz="4" w:space="0"/>
              <w:bottom w:val="single" w:color="000000"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年度总体目标</w:t>
            </w:r>
          </w:p>
        </w:tc>
        <w:tc>
          <w:tcPr>
            <w:tcW w:w="5048" w:type="dxa"/>
            <w:gridSpan w:val="4"/>
            <w:tcBorders>
              <w:top w:val="single" w:color="auto" w:sz="4" w:space="0"/>
              <w:left w:val="nil"/>
              <w:bottom w:val="single" w:color="auto" w:sz="4" w:space="0"/>
              <w:right w:val="single" w:color="000000"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预期目标</w:t>
            </w:r>
          </w:p>
        </w:tc>
        <w:tc>
          <w:tcPr>
            <w:tcW w:w="3963" w:type="dxa"/>
            <w:gridSpan w:val="4"/>
            <w:tcBorders>
              <w:top w:val="single" w:color="auto" w:sz="4" w:space="0"/>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实际完成情况　</w:t>
            </w:r>
          </w:p>
        </w:tc>
      </w:tr>
      <w:tr>
        <w:tblPrEx>
          <w:tblCellMar>
            <w:top w:w="0" w:type="dxa"/>
            <w:left w:w="108" w:type="dxa"/>
            <w:bottom w:w="0" w:type="dxa"/>
            <w:right w:w="108" w:type="dxa"/>
          </w:tblCellMar>
        </w:tblPrEx>
        <w:trPr>
          <w:jc w:val="center"/>
        </w:trPr>
        <w:tc>
          <w:tcPr>
            <w:tcW w:w="1068" w:type="dxa"/>
            <w:vMerge w:val="continue"/>
            <w:tcBorders>
              <w:top w:val="nil"/>
              <w:left w:val="single" w:color="auto" w:sz="4" w:space="0"/>
              <w:bottom w:val="single" w:color="000000"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p>
        </w:tc>
        <w:tc>
          <w:tcPr>
            <w:tcW w:w="5048" w:type="dxa"/>
            <w:gridSpan w:val="4"/>
            <w:tcBorders>
              <w:top w:val="single" w:color="auto" w:sz="4" w:space="0"/>
              <w:left w:val="nil"/>
              <w:bottom w:val="single" w:color="auto" w:sz="4" w:space="0"/>
              <w:right w:val="single" w:color="000000"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目标1</w:t>
            </w:r>
            <w:r>
              <w:rPr>
                <w:rFonts w:hint="eastAsia" w:ascii="仿宋_GB2312" w:hAnsi="仿宋_GB2312" w:eastAsia="仿宋_GB2312" w:cs="仿宋_GB2312"/>
                <w:color w:val="000000"/>
                <w:sz w:val="20"/>
                <w:szCs w:val="20"/>
                <w:highlight w:val="none"/>
                <w:lang w:eastAsia="zh-CN"/>
              </w:rPr>
              <w:t>：</w:t>
            </w:r>
            <w:r>
              <w:rPr>
                <w:rFonts w:hint="eastAsia" w:ascii="仿宋_GB2312" w:hAnsi="仿宋_GB2312" w:eastAsia="仿宋_GB2312" w:cs="仿宋_GB2312"/>
                <w:color w:val="000000"/>
                <w:sz w:val="20"/>
                <w:szCs w:val="20"/>
                <w:highlight w:val="none"/>
              </w:rPr>
              <w:t>推进登记制度改革</w:t>
            </w:r>
          </w:p>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目标2</w:t>
            </w:r>
            <w:r>
              <w:rPr>
                <w:rFonts w:hint="eastAsia" w:ascii="仿宋_GB2312" w:hAnsi="仿宋_GB2312" w:eastAsia="仿宋_GB2312" w:cs="仿宋_GB2312"/>
                <w:color w:val="000000"/>
                <w:sz w:val="20"/>
                <w:szCs w:val="20"/>
                <w:highlight w:val="none"/>
                <w:lang w:eastAsia="zh-CN"/>
              </w:rPr>
              <w:t>：</w:t>
            </w:r>
            <w:r>
              <w:rPr>
                <w:rFonts w:hint="eastAsia" w:ascii="仿宋_GB2312" w:hAnsi="仿宋_GB2312" w:eastAsia="仿宋_GB2312" w:cs="仿宋_GB2312"/>
                <w:color w:val="000000"/>
                <w:sz w:val="20"/>
                <w:szCs w:val="20"/>
                <w:highlight w:val="none"/>
              </w:rPr>
              <w:t>推进落实企业信用监管，加强网络交易监管</w:t>
            </w:r>
          </w:p>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目标3</w:t>
            </w:r>
            <w:r>
              <w:rPr>
                <w:rFonts w:hint="eastAsia" w:ascii="仿宋_GB2312" w:hAnsi="仿宋_GB2312" w:eastAsia="仿宋_GB2312" w:cs="仿宋_GB2312"/>
                <w:color w:val="000000"/>
                <w:sz w:val="20"/>
                <w:szCs w:val="20"/>
                <w:highlight w:val="none"/>
                <w:lang w:eastAsia="zh-CN"/>
              </w:rPr>
              <w:t>：</w:t>
            </w:r>
            <w:r>
              <w:rPr>
                <w:rFonts w:hint="eastAsia" w:ascii="仿宋_GB2312" w:hAnsi="仿宋_GB2312" w:eastAsia="仿宋_GB2312" w:cs="仿宋_GB2312"/>
                <w:color w:val="000000"/>
                <w:sz w:val="20"/>
                <w:szCs w:val="20"/>
                <w:highlight w:val="none"/>
              </w:rPr>
              <w:t>实施商标品牌战略，强化知识产权保护</w:t>
            </w:r>
          </w:p>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目标4</w:t>
            </w:r>
            <w:r>
              <w:rPr>
                <w:rFonts w:hint="eastAsia" w:ascii="仿宋_GB2312" w:hAnsi="仿宋_GB2312" w:eastAsia="仿宋_GB2312" w:cs="仿宋_GB2312"/>
                <w:color w:val="000000"/>
                <w:sz w:val="20"/>
                <w:szCs w:val="20"/>
                <w:highlight w:val="none"/>
                <w:lang w:eastAsia="zh-CN"/>
              </w:rPr>
              <w:t>：</w:t>
            </w:r>
            <w:r>
              <w:rPr>
                <w:rFonts w:hint="eastAsia" w:ascii="仿宋_GB2312" w:hAnsi="仿宋_GB2312" w:eastAsia="仿宋_GB2312" w:cs="仿宋_GB2312"/>
                <w:color w:val="000000"/>
                <w:sz w:val="20"/>
                <w:szCs w:val="20"/>
                <w:highlight w:val="none"/>
              </w:rPr>
              <w:t>消费维权，优化消费市场环境</w:t>
            </w:r>
          </w:p>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目标5</w:t>
            </w:r>
            <w:r>
              <w:rPr>
                <w:rFonts w:hint="eastAsia" w:ascii="仿宋_GB2312" w:hAnsi="仿宋_GB2312" w:eastAsia="仿宋_GB2312" w:cs="仿宋_GB2312"/>
                <w:color w:val="000000"/>
                <w:sz w:val="20"/>
                <w:szCs w:val="20"/>
                <w:highlight w:val="none"/>
                <w:lang w:eastAsia="zh-CN"/>
              </w:rPr>
              <w:t>：</w:t>
            </w:r>
            <w:r>
              <w:rPr>
                <w:rFonts w:hint="eastAsia" w:ascii="仿宋_GB2312" w:hAnsi="仿宋_GB2312" w:eastAsia="仿宋_GB2312" w:cs="仿宋_GB2312"/>
                <w:color w:val="000000"/>
                <w:sz w:val="20"/>
                <w:szCs w:val="20"/>
                <w:highlight w:val="none"/>
              </w:rPr>
              <w:t>加大监管执法打击力度，推进市场专项整治</w:t>
            </w:r>
          </w:p>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目标6</w:t>
            </w:r>
            <w:r>
              <w:rPr>
                <w:rFonts w:hint="eastAsia" w:ascii="仿宋_GB2312" w:hAnsi="仿宋_GB2312" w:eastAsia="仿宋_GB2312" w:cs="仿宋_GB2312"/>
                <w:color w:val="000000"/>
                <w:sz w:val="20"/>
                <w:szCs w:val="20"/>
                <w:highlight w:val="none"/>
                <w:lang w:eastAsia="zh-CN"/>
              </w:rPr>
              <w:t>：</w:t>
            </w:r>
            <w:r>
              <w:rPr>
                <w:rFonts w:hint="eastAsia" w:ascii="仿宋_GB2312" w:hAnsi="仿宋_GB2312" w:eastAsia="仿宋_GB2312" w:cs="仿宋_GB2312"/>
                <w:color w:val="000000"/>
                <w:sz w:val="20"/>
                <w:szCs w:val="20"/>
                <w:highlight w:val="none"/>
              </w:rPr>
              <w:t>强化食品、药品、医疗器械、化妆品、特种设备安全监管</w:t>
            </w:r>
          </w:p>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目标7</w:t>
            </w:r>
            <w:r>
              <w:rPr>
                <w:rFonts w:hint="eastAsia" w:ascii="仿宋_GB2312" w:hAnsi="仿宋_GB2312" w:eastAsia="仿宋_GB2312" w:cs="仿宋_GB2312"/>
                <w:color w:val="000000"/>
                <w:sz w:val="20"/>
                <w:szCs w:val="20"/>
                <w:highlight w:val="none"/>
                <w:lang w:eastAsia="zh-CN"/>
              </w:rPr>
              <w:t>：</w:t>
            </w:r>
            <w:r>
              <w:rPr>
                <w:rFonts w:hint="eastAsia" w:ascii="仿宋_GB2312" w:hAnsi="仿宋_GB2312" w:eastAsia="仿宋_GB2312" w:cs="仿宋_GB2312"/>
                <w:color w:val="000000"/>
                <w:sz w:val="20"/>
                <w:szCs w:val="20"/>
                <w:highlight w:val="none"/>
              </w:rPr>
              <w:t>强化质量技术监督</w:t>
            </w:r>
          </w:p>
        </w:tc>
        <w:tc>
          <w:tcPr>
            <w:tcW w:w="3963" w:type="dxa"/>
            <w:gridSpan w:val="4"/>
            <w:tcBorders>
              <w:top w:val="single" w:color="auto" w:sz="4" w:space="0"/>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目标1</w:t>
            </w:r>
            <w:r>
              <w:rPr>
                <w:rFonts w:hint="eastAsia" w:ascii="仿宋_GB2312" w:hAnsi="仿宋_GB2312" w:eastAsia="仿宋_GB2312" w:cs="仿宋_GB2312"/>
                <w:color w:val="000000"/>
                <w:sz w:val="20"/>
                <w:szCs w:val="20"/>
                <w:highlight w:val="none"/>
                <w:lang w:eastAsia="zh-CN"/>
              </w:rPr>
              <w:t>：</w:t>
            </w:r>
            <w:r>
              <w:rPr>
                <w:rFonts w:hint="eastAsia" w:ascii="仿宋_GB2312" w:hAnsi="仿宋_GB2312" w:eastAsia="仿宋_GB2312" w:cs="仿宋_GB2312"/>
                <w:color w:val="000000"/>
                <w:sz w:val="20"/>
                <w:szCs w:val="20"/>
                <w:highlight w:val="none"/>
              </w:rPr>
              <w:t>推进登记制度改革</w:t>
            </w:r>
          </w:p>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目标2</w:t>
            </w:r>
            <w:r>
              <w:rPr>
                <w:rFonts w:hint="eastAsia" w:ascii="仿宋_GB2312" w:hAnsi="仿宋_GB2312" w:eastAsia="仿宋_GB2312" w:cs="仿宋_GB2312"/>
                <w:color w:val="000000"/>
                <w:sz w:val="20"/>
                <w:szCs w:val="20"/>
                <w:highlight w:val="none"/>
                <w:lang w:eastAsia="zh-CN"/>
              </w:rPr>
              <w:t>：</w:t>
            </w:r>
            <w:r>
              <w:rPr>
                <w:rFonts w:hint="eastAsia" w:ascii="仿宋_GB2312" w:hAnsi="仿宋_GB2312" w:eastAsia="仿宋_GB2312" w:cs="仿宋_GB2312"/>
                <w:color w:val="000000"/>
                <w:sz w:val="20"/>
                <w:szCs w:val="20"/>
                <w:highlight w:val="none"/>
              </w:rPr>
              <w:t>推进落实企业信用监管，加强网络交易监管</w:t>
            </w:r>
          </w:p>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目标3</w:t>
            </w:r>
            <w:r>
              <w:rPr>
                <w:rFonts w:hint="eastAsia" w:ascii="仿宋_GB2312" w:hAnsi="仿宋_GB2312" w:eastAsia="仿宋_GB2312" w:cs="仿宋_GB2312"/>
                <w:color w:val="000000"/>
                <w:sz w:val="20"/>
                <w:szCs w:val="20"/>
                <w:highlight w:val="none"/>
                <w:lang w:eastAsia="zh-CN"/>
              </w:rPr>
              <w:t>：</w:t>
            </w:r>
            <w:r>
              <w:rPr>
                <w:rFonts w:hint="eastAsia" w:ascii="仿宋_GB2312" w:hAnsi="仿宋_GB2312" w:eastAsia="仿宋_GB2312" w:cs="仿宋_GB2312"/>
                <w:color w:val="000000"/>
                <w:sz w:val="20"/>
                <w:szCs w:val="20"/>
                <w:highlight w:val="none"/>
              </w:rPr>
              <w:t>实施商标品牌战略，强化知识产权保护</w:t>
            </w:r>
          </w:p>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目标4</w:t>
            </w:r>
            <w:r>
              <w:rPr>
                <w:rFonts w:hint="eastAsia" w:ascii="仿宋_GB2312" w:hAnsi="仿宋_GB2312" w:eastAsia="仿宋_GB2312" w:cs="仿宋_GB2312"/>
                <w:color w:val="000000"/>
                <w:sz w:val="20"/>
                <w:szCs w:val="20"/>
                <w:highlight w:val="none"/>
                <w:lang w:eastAsia="zh-CN"/>
              </w:rPr>
              <w:t>：</w:t>
            </w:r>
            <w:r>
              <w:rPr>
                <w:rFonts w:hint="eastAsia" w:ascii="仿宋_GB2312" w:hAnsi="仿宋_GB2312" w:eastAsia="仿宋_GB2312" w:cs="仿宋_GB2312"/>
                <w:color w:val="000000"/>
                <w:sz w:val="20"/>
                <w:szCs w:val="20"/>
                <w:highlight w:val="none"/>
              </w:rPr>
              <w:t>消费维权，优化消费市场环境</w:t>
            </w:r>
          </w:p>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目标5</w:t>
            </w:r>
            <w:r>
              <w:rPr>
                <w:rFonts w:hint="eastAsia" w:ascii="仿宋_GB2312" w:hAnsi="仿宋_GB2312" w:eastAsia="仿宋_GB2312" w:cs="仿宋_GB2312"/>
                <w:color w:val="000000"/>
                <w:sz w:val="20"/>
                <w:szCs w:val="20"/>
                <w:highlight w:val="none"/>
                <w:lang w:eastAsia="zh-CN"/>
              </w:rPr>
              <w:t>：</w:t>
            </w:r>
            <w:r>
              <w:rPr>
                <w:rFonts w:hint="eastAsia" w:ascii="仿宋_GB2312" w:hAnsi="仿宋_GB2312" w:eastAsia="仿宋_GB2312" w:cs="仿宋_GB2312"/>
                <w:color w:val="000000"/>
                <w:sz w:val="20"/>
                <w:szCs w:val="20"/>
                <w:highlight w:val="none"/>
              </w:rPr>
              <w:t>加大监管执法打击力度，推进市场专项整治</w:t>
            </w:r>
          </w:p>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目标6</w:t>
            </w:r>
            <w:r>
              <w:rPr>
                <w:rFonts w:hint="eastAsia" w:ascii="仿宋_GB2312" w:hAnsi="仿宋_GB2312" w:eastAsia="仿宋_GB2312" w:cs="仿宋_GB2312"/>
                <w:color w:val="000000"/>
                <w:sz w:val="20"/>
                <w:szCs w:val="20"/>
                <w:highlight w:val="none"/>
                <w:lang w:eastAsia="zh-CN"/>
              </w:rPr>
              <w:t>：</w:t>
            </w:r>
            <w:r>
              <w:rPr>
                <w:rFonts w:hint="eastAsia" w:ascii="仿宋_GB2312" w:hAnsi="仿宋_GB2312" w:eastAsia="仿宋_GB2312" w:cs="仿宋_GB2312"/>
                <w:color w:val="000000"/>
                <w:sz w:val="20"/>
                <w:szCs w:val="20"/>
                <w:highlight w:val="none"/>
              </w:rPr>
              <w:t>强化食品、药品、医疗器械、化妆品、特种设备安全监管</w:t>
            </w:r>
          </w:p>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目标7</w:t>
            </w:r>
            <w:r>
              <w:rPr>
                <w:rFonts w:hint="eastAsia" w:ascii="仿宋_GB2312" w:hAnsi="仿宋_GB2312" w:eastAsia="仿宋_GB2312" w:cs="仿宋_GB2312"/>
                <w:color w:val="000000"/>
                <w:sz w:val="20"/>
                <w:szCs w:val="20"/>
                <w:highlight w:val="none"/>
                <w:lang w:eastAsia="zh-CN"/>
              </w:rPr>
              <w:t>：</w:t>
            </w:r>
            <w:r>
              <w:rPr>
                <w:rFonts w:hint="eastAsia" w:ascii="仿宋_GB2312" w:hAnsi="仿宋_GB2312" w:eastAsia="仿宋_GB2312" w:cs="仿宋_GB2312"/>
                <w:color w:val="000000"/>
                <w:sz w:val="20"/>
                <w:szCs w:val="20"/>
                <w:highlight w:val="none"/>
              </w:rPr>
              <w:t>强化质量技术监督</w:t>
            </w:r>
          </w:p>
        </w:tc>
      </w:tr>
      <w:tr>
        <w:tblPrEx>
          <w:tblCellMar>
            <w:top w:w="0" w:type="dxa"/>
            <w:left w:w="108" w:type="dxa"/>
            <w:bottom w:w="0" w:type="dxa"/>
            <w:right w:w="108" w:type="dxa"/>
          </w:tblCellMar>
        </w:tblPrEx>
        <w:trPr>
          <w:jc w:val="center"/>
        </w:trPr>
        <w:tc>
          <w:tcPr>
            <w:tcW w:w="1068" w:type="dxa"/>
            <w:vMerge w:val="restart"/>
            <w:tcBorders>
              <w:top w:val="nil"/>
              <w:left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绩</w:t>
            </w:r>
          </w:p>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效</w:t>
            </w:r>
          </w:p>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指</w:t>
            </w:r>
          </w:p>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标</w:t>
            </w:r>
          </w:p>
          <w:p>
            <w:pPr>
              <w:widowControl/>
              <w:spacing w:line="240" w:lineRule="exact"/>
              <w:jc w:val="center"/>
              <w:rPr>
                <w:rFonts w:hint="eastAsia" w:ascii="仿宋_GB2312" w:hAnsi="仿宋_GB2312" w:eastAsia="仿宋_GB2312" w:cs="仿宋_GB2312"/>
                <w:color w:val="000000"/>
                <w:sz w:val="20"/>
                <w:szCs w:val="20"/>
                <w:highlight w:val="none"/>
              </w:rPr>
            </w:pPr>
          </w:p>
        </w:tc>
        <w:tc>
          <w:tcPr>
            <w:tcW w:w="1068"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一级指标</w:t>
            </w:r>
          </w:p>
        </w:tc>
        <w:tc>
          <w:tcPr>
            <w:tcW w:w="1018"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二级指标</w:t>
            </w:r>
          </w:p>
        </w:tc>
        <w:tc>
          <w:tcPr>
            <w:tcW w:w="1608"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三级指标</w:t>
            </w:r>
          </w:p>
        </w:tc>
        <w:tc>
          <w:tcPr>
            <w:tcW w:w="1354" w:type="dxa"/>
            <w:tcBorders>
              <w:top w:val="nil"/>
              <w:left w:val="nil"/>
              <w:bottom w:val="single" w:color="auto" w:sz="4" w:space="0"/>
              <w:right w:val="single" w:color="auto" w:sz="4" w:space="0"/>
            </w:tcBorders>
            <w:noWrap w:val="0"/>
            <w:vAlign w:val="center"/>
          </w:tcPr>
          <w:p>
            <w:pPr>
              <w:widowControl/>
              <w:spacing w:line="240" w:lineRule="exact"/>
              <w:jc w:val="both"/>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年度指标值</w:t>
            </w:r>
          </w:p>
        </w:tc>
        <w:tc>
          <w:tcPr>
            <w:tcW w:w="916"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lang w:eastAsia="zh-CN"/>
              </w:rPr>
            </w:pPr>
            <w:r>
              <w:rPr>
                <w:rFonts w:hint="eastAsia" w:ascii="仿宋_GB2312" w:hAnsi="仿宋_GB2312" w:eastAsia="仿宋_GB2312" w:cs="仿宋_GB2312"/>
                <w:color w:val="000000"/>
                <w:sz w:val="20"/>
                <w:szCs w:val="20"/>
                <w:highlight w:val="none"/>
              </w:rPr>
              <w:t>实际完</w:t>
            </w:r>
            <w:r>
              <w:rPr>
                <w:rFonts w:hint="eastAsia" w:ascii="仿宋_GB2312" w:hAnsi="仿宋_GB2312" w:eastAsia="仿宋_GB2312" w:cs="仿宋_GB2312"/>
                <w:color w:val="000000"/>
                <w:sz w:val="20"/>
                <w:szCs w:val="20"/>
                <w:highlight w:val="none"/>
                <w:lang w:eastAsia="zh-CN"/>
              </w:rPr>
              <w:t>成值</w:t>
            </w:r>
          </w:p>
        </w:tc>
        <w:tc>
          <w:tcPr>
            <w:tcW w:w="711"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分值</w:t>
            </w:r>
          </w:p>
        </w:tc>
        <w:tc>
          <w:tcPr>
            <w:tcW w:w="916"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得分</w:t>
            </w:r>
          </w:p>
        </w:tc>
        <w:tc>
          <w:tcPr>
            <w:tcW w:w="1420" w:type="dxa"/>
            <w:tcBorders>
              <w:top w:val="nil"/>
              <w:left w:val="nil"/>
              <w:bottom w:val="single" w:color="auto" w:sz="4" w:space="0"/>
              <w:right w:val="single" w:color="auto" w:sz="4" w:space="0"/>
            </w:tcBorders>
            <w:noWrap w:val="0"/>
            <w:vAlign w:val="center"/>
          </w:tcPr>
          <w:p>
            <w:pPr>
              <w:widowControl/>
              <w:spacing w:line="240" w:lineRule="exact"/>
              <w:jc w:val="both"/>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偏差原因分析及改进措施</w:t>
            </w:r>
          </w:p>
        </w:tc>
      </w:tr>
      <w:tr>
        <w:tblPrEx>
          <w:tblCellMar>
            <w:top w:w="0" w:type="dxa"/>
            <w:left w:w="108" w:type="dxa"/>
            <w:bottom w:w="0" w:type="dxa"/>
            <w:right w:w="108" w:type="dxa"/>
          </w:tblCellMar>
        </w:tblPrEx>
        <w:trPr>
          <w:jc w:val="center"/>
        </w:trPr>
        <w:tc>
          <w:tcPr>
            <w:tcW w:w="1068" w:type="dxa"/>
            <w:vMerge w:val="continue"/>
            <w:tcBorders>
              <w:left w:val="single" w:color="auto" w:sz="4" w:space="0"/>
              <w:right w:val="single" w:color="auto" w:sz="4" w:space="0"/>
            </w:tcBorders>
            <w:noWrap w:val="0"/>
            <w:vAlign w:val="center"/>
          </w:tcPr>
          <w:p>
            <w:pPr>
              <w:spacing w:line="240" w:lineRule="exact"/>
              <w:jc w:val="left"/>
              <w:rPr>
                <w:rFonts w:hint="eastAsia" w:ascii="仿宋_GB2312" w:hAnsi="仿宋_GB2312" w:eastAsia="仿宋_GB2312" w:cs="仿宋_GB2312"/>
                <w:color w:val="000000"/>
                <w:sz w:val="20"/>
                <w:szCs w:val="20"/>
                <w:highlight w:val="none"/>
              </w:rPr>
            </w:pPr>
          </w:p>
        </w:tc>
        <w:tc>
          <w:tcPr>
            <w:tcW w:w="1068" w:type="dxa"/>
            <w:vMerge w:val="restart"/>
            <w:tcBorders>
              <w:top w:val="nil"/>
              <w:left w:val="nil"/>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产出指标</w:t>
            </w:r>
          </w:p>
          <w:p>
            <w:pPr>
              <w:widowControl/>
              <w:spacing w:line="240" w:lineRule="exact"/>
              <w:jc w:val="center"/>
              <w:rPr>
                <w:rFonts w:hint="eastAsia" w:ascii="仿宋_GB2312" w:hAnsi="仿宋_GB2312" w:eastAsia="仿宋_GB2312" w:cs="仿宋_GB2312"/>
                <w:color w:val="000000"/>
                <w:sz w:val="20"/>
                <w:szCs w:val="20"/>
                <w:highlight w:val="none"/>
              </w:rPr>
            </w:pPr>
          </w:p>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(50分)</w:t>
            </w:r>
          </w:p>
        </w:tc>
        <w:tc>
          <w:tcPr>
            <w:tcW w:w="1018" w:type="dxa"/>
            <w:vMerge w:val="restart"/>
            <w:tcBorders>
              <w:top w:val="nil"/>
              <w:left w:val="nil"/>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数量指标</w:t>
            </w:r>
          </w:p>
        </w:tc>
        <w:tc>
          <w:tcPr>
            <w:tcW w:w="1608" w:type="dxa"/>
            <w:tcBorders>
              <w:top w:val="nil"/>
              <w:left w:val="nil"/>
              <w:bottom w:val="single" w:color="auto" w:sz="4" w:space="0"/>
              <w:right w:val="single" w:color="auto"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color w:val="000000"/>
                <w:sz w:val="13"/>
                <w:szCs w:val="13"/>
                <w:highlight w:val="none"/>
              </w:rPr>
            </w:pPr>
            <w:r>
              <w:rPr>
                <w:rFonts w:hint="eastAsia" w:ascii="宋体" w:hAnsi="宋体" w:eastAsia="宋体" w:cs="宋体"/>
                <w:i w:val="0"/>
                <w:iCs w:val="0"/>
                <w:color w:val="000000"/>
                <w:kern w:val="0"/>
                <w:sz w:val="13"/>
                <w:szCs w:val="13"/>
                <w:u w:val="none"/>
                <w:lang w:val="en-US" w:eastAsia="zh-CN" w:bidi="ar"/>
              </w:rPr>
              <w:t xml:space="preserve">  新增各类市场主体</w:t>
            </w:r>
          </w:p>
        </w:tc>
        <w:tc>
          <w:tcPr>
            <w:tcW w:w="1354" w:type="dxa"/>
            <w:tcBorders>
              <w:top w:val="nil"/>
              <w:left w:val="nil"/>
              <w:bottom w:val="single" w:color="auto" w:sz="4" w:space="0"/>
              <w:right w:val="single" w:color="auto"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color w:val="000000"/>
                <w:sz w:val="13"/>
                <w:szCs w:val="13"/>
                <w:highlight w:val="none"/>
              </w:rPr>
            </w:pPr>
            <w:r>
              <w:rPr>
                <w:rFonts w:hint="eastAsia" w:ascii="宋体" w:hAnsi="宋体" w:eastAsia="宋体" w:cs="宋体"/>
                <w:i w:val="0"/>
                <w:iCs w:val="0"/>
                <w:color w:val="000000"/>
                <w:kern w:val="0"/>
                <w:sz w:val="13"/>
                <w:szCs w:val="13"/>
                <w:u w:val="none"/>
                <w:lang w:val="en-US" w:eastAsia="zh-CN" w:bidi="ar"/>
              </w:rPr>
              <w:t>≥1000户</w:t>
            </w:r>
          </w:p>
        </w:tc>
        <w:tc>
          <w:tcPr>
            <w:tcW w:w="916" w:type="dxa"/>
            <w:tcBorders>
              <w:top w:val="nil"/>
              <w:left w:val="nil"/>
              <w:bottom w:val="single" w:color="auto" w:sz="4" w:space="0"/>
              <w:right w:val="single" w:color="auto"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color w:val="000000"/>
                <w:sz w:val="13"/>
                <w:szCs w:val="13"/>
                <w:highlight w:val="none"/>
              </w:rPr>
            </w:pPr>
            <w:r>
              <w:rPr>
                <w:rFonts w:hint="eastAsia" w:ascii="宋体" w:hAnsi="宋体" w:cs="宋体"/>
                <w:i w:val="0"/>
                <w:iCs w:val="0"/>
                <w:color w:val="000000"/>
                <w:kern w:val="0"/>
                <w:sz w:val="13"/>
                <w:szCs w:val="13"/>
                <w:u w:val="none"/>
                <w:lang w:val="en-US" w:eastAsia="zh-CN" w:bidi="ar"/>
              </w:rPr>
              <w:t>2036</w:t>
            </w:r>
            <w:r>
              <w:rPr>
                <w:rFonts w:hint="eastAsia" w:ascii="宋体" w:hAnsi="宋体" w:eastAsia="宋体" w:cs="宋体"/>
                <w:i w:val="0"/>
                <w:iCs w:val="0"/>
                <w:color w:val="000000"/>
                <w:kern w:val="0"/>
                <w:sz w:val="13"/>
                <w:szCs w:val="13"/>
                <w:u w:val="none"/>
                <w:lang w:val="en-US" w:eastAsia="zh-CN" w:bidi="ar"/>
              </w:rPr>
              <w:t>户</w:t>
            </w:r>
          </w:p>
        </w:tc>
        <w:tc>
          <w:tcPr>
            <w:tcW w:w="711"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lang w:val="en-US" w:eastAsia="zh-CN"/>
              </w:rPr>
              <w:t>5</w:t>
            </w:r>
          </w:p>
        </w:tc>
        <w:tc>
          <w:tcPr>
            <w:tcW w:w="916"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kern w:val="0"/>
                <w:sz w:val="20"/>
                <w:szCs w:val="20"/>
                <w:highlight w:val="none"/>
                <w:lang w:val="en-US" w:eastAsia="zh-CN" w:bidi="ar-SA"/>
              </w:rPr>
            </w:pPr>
            <w:r>
              <w:rPr>
                <w:rFonts w:hint="eastAsia" w:ascii="仿宋_GB2312" w:hAnsi="仿宋_GB2312" w:eastAsia="仿宋_GB2312" w:cs="仿宋_GB2312"/>
                <w:color w:val="000000"/>
                <w:sz w:val="20"/>
                <w:szCs w:val="20"/>
                <w:highlight w:val="none"/>
                <w:lang w:val="en-US" w:eastAsia="zh-CN"/>
              </w:rPr>
              <w:t>5</w:t>
            </w:r>
          </w:p>
        </w:tc>
        <w:tc>
          <w:tcPr>
            <w:tcW w:w="1420"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r>
      <w:tr>
        <w:tblPrEx>
          <w:tblCellMar>
            <w:top w:w="0" w:type="dxa"/>
            <w:left w:w="108" w:type="dxa"/>
            <w:bottom w:w="0" w:type="dxa"/>
            <w:right w:w="108" w:type="dxa"/>
          </w:tblCellMar>
        </w:tblPrEx>
        <w:trPr>
          <w:jc w:val="center"/>
        </w:trPr>
        <w:tc>
          <w:tcPr>
            <w:tcW w:w="1068" w:type="dxa"/>
            <w:vMerge w:val="continue"/>
            <w:tcBorders>
              <w:left w:val="single" w:color="auto" w:sz="4" w:space="0"/>
              <w:right w:val="single" w:color="auto" w:sz="4" w:space="0"/>
            </w:tcBorders>
            <w:noWrap w:val="0"/>
            <w:vAlign w:val="center"/>
          </w:tcPr>
          <w:p>
            <w:pPr>
              <w:spacing w:line="240" w:lineRule="exact"/>
              <w:jc w:val="left"/>
              <w:rPr>
                <w:rFonts w:hint="eastAsia" w:ascii="仿宋_GB2312" w:hAnsi="仿宋_GB2312" w:eastAsia="仿宋_GB2312" w:cs="仿宋_GB2312"/>
                <w:color w:val="000000"/>
                <w:sz w:val="20"/>
                <w:szCs w:val="20"/>
                <w:highlight w:val="none"/>
              </w:rPr>
            </w:pPr>
          </w:p>
        </w:tc>
        <w:tc>
          <w:tcPr>
            <w:tcW w:w="1068" w:type="dxa"/>
            <w:vMerge w:val="continue"/>
            <w:tcBorders>
              <w:left w:val="nil"/>
              <w:right w:val="single" w:color="auto" w:sz="4" w:space="0"/>
            </w:tcBorders>
            <w:noWrap w:val="0"/>
            <w:vAlign w:val="center"/>
          </w:tcPr>
          <w:p>
            <w:pPr>
              <w:spacing w:line="240" w:lineRule="exact"/>
              <w:jc w:val="left"/>
              <w:rPr>
                <w:rFonts w:hint="eastAsia" w:ascii="仿宋_GB2312" w:hAnsi="仿宋_GB2312" w:eastAsia="仿宋_GB2312" w:cs="仿宋_GB2312"/>
                <w:color w:val="000000"/>
                <w:sz w:val="20"/>
                <w:szCs w:val="20"/>
                <w:highlight w:val="none"/>
              </w:rPr>
            </w:pPr>
          </w:p>
        </w:tc>
        <w:tc>
          <w:tcPr>
            <w:tcW w:w="1018" w:type="dxa"/>
            <w:vMerge w:val="continue"/>
            <w:tcBorders>
              <w:left w:val="nil"/>
              <w:right w:val="single" w:color="auto" w:sz="4" w:space="0"/>
            </w:tcBorders>
            <w:noWrap w:val="0"/>
            <w:vAlign w:val="center"/>
          </w:tcPr>
          <w:p>
            <w:pPr>
              <w:spacing w:line="240" w:lineRule="exact"/>
              <w:jc w:val="center"/>
              <w:rPr>
                <w:rFonts w:hint="eastAsia" w:ascii="仿宋_GB2312" w:hAnsi="仿宋_GB2312" w:eastAsia="仿宋_GB2312" w:cs="仿宋_GB2312"/>
                <w:color w:val="000000"/>
                <w:sz w:val="20"/>
                <w:szCs w:val="20"/>
                <w:highlight w:val="none"/>
              </w:rPr>
            </w:pPr>
          </w:p>
        </w:tc>
        <w:tc>
          <w:tcPr>
            <w:tcW w:w="1608" w:type="dxa"/>
            <w:tcBorders>
              <w:top w:val="nil"/>
              <w:left w:val="nil"/>
              <w:bottom w:val="single" w:color="auto" w:sz="4" w:space="0"/>
              <w:right w:val="single" w:color="auto"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color w:val="000000"/>
                <w:sz w:val="13"/>
                <w:szCs w:val="13"/>
                <w:highlight w:val="none"/>
              </w:rPr>
            </w:pPr>
            <w:r>
              <w:rPr>
                <w:rFonts w:hint="eastAsia" w:ascii="宋体" w:hAnsi="宋体" w:eastAsia="宋体" w:cs="宋体"/>
                <w:i w:val="0"/>
                <w:iCs w:val="0"/>
                <w:color w:val="000000"/>
                <w:kern w:val="0"/>
                <w:sz w:val="13"/>
                <w:szCs w:val="13"/>
                <w:u w:val="none"/>
                <w:lang w:val="en-US" w:eastAsia="zh-CN" w:bidi="ar"/>
              </w:rPr>
              <w:t xml:space="preserve">  食品药品及特种设备监管覆盖率</w:t>
            </w:r>
          </w:p>
        </w:tc>
        <w:tc>
          <w:tcPr>
            <w:tcW w:w="1354" w:type="dxa"/>
            <w:tcBorders>
              <w:top w:val="nil"/>
              <w:left w:val="nil"/>
              <w:bottom w:val="single" w:color="auto" w:sz="4" w:space="0"/>
              <w:right w:val="single" w:color="auto"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color w:val="000000"/>
                <w:sz w:val="13"/>
                <w:szCs w:val="13"/>
                <w:highlight w:val="none"/>
              </w:rPr>
            </w:pPr>
            <w:r>
              <w:rPr>
                <w:rFonts w:hint="eastAsia" w:ascii="宋体" w:hAnsi="宋体" w:eastAsia="宋体" w:cs="宋体"/>
                <w:i w:val="0"/>
                <w:iCs w:val="0"/>
                <w:color w:val="000000"/>
                <w:kern w:val="0"/>
                <w:sz w:val="13"/>
                <w:szCs w:val="13"/>
                <w:u w:val="none"/>
                <w:lang w:val="en-US" w:eastAsia="zh-CN" w:bidi="ar"/>
              </w:rPr>
              <w:t>100%</w:t>
            </w:r>
          </w:p>
        </w:tc>
        <w:tc>
          <w:tcPr>
            <w:tcW w:w="916" w:type="dxa"/>
            <w:tcBorders>
              <w:top w:val="nil"/>
              <w:left w:val="nil"/>
              <w:bottom w:val="single" w:color="auto" w:sz="4" w:space="0"/>
              <w:right w:val="single" w:color="auto"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color w:val="000000"/>
                <w:sz w:val="13"/>
                <w:szCs w:val="13"/>
                <w:highlight w:val="none"/>
              </w:rPr>
            </w:pPr>
            <w:r>
              <w:rPr>
                <w:rFonts w:hint="eastAsia" w:ascii="宋体" w:hAnsi="宋体" w:eastAsia="宋体" w:cs="宋体"/>
                <w:i w:val="0"/>
                <w:iCs w:val="0"/>
                <w:color w:val="000000"/>
                <w:kern w:val="0"/>
                <w:sz w:val="13"/>
                <w:szCs w:val="13"/>
                <w:u w:val="none"/>
                <w:lang w:val="en-US" w:eastAsia="zh-CN" w:bidi="ar"/>
              </w:rPr>
              <w:t>100%</w:t>
            </w:r>
          </w:p>
        </w:tc>
        <w:tc>
          <w:tcPr>
            <w:tcW w:w="711"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lang w:val="en-US" w:eastAsia="zh-CN"/>
              </w:rPr>
              <w:t>5</w:t>
            </w:r>
          </w:p>
        </w:tc>
        <w:tc>
          <w:tcPr>
            <w:tcW w:w="916"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kern w:val="0"/>
                <w:sz w:val="20"/>
                <w:szCs w:val="20"/>
                <w:highlight w:val="none"/>
                <w:lang w:val="en-US" w:eastAsia="zh-CN" w:bidi="ar-SA"/>
              </w:rPr>
            </w:pPr>
            <w:r>
              <w:rPr>
                <w:rFonts w:hint="eastAsia" w:ascii="仿宋_GB2312" w:hAnsi="仿宋_GB2312" w:eastAsia="仿宋_GB2312" w:cs="仿宋_GB2312"/>
                <w:color w:val="000000"/>
                <w:sz w:val="20"/>
                <w:szCs w:val="20"/>
                <w:highlight w:val="none"/>
                <w:lang w:val="en-US" w:eastAsia="zh-CN"/>
              </w:rPr>
              <w:t>5</w:t>
            </w:r>
          </w:p>
        </w:tc>
        <w:tc>
          <w:tcPr>
            <w:tcW w:w="1420"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p>
        </w:tc>
      </w:tr>
      <w:tr>
        <w:tblPrEx>
          <w:tblCellMar>
            <w:top w:w="0" w:type="dxa"/>
            <w:left w:w="108" w:type="dxa"/>
            <w:bottom w:w="0" w:type="dxa"/>
            <w:right w:w="108" w:type="dxa"/>
          </w:tblCellMar>
        </w:tblPrEx>
        <w:trPr>
          <w:jc w:val="center"/>
        </w:trPr>
        <w:tc>
          <w:tcPr>
            <w:tcW w:w="1068" w:type="dxa"/>
            <w:vMerge w:val="continue"/>
            <w:tcBorders>
              <w:left w:val="single" w:color="auto" w:sz="4" w:space="0"/>
              <w:right w:val="single" w:color="auto" w:sz="4" w:space="0"/>
            </w:tcBorders>
            <w:noWrap w:val="0"/>
            <w:vAlign w:val="center"/>
          </w:tcPr>
          <w:p>
            <w:pPr>
              <w:spacing w:line="240" w:lineRule="exact"/>
              <w:jc w:val="left"/>
              <w:rPr>
                <w:rFonts w:hint="eastAsia" w:ascii="仿宋_GB2312" w:hAnsi="仿宋_GB2312" w:eastAsia="仿宋_GB2312" w:cs="仿宋_GB2312"/>
                <w:color w:val="000000"/>
                <w:sz w:val="20"/>
                <w:szCs w:val="20"/>
                <w:highlight w:val="none"/>
              </w:rPr>
            </w:pPr>
          </w:p>
        </w:tc>
        <w:tc>
          <w:tcPr>
            <w:tcW w:w="1068" w:type="dxa"/>
            <w:vMerge w:val="continue"/>
            <w:tcBorders>
              <w:left w:val="nil"/>
              <w:right w:val="single" w:color="auto" w:sz="4" w:space="0"/>
            </w:tcBorders>
            <w:noWrap w:val="0"/>
            <w:vAlign w:val="center"/>
          </w:tcPr>
          <w:p>
            <w:pPr>
              <w:spacing w:line="240" w:lineRule="exact"/>
              <w:jc w:val="left"/>
              <w:rPr>
                <w:rFonts w:hint="eastAsia" w:ascii="仿宋_GB2312" w:hAnsi="仿宋_GB2312" w:eastAsia="仿宋_GB2312" w:cs="仿宋_GB2312"/>
                <w:color w:val="000000"/>
                <w:sz w:val="20"/>
                <w:szCs w:val="20"/>
                <w:highlight w:val="none"/>
              </w:rPr>
            </w:pPr>
          </w:p>
        </w:tc>
        <w:tc>
          <w:tcPr>
            <w:tcW w:w="1018" w:type="dxa"/>
            <w:vMerge w:val="continue"/>
            <w:tcBorders>
              <w:left w:val="nil"/>
              <w:right w:val="single" w:color="auto" w:sz="4" w:space="0"/>
            </w:tcBorders>
            <w:noWrap w:val="0"/>
            <w:vAlign w:val="center"/>
          </w:tcPr>
          <w:p>
            <w:pPr>
              <w:spacing w:line="240" w:lineRule="exact"/>
              <w:jc w:val="center"/>
              <w:rPr>
                <w:rFonts w:hint="eastAsia" w:ascii="仿宋_GB2312" w:hAnsi="仿宋_GB2312" w:eastAsia="仿宋_GB2312" w:cs="仿宋_GB2312"/>
                <w:color w:val="000000"/>
                <w:sz w:val="20"/>
                <w:szCs w:val="20"/>
                <w:highlight w:val="none"/>
              </w:rPr>
            </w:pPr>
          </w:p>
        </w:tc>
        <w:tc>
          <w:tcPr>
            <w:tcW w:w="1608" w:type="dxa"/>
            <w:tcBorders>
              <w:top w:val="nil"/>
              <w:left w:val="nil"/>
              <w:bottom w:val="single" w:color="auto" w:sz="4" w:space="0"/>
              <w:right w:val="single" w:color="auto"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color w:val="000000"/>
                <w:sz w:val="13"/>
                <w:szCs w:val="13"/>
                <w:highlight w:val="none"/>
              </w:rPr>
            </w:pPr>
            <w:r>
              <w:rPr>
                <w:rFonts w:hint="eastAsia" w:ascii="宋体" w:hAnsi="宋体" w:eastAsia="宋体" w:cs="宋体"/>
                <w:i w:val="0"/>
                <w:iCs w:val="0"/>
                <w:color w:val="000000"/>
                <w:kern w:val="0"/>
                <w:sz w:val="13"/>
                <w:szCs w:val="13"/>
                <w:u w:val="none"/>
                <w:lang w:val="en-US" w:eastAsia="zh-CN" w:bidi="ar"/>
              </w:rPr>
              <w:t>消费者投诉处置率</w:t>
            </w:r>
          </w:p>
        </w:tc>
        <w:tc>
          <w:tcPr>
            <w:tcW w:w="1354" w:type="dxa"/>
            <w:tcBorders>
              <w:top w:val="nil"/>
              <w:left w:val="nil"/>
              <w:bottom w:val="single" w:color="auto" w:sz="4" w:space="0"/>
              <w:right w:val="single" w:color="auto"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color w:val="000000"/>
                <w:sz w:val="13"/>
                <w:szCs w:val="13"/>
                <w:highlight w:val="none"/>
              </w:rPr>
            </w:pPr>
            <w:r>
              <w:rPr>
                <w:rFonts w:hint="eastAsia" w:ascii="宋体" w:hAnsi="宋体" w:eastAsia="宋体" w:cs="宋体"/>
                <w:i w:val="0"/>
                <w:iCs w:val="0"/>
                <w:color w:val="000000"/>
                <w:kern w:val="0"/>
                <w:sz w:val="13"/>
                <w:szCs w:val="13"/>
                <w:u w:val="none"/>
                <w:lang w:val="en-US" w:eastAsia="zh-CN" w:bidi="ar"/>
              </w:rPr>
              <w:t>100%</w:t>
            </w:r>
          </w:p>
        </w:tc>
        <w:tc>
          <w:tcPr>
            <w:tcW w:w="916" w:type="dxa"/>
            <w:tcBorders>
              <w:top w:val="nil"/>
              <w:left w:val="nil"/>
              <w:bottom w:val="single" w:color="auto" w:sz="4" w:space="0"/>
              <w:right w:val="single" w:color="auto"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color w:val="000000"/>
                <w:sz w:val="13"/>
                <w:szCs w:val="13"/>
                <w:highlight w:val="none"/>
              </w:rPr>
            </w:pPr>
            <w:r>
              <w:rPr>
                <w:rFonts w:hint="eastAsia" w:ascii="宋体" w:hAnsi="宋体" w:eastAsia="宋体" w:cs="宋体"/>
                <w:i w:val="0"/>
                <w:iCs w:val="0"/>
                <w:color w:val="000000"/>
                <w:kern w:val="0"/>
                <w:sz w:val="13"/>
                <w:szCs w:val="13"/>
                <w:u w:val="none"/>
                <w:lang w:val="en-US" w:eastAsia="zh-CN" w:bidi="ar"/>
              </w:rPr>
              <w:t>100%</w:t>
            </w:r>
          </w:p>
        </w:tc>
        <w:tc>
          <w:tcPr>
            <w:tcW w:w="711"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lang w:val="en-US" w:eastAsia="zh-CN"/>
              </w:rPr>
              <w:t>2</w:t>
            </w:r>
          </w:p>
        </w:tc>
        <w:tc>
          <w:tcPr>
            <w:tcW w:w="916"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kern w:val="0"/>
                <w:sz w:val="20"/>
                <w:szCs w:val="20"/>
                <w:highlight w:val="none"/>
                <w:lang w:val="en-US" w:eastAsia="zh-CN" w:bidi="ar-SA"/>
              </w:rPr>
            </w:pPr>
            <w:r>
              <w:rPr>
                <w:rFonts w:hint="eastAsia" w:ascii="仿宋_GB2312" w:hAnsi="仿宋_GB2312" w:eastAsia="仿宋_GB2312" w:cs="仿宋_GB2312"/>
                <w:color w:val="000000"/>
                <w:sz w:val="20"/>
                <w:szCs w:val="20"/>
                <w:highlight w:val="none"/>
                <w:lang w:val="en-US" w:eastAsia="zh-CN"/>
              </w:rPr>
              <w:t>2</w:t>
            </w:r>
          </w:p>
        </w:tc>
        <w:tc>
          <w:tcPr>
            <w:tcW w:w="1420"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p>
        </w:tc>
      </w:tr>
      <w:tr>
        <w:tblPrEx>
          <w:tblCellMar>
            <w:top w:w="0" w:type="dxa"/>
            <w:left w:w="108" w:type="dxa"/>
            <w:bottom w:w="0" w:type="dxa"/>
            <w:right w:w="108" w:type="dxa"/>
          </w:tblCellMar>
        </w:tblPrEx>
        <w:trPr>
          <w:jc w:val="center"/>
        </w:trPr>
        <w:tc>
          <w:tcPr>
            <w:tcW w:w="1068" w:type="dxa"/>
            <w:vMerge w:val="continue"/>
            <w:tcBorders>
              <w:left w:val="single" w:color="auto" w:sz="4" w:space="0"/>
              <w:right w:val="single" w:color="auto" w:sz="4" w:space="0"/>
            </w:tcBorders>
            <w:noWrap w:val="0"/>
            <w:vAlign w:val="center"/>
          </w:tcPr>
          <w:p>
            <w:pPr>
              <w:spacing w:line="240" w:lineRule="exact"/>
              <w:jc w:val="left"/>
              <w:rPr>
                <w:rFonts w:hint="eastAsia" w:ascii="仿宋_GB2312" w:hAnsi="仿宋_GB2312" w:eastAsia="仿宋_GB2312" w:cs="仿宋_GB2312"/>
                <w:color w:val="000000"/>
                <w:sz w:val="20"/>
                <w:szCs w:val="20"/>
                <w:highlight w:val="none"/>
              </w:rPr>
            </w:pPr>
          </w:p>
        </w:tc>
        <w:tc>
          <w:tcPr>
            <w:tcW w:w="1068" w:type="dxa"/>
            <w:vMerge w:val="continue"/>
            <w:tcBorders>
              <w:left w:val="nil"/>
              <w:right w:val="single" w:color="auto" w:sz="4" w:space="0"/>
            </w:tcBorders>
            <w:noWrap w:val="0"/>
            <w:vAlign w:val="center"/>
          </w:tcPr>
          <w:p>
            <w:pPr>
              <w:spacing w:line="240" w:lineRule="exact"/>
              <w:jc w:val="left"/>
              <w:rPr>
                <w:rFonts w:hint="eastAsia" w:ascii="仿宋_GB2312" w:hAnsi="仿宋_GB2312" w:eastAsia="仿宋_GB2312" w:cs="仿宋_GB2312"/>
                <w:color w:val="000000"/>
                <w:sz w:val="20"/>
                <w:szCs w:val="20"/>
                <w:highlight w:val="none"/>
              </w:rPr>
            </w:pPr>
          </w:p>
        </w:tc>
        <w:tc>
          <w:tcPr>
            <w:tcW w:w="1018" w:type="dxa"/>
            <w:vMerge w:val="continue"/>
            <w:tcBorders>
              <w:left w:val="nil"/>
              <w:right w:val="single" w:color="auto" w:sz="4" w:space="0"/>
            </w:tcBorders>
            <w:noWrap w:val="0"/>
            <w:vAlign w:val="center"/>
          </w:tcPr>
          <w:p>
            <w:pPr>
              <w:spacing w:line="240" w:lineRule="exact"/>
              <w:jc w:val="center"/>
              <w:rPr>
                <w:rFonts w:hint="eastAsia" w:ascii="仿宋_GB2312" w:hAnsi="仿宋_GB2312" w:eastAsia="仿宋_GB2312" w:cs="仿宋_GB2312"/>
                <w:color w:val="000000"/>
                <w:sz w:val="20"/>
                <w:szCs w:val="20"/>
                <w:highlight w:val="none"/>
              </w:rPr>
            </w:pPr>
          </w:p>
        </w:tc>
        <w:tc>
          <w:tcPr>
            <w:tcW w:w="1608" w:type="dxa"/>
            <w:tcBorders>
              <w:top w:val="nil"/>
              <w:left w:val="nil"/>
              <w:bottom w:val="single" w:color="auto" w:sz="4" w:space="0"/>
              <w:right w:val="single" w:color="auto"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color w:val="000000"/>
                <w:sz w:val="13"/>
                <w:szCs w:val="13"/>
                <w:highlight w:val="none"/>
              </w:rPr>
            </w:pPr>
            <w:r>
              <w:rPr>
                <w:rFonts w:hint="eastAsia" w:ascii="宋体" w:hAnsi="宋体" w:eastAsia="宋体" w:cs="宋体"/>
                <w:i w:val="0"/>
                <w:iCs w:val="0"/>
                <w:color w:val="000000"/>
                <w:kern w:val="0"/>
                <w:sz w:val="13"/>
                <w:szCs w:val="13"/>
                <w:u w:val="none"/>
                <w:lang w:val="en-US" w:eastAsia="zh-CN" w:bidi="ar"/>
              </w:rPr>
              <w:t>为消费者挽回经济损失</w:t>
            </w:r>
          </w:p>
        </w:tc>
        <w:tc>
          <w:tcPr>
            <w:tcW w:w="1354" w:type="dxa"/>
            <w:tcBorders>
              <w:top w:val="nil"/>
              <w:left w:val="nil"/>
              <w:bottom w:val="single" w:color="auto" w:sz="4" w:space="0"/>
              <w:right w:val="single" w:color="auto" w:sz="4" w:space="0"/>
            </w:tcBorders>
            <w:noWrap w:val="0"/>
            <w:vAlign w:val="center"/>
          </w:tcPr>
          <w:p>
            <w:pPr>
              <w:jc w:val="center"/>
              <w:rPr>
                <w:rFonts w:hint="eastAsia" w:ascii="仿宋_GB2312" w:hAnsi="仿宋_GB2312" w:eastAsia="仿宋_GB2312" w:cs="仿宋_GB2312"/>
                <w:color w:val="000000"/>
                <w:sz w:val="13"/>
                <w:szCs w:val="13"/>
                <w:highlight w:val="none"/>
              </w:rPr>
            </w:pPr>
          </w:p>
        </w:tc>
        <w:tc>
          <w:tcPr>
            <w:tcW w:w="916" w:type="dxa"/>
            <w:tcBorders>
              <w:top w:val="nil"/>
              <w:left w:val="nil"/>
              <w:bottom w:val="single" w:color="auto" w:sz="4" w:space="0"/>
              <w:right w:val="single" w:color="auto"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color w:val="000000"/>
                <w:sz w:val="13"/>
                <w:szCs w:val="13"/>
                <w:highlight w:val="none"/>
              </w:rPr>
            </w:pPr>
            <w:r>
              <w:rPr>
                <w:rFonts w:hint="eastAsia" w:ascii="宋体" w:hAnsi="宋体" w:eastAsia="宋体" w:cs="宋体"/>
                <w:i w:val="0"/>
                <w:iCs w:val="0"/>
                <w:color w:val="000000"/>
                <w:kern w:val="0"/>
                <w:sz w:val="13"/>
                <w:szCs w:val="13"/>
                <w:u w:val="none"/>
                <w:lang w:val="en-US" w:eastAsia="zh-CN" w:bidi="ar"/>
              </w:rPr>
              <w:t>200万元</w:t>
            </w:r>
          </w:p>
        </w:tc>
        <w:tc>
          <w:tcPr>
            <w:tcW w:w="711"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lang w:val="en-US" w:eastAsia="zh-CN"/>
              </w:rPr>
              <w:t>2</w:t>
            </w:r>
          </w:p>
        </w:tc>
        <w:tc>
          <w:tcPr>
            <w:tcW w:w="916"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kern w:val="0"/>
                <w:sz w:val="20"/>
                <w:szCs w:val="20"/>
                <w:highlight w:val="none"/>
                <w:lang w:val="en-US" w:eastAsia="zh-CN" w:bidi="ar-SA"/>
              </w:rPr>
            </w:pPr>
            <w:r>
              <w:rPr>
                <w:rFonts w:hint="eastAsia" w:ascii="仿宋_GB2312" w:hAnsi="仿宋_GB2312" w:eastAsia="仿宋_GB2312" w:cs="仿宋_GB2312"/>
                <w:color w:val="000000"/>
                <w:sz w:val="20"/>
                <w:szCs w:val="20"/>
                <w:highlight w:val="none"/>
                <w:lang w:val="en-US" w:eastAsia="zh-CN"/>
              </w:rPr>
              <w:t>2</w:t>
            </w:r>
          </w:p>
        </w:tc>
        <w:tc>
          <w:tcPr>
            <w:tcW w:w="1420"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p>
        </w:tc>
      </w:tr>
      <w:tr>
        <w:tblPrEx>
          <w:tblCellMar>
            <w:top w:w="0" w:type="dxa"/>
            <w:left w:w="108" w:type="dxa"/>
            <w:bottom w:w="0" w:type="dxa"/>
            <w:right w:w="108" w:type="dxa"/>
          </w:tblCellMar>
        </w:tblPrEx>
        <w:trPr>
          <w:jc w:val="center"/>
        </w:trPr>
        <w:tc>
          <w:tcPr>
            <w:tcW w:w="1068" w:type="dxa"/>
            <w:vMerge w:val="continue"/>
            <w:tcBorders>
              <w:left w:val="single" w:color="auto" w:sz="4" w:space="0"/>
              <w:right w:val="single" w:color="auto" w:sz="4" w:space="0"/>
            </w:tcBorders>
            <w:noWrap w:val="0"/>
            <w:vAlign w:val="center"/>
          </w:tcPr>
          <w:p>
            <w:pPr>
              <w:spacing w:line="240" w:lineRule="exact"/>
              <w:jc w:val="left"/>
              <w:rPr>
                <w:rFonts w:hint="eastAsia" w:ascii="仿宋_GB2312" w:hAnsi="仿宋_GB2312" w:eastAsia="仿宋_GB2312" w:cs="仿宋_GB2312"/>
                <w:color w:val="000000"/>
                <w:sz w:val="20"/>
                <w:szCs w:val="20"/>
                <w:highlight w:val="none"/>
              </w:rPr>
            </w:pPr>
          </w:p>
        </w:tc>
        <w:tc>
          <w:tcPr>
            <w:tcW w:w="1068" w:type="dxa"/>
            <w:vMerge w:val="continue"/>
            <w:tcBorders>
              <w:left w:val="nil"/>
              <w:right w:val="single" w:color="auto" w:sz="4" w:space="0"/>
            </w:tcBorders>
            <w:noWrap w:val="0"/>
            <w:vAlign w:val="center"/>
          </w:tcPr>
          <w:p>
            <w:pPr>
              <w:spacing w:line="240" w:lineRule="exact"/>
              <w:jc w:val="left"/>
              <w:rPr>
                <w:rFonts w:hint="eastAsia" w:ascii="仿宋_GB2312" w:hAnsi="仿宋_GB2312" w:eastAsia="仿宋_GB2312" w:cs="仿宋_GB2312"/>
                <w:color w:val="000000"/>
                <w:sz w:val="20"/>
                <w:szCs w:val="20"/>
                <w:highlight w:val="none"/>
              </w:rPr>
            </w:pPr>
          </w:p>
        </w:tc>
        <w:tc>
          <w:tcPr>
            <w:tcW w:w="1018" w:type="dxa"/>
            <w:vMerge w:val="continue"/>
            <w:tcBorders>
              <w:left w:val="nil"/>
              <w:right w:val="single" w:color="auto" w:sz="4" w:space="0"/>
            </w:tcBorders>
            <w:noWrap w:val="0"/>
            <w:vAlign w:val="center"/>
          </w:tcPr>
          <w:p>
            <w:pPr>
              <w:spacing w:line="240" w:lineRule="exact"/>
              <w:jc w:val="center"/>
              <w:rPr>
                <w:rFonts w:hint="eastAsia" w:ascii="仿宋_GB2312" w:hAnsi="仿宋_GB2312" w:eastAsia="仿宋_GB2312" w:cs="仿宋_GB2312"/>
                <w:color w:val="000000"/>
                <w:sz w:val="20"/>
                <w:szCs w:val="20"/>
                <w:highlight w:val="none"/>
              </w:rPr>
            </w:pPr>
          </w:p>
        </w:tc>
        <w:tc>
          <w:tcPr>
            <w:tcW w:w="1608" w:type="dxa"/>
            <w:tcBorders>
              <w:top w:val="nil"/>
              <w:left w:val="nil"/>
              <w:bottom w:val="single" w:color="auto" w:sz="4" w:space="0"/>
              <w:right w:val="single" w:color="auto"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color w:val="000000"/>
                <w:sz w:val="13"/>
                <w:szCs w:val="13"/>
                <w:highlight w:val="none"/>
              </w:rPr>
            </w:pPr>
            <w:r>
              <w:rPr>
                <w:rFonts w:hint="eastAsia" w:ascii="宋体" w:hAnsi="宋体" w:eastAsia="宋体" w:cs="宋体"/>
                <w:i w:val="0"/>
                <w:iCs w:val="0"/>
                <w:color w:val="000000"/>
                <w:kern w:val="0"/>
                <w:sz w:val="13"/>
                <w:szCs w:val="13"/>
                <w:u w:val="none"/>
                <w:lang w:val="en-US" w:eastAsia="zh-CN" w:bidi="ar"/>
              </w:rPr>
              <w:t>年报率</w:t>
            </w:r>
          </w:p>
        </w:tc>
        <w:tc>
          <w:tcPr>
            <w:tcW w:w="1354" w:type="dxa"/>
            <w:tcBorders>
              <w:top w:val="nil"/>
              <w:left w:val="nil"/>
              <w:bottom w:val="single" w:color="auto" w:sz="4" w:space="0"/>
              <w:right w:val="single" w:color="auto"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color w:val="000000"/>
                <w:sz w:val="13"/>
                <w:szCs w:val="13"/>
                <w:highlight w:val="none"/>
              </w:rPr>
            </w:pPr>
            <w:r>
              <w:rPr>
                <w:rFonts w:hint="eastAsia" w:ascii="宋体" w:hAnsi="宋体" w:eastAsia="宋体" w:cs="宋体"/>
                <w:i w:val="0"/>
                <w:iCs w:val="0"/>
                <w:color w:val="000000"/>
                <w:kern w:val="0"/>
                <w:sz w:val="13"/>
                <w:szCs w:val="13"/>
                <w:u w:val="none"/>
                <w:lang w:val="en-US" w:eastAsia="zh-CN" w:bidi="ar"/>
              </w:rPr>
              <w:t>≥95%</w:t>
            </w:r>
          </w:p>
        </w:tc>
        <w:tc>
          <w:tcPr>
            <w:tcW w:w="916" w:type="dxa"/>
            <w:tcBorders>
              <w:top w:val="nil"/>
              <w:left w:val="nil"/>
              <w:bottom w:val="single" w:color="auto" w:sz="4" w:space="0"/>
              <w:right w:val="single" w:color="auto"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color w:val="000000"/>
                <w:sz w:val="13"/>
                <w:szCs w:val="13"/>
                <w:highlight w:val="none"/>
              </w:rPr>
            </w:pPr>
            <w:r>
              <w:rPr>
                <w:rFonts w:hint="eastAsia" w:ascii="宋体" w:hAnsi="宋体" w:eastAsia="宋体" w:cs="宋体"/>
                <w:i w:val="0"/>
                <w:iCs w:val="0"/>
                <w:color w:val="000000"/>
                <w:kern w:val="0"/>
                <w:sz w:val="13"/>
                <w:szCs w:val="13"/>
                <w:u w:val="none"/>
                <w:lang w:val="en-US" w:eastAsia="zh-CN" w:bidi="ar"/>
              </w:rPr>
              <w:t>96%</w:t>
            </w:r>
          </w:p>
        </w:tc>
        <w:tc>
          <w:tcPr>
            <w:tcW w:w="711"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lang w:val="en-US" w:eastAsia="zh-CN"/>
              </w:rPr>
              <w:t>2</w:t>
            </w:r>
          </w:p>
        </w:tc>
        <w:tc>
          <w:tcPr>
            <w:tcW w:w="916"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kern w:val="0"/>
                <w:sz w:val="20"/>
                <w:szCs w:val="20"/>
                <w:highlight w:val="none"/>
                <w:lang w:val="en-US" w:eastAsia="zh-CN" w:bidi="ar-SA"/>
              </w:rPr>
            </w:pPr>
            <w:r>
              <w:rPr>
                <w:rFonts w:hint="eastAsia" w:ascii="仿宋_GB2312" w:hAnsi="仿宋_GB2312" w:eastAsia="仿宋_GB2312" w:cs="仿宋_GB2312"/>
                <w:color w:val="000000"/>
                <w:sz w:val="20"/>
                <w:szCs w:val="20"/>
                <w:highlight w:val="none"/>
                <w:lang w:val="en-US" w:eastAsia="zh-CN"/>
              </w:rPr>
              <w:t>2</w:t>
            </w:r>
          </w:p>
        </w:tc>
        <w:tc>
          <w:tcPr>
            <w:tcW w:w="1420"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p>
        </w:tc>
      </w:tr>
      <w:tr>
        <w:tblPrEx>
          <w:tblCellMar>
            <w:top w:w="0" w:type="dxa"/>
            <w:left w:w="108" w:type="dxa"/>
            <w:bottom w:w="0" w:type="dxa"/>
            <w:right w:w="108" w:type="dxa"/>
          </w:tblCellMar>
        </w:tblPrEx>
        <w:trPr>
          <w:jc w:val="center"/>
        </w:trPr>
        <w:tc>
          <w:tcPr>
            <w:tcW w:w="1068" w:type="dxa"/>
            <w:vMerge w:val="continue"/>
            <w:tcBorders>
              <w:left w:val="single" w:color="auto" w:sz="4" w:space="0"/>
              <w:right w:val="single" w:color="auto" w:sz="4" w:space="0"/>
            </w:tcBorders>
            <w:noWrap w:val="0"/>
            <w:vAlign w:val="center"/>
          </w:tcPr>
          <w:p>
            <w:pPr>
              <w:spacing w:line="240" w:lineRule="exact"/>
              <w:jc w:val="left"/>
              <w:rPr>
                <w:rFonts w:hint="eastAsia" w:ascii="仿宋_GB2312" w:hAnsi="仿宋_GB2312" w:eastAsia="仿宋_GB2312" w:cs="仿宋_GB2312"/>
                <w:color w:val="000000"/>
                <w:sz w:val="20"/>
                <w:szCs w:val="20"/>
                <w:highlight w:val="none"/>
              </w:rPr>
            </w:pPr>
          </w:p>
        </w:tc>
        <w:tc>
          <w:tcPr>
            <w:tcW w:w="1068" w:type="dxa"/>
            <w:vMerge w:val="continue"/>
            <w:tcBorders>
              <w:left w:val="nil"/>
              <w:right w:val="single" w:color="auto" w:sz="4" w:space="0"/>
            </w:tcBorders>
            <w:noWrap w:val="0"/>
            <w:vAlign w:val="center"/>
          </w:tcPr>
          <w:p>
            <w:pPr>
              <w:spacing w:line="240" w:lineRule="exact"/>
              <w:jc w:val="left"/>
              <w:rPr>
                <w:rFonts w:hint="eastAsia" w:ascii="仿宋_GB2312" w:hAnsi="仿宋_GB2312" w:eastAsia="仿宋_GB2312" w:cs="仿宋_GB2312"/>
                <w:color w:val="000000"/>
                <w:sz w:val="20"/>
                <w:szCs w:val="20"/>
                <w:highlight w:val="none"/>
              </w:rPr>
            </w:pPr>
          </w:p>
        </w:tc>
        <w:tc>
          <w:tcPr>
            <w:tcW w:w="1018" w:type="dxa"/>
            <w:vMerge w:val="continue"/>
            <w:tcBorders>
              <w:left w:val="nil"/>
              <w:right w:val="single" w:color="auto" w:sz="4" w:space="0"/>
            </w:tcBorders>
            <w:noWrap w:val="0"/>
            <w:vAlign w:val="center"/>
          </w:tcPr>
          <w:p>
            <w:pPr>
              <w:spacing w:line="240" w:lineRule="exact"/>
              <w:jc w:val="center"/>
              <w:rPr>
                <w:rFonts w:hint="eastAsia" w:ascii="仿宋_GB2312" w:hAnsi="仿宋_GB2312" w:eastAsia="仿宋_GB2312" w:cs="仿宋_GB2312"/>
                <w:color w:val="000000"/>
                <w:sz w:val="20"/>
                <w:szCs w:val="20"/>
                <w:highlight w:val="none"/>
              </w:rPr>
            </w:pPr>
          </w:p>
        </w:tc>
        <w:tc>
          <w:tcPr>
            <w:tcW w:w="1608" w:type="dxa"/>
            <w:tcBorders>
              <w:top w:val="nil"/>
              <w:left w:val="nil"/>
              <w:bottom w:val="single" w:color="auto" w:sz="4" w:space="0"/>
              <w:right w:val="single" w:color="auto"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color w:val="000000"/>
                <w:sz w:val="13"/>
                <w:szCs w:val="13"/>
                <w:highlight w:val="none"/>
              </w:rPr>
            </w:pPr>
            <w:r>
              <w:rPr>
                <w:rFonts w:hint="eastAsia" w:ascii="宋体" w:hAnsi="宋体" w:eastAsia="宋体" w:cs="宋体"/>
                <w:i w:val="0"/>
                <w:iCs w:val="0"/>
                <w:color w:val="000000"/>
                <w:kern w:val="0"/>
                <w:sz w:val="13"/>
                <w:szCs w:val="13"/>
                <w:u w:val="none"/>
                <w:lang w:val="en-US" w:eastAsia="zh-CN" w:bidi="ar"/>
              </w:rPr>
              <w:t xml:space="preserve">  推进商标品牌战略</w:t>
            </w:r>
          </w:p>
        </w:tc>
        <w:tc>
          <w:tcPr>
            <w:tcW w:w="1354" w:type="dxa"/>
            <w:tcBorders>
              <w:top w:val="nil"/>
              <w:left w:val="nil"/>
              <w:bottom w:val="single" w:color="auto" w:sz="4" w:space="0"/>
              <w:right w:val="single" w:color="auto"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color w:val="000000"/>
                <w:sz w:val="13"/>
                <w:szCs w:val="13"/>
                <w:highlight w:val="none"/>
              </w:rPr>
            </w:pPr>
            <w:r>
              <w:rPr>
                <w:rFonts w:hint="eastAsia" w:ascii="宋体" w:hAnsi="宋体" w:eastAsia="宋体" w:cs="宋体"/>
                <w:i w:val="0"/>
                <w:iCs w:val="0"/>
                <w:color w:val="000000"/>
                <w:kern w:val="0"/>
                <w:sz w:val="13"/>
                <w:szCs w:val="13"/>
                <w:u w:val="none"/>
                <w:lang w:val="en-US" w:eastAsia="zh-CN" w:bidi="ar"/>
              </w:rPr>
              <w:t>≥100件</w:t>
            </w:r>
          </w:p>
        </w:tc>
        <w:tc>
          <w:tcPr>
            <w:tcW w:w="916" w:type="dxa"/>
            <w:tcBorders>
              <w:top w:val="nil"/>
              <w:left w:val="nil"/>
              <w:bottom w:val="single" w:color="auto" w:sz="4" w:space="0"/>
              <w:right w:val="single" w:color="auto"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color w:val="000000"/>
                <w:sz w:val="13"/>
                <w:szCs w:val="13"/>
                <w:highlight w:val="none"/>
              </w:rPr>
            </w:pPr>
            <w:r>
              <w:rPr>
                <w:rFonts w:hint="eastAsia" w:ascii="宋体" w:hAnsi="宋体" w:eastAsia="宋体" w:cs="宋体"/>
                <w:i w:val="0"/>
                <w:iCs w:val="0"/>
                <w:color w:val="000000"/>
                <w:kern w:val="0"/>
                <w:sz w:val="13"/>
                <w:szCs w:val="13"/>
                <w:u w:val="none"/>
                <w:lang w:val="en-US" w:eastAsia="zh-CN" w:bidi="ar"/>
              </w:rPr>
              <w:t>100件</w:t>
            </w:r>
          </w:p>
        </w:tc>
        <w:tc>
          <w:tcPr>
            <w:tcW w:w="711"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lang w:val="en-US" w:eastAsia="zh-CN"/>
              </w:rPr>
              <w:t>2</w:t>
            </w:r>
          </w:p>
        </w:tc>
        <w:tc>
          <w:tcPr>
            <w:tcW w:w="916"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kern w:val="0"/>
                <w:sz w:val="20"/>
                <w:szCs w:val="20"/>
                <w:highlight w:val="none"/>
                <w:lang w:val="en-US" w:eastAsia="zh-CN" w:bidi="ar-SA"/>
              </w:rPr>
            </w:pPr>
            <w:r>
              <w:rPr>
                <w:rFonts w:hint="eastAsia" w:ascii="仿宋_GB2312" w:hAnsi="仿宋_GB2312" w:eastAsia="仿宋_GB2312" w:cs="仿宋_GB2312"/>
                <w:color w:val="000000"/>
                <w:sz w:val="20"/>
                <w:szCs w:val="20"/>
                <w:highlight w:val="none"/>
                <w:lang w:val="en-US" w:eastAsia="zh-CN"/>
              </w:rPr>
              <w:t>2</w:t>
            </w:r>
          </w:p>
        </w:tc>
        <w:tc>
          <w:tcPr>
            <w:tcW w:w="1420"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r>
      <w:tr>
        <w:tblPrEx>
          <w:tblCellMar>
            <w:top w:w="0" w:type="dxa"/>
            <w:left w:w="108" w:type="dxa"/>
            <w:bottom w:w="0" w:type="dxa"/>
            <w:right w:w="108" w:type="dxa"/>
          </w:tblCellMar>
        </w:tblPrEx>
        <w:trPr>
          <w:jc w:val="center"/>
        </w:trPr>
        <w:tc>
          <w:tcPr>
            <w:tcW w:w="1068" w:type="dxa"/>
            <w:vMerge w:val="continue"/>
            <w:tcBorders>
              <w:left w:val="single" w:color="auto" w:sz="4" w:space="0"/>
              <w:right w:val="single" w:color="auto" w:sz="4" w:space="0"/>
            </w:tcBorders>
            <w:noWrap w:val="0"/>
            <w:vAlign w:val="center"/>
          </w:tcPr>
          <w:p>
            <w:pPr>
              <w:spacing w:line="240" w:lineRule="exact"/>
              <w:jc w:val="left"/>
              <w:rPr>
                <w:rFonts w:hint="eastAsia" w:ascii="仿宋_GB2312" w:hAnsi="仿宋_GB2312" w:eastAsia="仿宋_GB2312" w:cs="仿宋_GB2312"/>
                <w:color w:val="000000"/>
                <w:sz w:val="20"/>
                <w:szCs w:val="20"/>
                <w:highlight w:val="none"/>
              </w:rPr>
            </w:pPr>
          </w:p>
        </w:tc>
        <w:tc>
          <w:tcPr>
            <w:tcW w:w="1068" w:type="dxa"/>
            <w:vMerge w:val="continue"/>
            <w:tcBorders>
              <w:left w:val="nil"/>
              <w:right w:val="single" w:color="auto" w:sz="4" w:space="0"/>
            </w:tcBorders>
            <w:noWrap w:val="0"/>
            <w:vAlign w:val="center"/>
          </w:tcPr>
          <w:p>
            <w:pPr>
              <w:spacing w:line="240" w:lineRule="exact"/>
              <w:jc w:val="left"/>
              <w:rPr>
                <w:rFonts w:hint="eastAsia" w:ascii="仿宋_GB2312" w:hAnsi="仿宋_GB2312" w:eastAsia="仿宋_GB2312" w:cs="仿宋_GB2312"/>
                <w:color w:val="000000"/>
                <w:sz w:val="20"/>
                <w:szCs w:val="20"/>
                <w:highlight w:val="none"/>
              </w:rPr>
            </w:pPr>
          </w:p>
        </w:tc>
        <w:tc>
          <w:tcPr>
            <w:tcW w:w="1018" w:type="dxa"/>
            <w:vMerge w:val="continue"/>
            <w:tcBorders>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p>
        </w:tc>
        <w:tc>
          <w:tcPr>
            <w:tcW w:w="1608" w:type="dxa"/>
            <w:tcBorders>
              <w:top w:val="nil"/>
              <w:left w:val="nil"/>
              <w:bottom w:val="single" w:color="auto" w:sz="4" w:space="0"/>
              <w:right w:val="single" w:color="auto"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color w:val="000000"/>
                <w:sz w:val="13"/>
                <w:szCs w:val="13"/>
                <w:highlight w:val="none"/>
              </w:rPr>
            </w:pPr>
            <w:r>
              <w:rPr>
                <w:rFonts w:hint="eastAsia" w:ascii="宋体" w:hAnsi="宋体" w:eastAsia="宋体" w:cs="宋体"/>
                <w:i w:val="0"/>
                <w:iCs w:val="0"/>
                <w:color w:val="000000"/>
                <w:kern w:val="0"/>
                <w:sz w:val="13"/>
                <w:szCs w:val="13"/>
                <w:u w:val="none"/>
                <w:lang w:val="en-US" w:eastAsia="zh-CN" w:bidi="ar"/>
              </w:rPr>
              <w:t xml:space="preserve"> 食品及食用农产品抽检</w:t>
            </w:r>
          </w:p>
        </w:tc>
        <w:tc>
          <w:tcPr>
            <w:tcW w:w="1354" w:type="dxa"/>
            <w:tcBorders>
              <w:top w:val="nil"/>
              <w:left w:val="nil"/>
              <w:bottom w:val="single" w:color="auto" w:sz="4" w:space="0"/>
              <w:right w:val="single" w:color="auto"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color w:val="000000"/>
                <w:sz w:val="13"/>
                <w:szCs w:val="13"/>
                <w:highlight w:val="none"/>
              </w:rPr>
            </w:pPr>
            <w:r>
              <w:rPr>
                <w:rFonts w:hint="eastAsia" w:ascii="宋体" w:hAnsi="宋体" w:eastAsia="宋体" w:cs="宋体"/>
                <w:i w:val="0"/>
                <w:iCs w:val="0"/>
                <w:color w:val="000000"/>
                <w:kern w:val="0"/>
                <w:sz w:val="13"/>
                <w:szCs w:val="13"/>
                <w:u w:val="none"/>
                <w:lang w:val="en-US" w:eastAsia="zh-CN" w:bidi="ar"/>
              </w:rPr>
              <w:t>≥1000</w:t>
            </w:r>
          </w:p>
        </w:tc>
        <w:tc>
          <w:tcPr>
            <w:tcW w:w="916" w:type="dxa"/>
            <w:tcBorders>
              <w:top w:val="nil"/>
              <w:left w:val="nil"/>
              <w:bottom w:val="single" w:color="auto" w:sz="4" w:space="0"/>
              <w:right w:val="single" w:color="auto"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color w:val="000000"/>
                <w:sz w:val="13"/>
                <w:szCs w:val="13"/>
                <w:highlight w:val="none"/>
              </w:rPr>
            </w:pPr>
            <w:r>
              <w:rPr>
                <w:rFonts w:hint="eastAsia" w:ascii="宋体" w:hAnsi="宋体" w:eastAsia="宋体" w:cs="宋体"/>
                <w:i w:val="0"/>
                <w:iCs w:val="0"/>
                <w:color w:val="000000"/>
                <w:kern w:val="0"/>
                <w:sz w:val="13"/>
                <w:szCs w:val="13"/>
                <w:u w:val="none"/>
                <w:lang w:val="en-US" w:eastAsia="zh-CN" w:bidi="ar"/>
              </w:rPr>
              <w:t>930</w:t>
            </w:r>
          </w:p>
        </w:tc>
        <w:tc>
          <w:tcPr>
            <w:tcW w:w="711"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lang w:val="en-US" w:eastAsia="zh-CN"/>
              </w:rPr>
              <w:t>2</w:t>
            </w:r>
          </w:p>
        </w:tc>
        <w:tc>
          <w:tcPr>
            <w:tcW w:w="916"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kern w:val="0"/>
                <w:sz w:val="20"/>
                <w:szCs w:val="20"/>
                <w:highlight w:val="none"/>
                <w:lang w:val="en-US" w:eastAsia="zh-CN" w:bidi="ar-SA"/>
              </w:rPr>
            </w:pPr>
            <w:r>
              <w:rPr>
                <w:rFonts w:hint="eastAsia" w:ascii="仿宋_GB2312" w:hAnsi="仿宋_GB2312" w:eastAsia="仿宋_GB2312" w:cs="仿宋_GB2312"/>
                <w:color w:val="000000"/>
                <w:sz w:val="20"/>
                <w:szCs w:val="20"/>
                <w:highlight w:val="none"/>
                <w:lang w:val="en-US" w:eastAsia="zh-CN"/>
              </w:rPr>
              <w:t>2</w:t>
            </w:r>
          </w:p>
        </w:tc>
        <w:tc>
          <w:tcPr>
            <w:tcW w:w="1420"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r>
      <w:tr>
        <w:tblPrEx>
          <w:tblCellMar>
            <w:top w:w="0" w:type="dxa"/>
            <w:left w:w="108" w:type="dxa"/>
            <w:bottom w:w="0" w:type="dxa"/>
            <w:right w:w="108" w:type="dxa"/>
          </w:tblCellMar>
        </w:tblPrEx>
        <w:trPr>
          <w:jc w:val="center"/>
        </w:trPr>
        <w:tc>
          <w:tcPr>
            <w:tcW w:w="1068" w:type="dxa"/>
            <w:vMerge w:val="continue"/>
            <w:tcBorders>
              <w:left w:val="single" w:color="auto" w:sz="4" w:space="0"/>
              <w:right w:val="single" w:color="auto" w:sz="4" w:space="0"/>
            </w:tcBorders>
            <w:noWrap w:val="0"/>
            <w:vAlign w:val="center"/>
          </w:tcPr>
          <w:p>
            <w:pPr>
              <w:spacing w:line="240" w:lineRule="exact"/>
              <w:jc w:val="left"/>
              <w:rPr>
                <w:rFonts w:hint="eastAsia" w:ascii="仿宋_GB2312" w:hAnsi="仿宋_GB2312" w:eastAsia="仿宋_GB2312" w:cs="仿宋_GB2312"/>
                <w:color w:val="000000"/>
                <w:sz w:val="20"/>
                <w:szCs w:val="20"/>
                <w:highlight w:val="none"/>
              </w:rPr>
            </w:pPr>
          </w:p>
        </w:tc>
        <w:tc>
          <w:tcPr>
            <w:tcW w:w="1068" w:type="dxa"/>
            <w:vMerge w:val="continue"/>
            <w:tcBorders>
              <w:left w:val="nil"/>
              <w:right w:val="single" w:color="auto" w:sz="4" w:space="0"/>
            </w:tcBorders>
            <w:noWrap w:val="0"/>
            <w:vAlign w:val="center"/>
          </w:tcPr>
          <w:p>
            <w:pPr>
              <w:spacing w:line="240" w:lineRule="exact"/>
              <w:jc w:val="left"/>
              <w:rPr>
                <w:rFonts w:hint="eastAsia" w:ascii="仿宋_GB2312" w:hAnsi="仿宋_GB2312" w:eastAsia="仿宋_GB2312" w:cs="仿宋_GB2312"/>
                <w:color w:val="000000"/>
                <w:sz w:val="20"/>
                <w:szCs w:val="20"/>
                <w:highlight w:val="none"/>
              </w:rPr>
            </w:pPr>
          </w:p>
        </w:tc>
        <w:tc>
          <w:tcPr>
            <w:tcW w:w="1018" w:type="dxa"/>
            <w:vMerge w:val="restart"/>
            <w:tcBorders>
              <w:top w:val="nil"/>
              <w:left w:val="nil"/>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质量指标</w:t>
            </w:r>
          </w:p>
        </w:tc>
        <w:tc>
          <w:tcPr>
            <w:tcW w:w="1608"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特种设备定期检验率</w:t>
            </w:r>
          </w:p>
        </w:tc>
        <w:tc>
          <w:tcPr>
            <w:tcW w:w="1354" w:type="dxa"/>
            <w:tcBorders>
              <w:top w:val="nil"/>
              <w:left w:val="nil"/>
              <w:bottom w:val="single" w:color="auto" w:sz="4" w:space="0"/>
              <w:right w:val="single" w:color="auto"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color w:val="000000"/>
                <w:kern w:val="0"/>
                <w:sz w:val="13"/>
                <w:szCs w:val="13"/>
                <w:highlight w:val="none"/>
                <w:lang w:val="en-US" w:eastAsia="zh-CN" w:bidi="ar-SA"/>
              </w:rPr>
            </w:pPr>
            <w:r>
              <w:rPr>
                <w:rFonts w:hint="eastAsia" w:ascii="宋体" w:hAnsi="宋体" w:eastAsia="宋体" w:cs="宋体"/>
                <w:i w:val="0"/>
                <w:iCs w:val="0"/>
                <w:color w:val="000000"/>
                <w:kern w:val="0"/>
                <w:sz w:val="13"/>
                <w:szCs w:val="13"/>
                <w:u w:val="none"/>
                <w:lang w:val="en-US" w:eastAsia="zh-CN" w:bidi="ar"/>
              </w:rPr>
              <w:t>100%</w:t>
            </w:r>
          </w:p>
        </w:tc>
        <w:tc>
          <w:tcPr>
            <w:tcW w:w="916" w:type="dxa"/>
            <w:tcBorders>
              <w:top w:val="nil"/>
              <w:left w:val="nil"/>
              <w:bottom w:val="single" w:color="auto" w:sz="4" w:space="0"/>
              <w:right w:val="single" w:color="auto"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color w:val="000000"/>
                <w:kern w:val="0"/>
                <w:sz w:val="13"/>
                <w:szCs w:val="13"/>
                <w:highlight w:val="none"/>
                <w:lang w:val="en-US" w:eastAsia="zh-CN" w:bidi="ar-SA"/>
              </w:rPr>
            </w:pPr>
            <w:r>
              <w:rPr>
                <w:rFonts w:hint="eastAsia" w:ascii="宋体" w:hAnsi="宋体" w:eastAsia="宋体" w:cs="宋体"/>
                <w:i w:val="0"/>
                <w:iCs w:val="0"/>
                <w:color w:val="000000"/>
                <w:kern w:val="0"/>
                <w:sz w:val="13"/>
                <w:szCs w:val="13"/>
                <w:u w:val="none"/>
                <w:lang w:val="en-US" w:eastAsia="zh-CN" w:bidi="ar"/>
              </w:rPr>
              <w:t>100%</w:t>
            </w:r>
          </w:p>
        </w:tc>
        <w:tc>
          <w:tcPr>
            <w:tcW w:w="711"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lang w:val="en-US" w:eastAsia="zh-CN"/>
              </w:rPr>
              <w:t>5</w:t>
            </w:r>
          </w:p>
        </w:tc>
        <w:tc>
          <w:tcPr>
            <w:tcW w:w="916"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lang w:val="en-US" w:eastAsia="zh-CN"/>
              </w:rPr>
              <w:t>5</w:t>
            </w:r>
          </w:p>
        </w:tc>
        <w:tc>
          <w:tcPr>
            <w:tcW w:w="1420"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r>
      <w:tr>
        <w:tblPrEx>
          <w:tblCellMar>
            <w:top w:w="0" w:type="dxa"/>
            <w:left w:w="108" w:type="dxa"/>
            <w:bottom w:w="0" w:type="dxa"/>
            <w:right w:w="108" w:type="dxa"/>
          </w:tblCellMar>
        </w:tblPrEx>
        <w:trPr>
          <w:jc w:val="center"/>
        </w:trPr>
        <w:tc>
          <w:tcPr>
            <w:tcW w:w="1068" w:type="dxa"/>
            <w:vMerge w:val="continue"/>
            <w:tcBorders>
              <w:left w:val="single" w:color="auto" w:sz="4" w:space="0"/>
              <w:right w:val="single" w:color="auto" w:sz="4" w:space="0"/>
            </w:tcBorders>
            <w:noWrap w:val="0"/>
            <w:vAlign w:val="center"/>
          </w:tcPr>
          <w:p>
            <w:pPr>
              <w:spacing w:line="240" w:lineRule="exact"/>
              <w:jc w:val="left"/>
              <w:rPr>
                <w:rFonts w:hint="eastAsia" w:ascii="仿宋_GB2312" w:hAnsi="仿宋_GB2312" w:eastAsia="仿宋_GB2312" w:cs="仿宋_GB2312"/>
                <w:color w:val="000000"/>
                <w:sz w:val="20"/>
                <w:szCs w:val="20"/>
                <w:highlight w:val="none"/>
              </w:rPr>
            </w:pPr>
          </w:p>
        </w:tc>
        <w:tc>
          <w:tcPr>
            <w:tcW w:w="1068" w:type="dxa"/>
            <w:vMerge w:val="continue"/>
            <w:tcBorders>
              <w:left w:val="nil"/>
              <w:right w:val="single" w:color="auto" w:sz="4" w:space="0"/>
            </w:tcBorders>
            <w:noWrap w:val="0"/>
            <w:vAlign w:val="center"/>
          </w:tcPr>
          <w:p>
            <w:pPr>
              <w:spacing w:line="240" w:lineRule="exact"/>
              <w:jc w:val="left"/>
              <w:rPr>
                <w:rFonts w:hint="eastAsia" w:ascii="仿宋_GB2312" w:hAnsi="仿宋_GB2312" w:eastAsia="仿宋_GB2312" w:cs="仿宋_GB2312"/>
                <w:color w:val="000000"/>
                <w:sz w:val="20"/>
                <w:szCs w:val="20"/>
                <w:highlight w:val="none"/>
              </w:rPr>
            </w:pPr>
          </w:p>
        </w:tc>
        <w:tc>
          <w:tcPr>
            <w:tcW w:w="1018" w:type="dxa"/>
            <w:vMerge w:val="continue"/>
            <w:tcBorders>
              <w:left w:val="nil"/>
              <w:right w:val="single" w:color="auto" w:sz="4" w:space="0"/>
            </w:tcBorders>
            <w:noWrap w:val="0"/>
            <w:vAlign w:val="center"/>
          </w:tcPr>
          <w:p>
            <w:pPr>
              <w:spacing w:line="240" w:lineRule="exact"/>
              <w:jc w:val="center"/>
              <w:rPr>
                <w:rFonts w:hint="eastAsia" w:ascii="仿宋_GB2312" w:hAnsi="仿宋_GB2312" w:eastAsia="仿宋_GB2312" w:cs="仿宋_GB2312"/>
                <w:color w:val="000000"/>
                <w:sz w:val="20"/>
                <w:szCs w:val="20"/>
                <w:highlight w:val="none"/>
              </w:rPr>
            </w:pPr>
          </w:p>
        </w:tc>
        <w:tc>
          <w:tcPr>
            <w:tcW w:w="1608"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发生影响恶劣的重大执法违法违规事件</w:t>
            </w:r>
          </w:p>
        </w:tc>
        <w:tc>
          <w:tcPr>
            <w:tcW w:w="1354"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lang w:val="en-US" w:eastAsia="zh-CN"/>
              </w:rPr>
              <w:t>0</w:t>
            </w:r>
          </w:p>
        </w:tc>
        <w:tc>
          <w:tcPr>
            <w:tcW w:w="916"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lang w:val="en-US" w:eastAsia="zh-CN"/>
              </w:rPr>
              <w:t>0</w:t>
            </w:r>
          </w:p>
        </w:tc>
        <w:tc>
          <w:tcPr>
            <w:tcW w:w="711"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lang w:val="en-US" w:eastAsia="zh-CN"/>
              </w:rPr>
              <w:t>5</w:t>
            </w:r>
          </w:p>
        </w:tc>
        <w:tc>
          <w:tcPr>
            <w:tcW w:w="916"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lang w:val="en-US" w:eastAsia="zh-CN"/>
              </w:rPr>
              <w:t>5</w:t>
            </w:r>
          </w:p>
        </w:tc>
        <w:tc>
          <w:tcPr>
            <w:tcW w:w="1420"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p>
        </w:tc>
      </w:tr>
      <w:tr>
        <w:tblPrEx>
          <w:tblCellMar>
            <w:top w:w="0" w:type="dxa"/>
            <w:left w:w="108" w:type="dxa"/>
            <w:bottom w:w="0" w:type="dxa"/>
            <w:right w:w="108" w:type="dxa"/>
          </w:tblCellMar>
        </w:tblPrEx>
        <w:trPr>
          <w:jc w:val="center"/>
        </w:trPr>
        <w:tc>
          <w:tcPr>
            <w:tcW w:w="1068" w:type="dxa"/>
            <w:vMerge w:val="continue"/>
            <w:tcBorders>
              <w:left w:val="single" w:color="auto" w:sz="4" w:space="0"/>
              <w:right w:val="single" w:color="auto" w:sz="4" w:space="0"/>
            </w:tcBorders>
            <w:noWrap w:val="0"/>
            <w:vAlign w:val="center"/>
          </w:tcPr>
          <w:p>
            <w:pPr>
              <w:spacing w:line="240" w:lineRule="exact"/>
              <w:jc w:val="left"/>
              <w:rPr>
                <w:rFonts w:hint="eastAsia" w:ascii="仿宋_GB2312" w:hAnsi="仿宋_GB2312" w:eastAsia="仿宋_GB2312" w:cs="仿宋_GB2312"/>
                <w:color w:val="000000"/>
                <w:sz w:val="20"/>
                <w:szCs w:val="20"/>
                <w:highlight w:val="none"/>
              </w:rPr>
            </w:pPr>
          </w:p>
        </w:tc>
        <w:tc>
          <w:tcPr>
            <w:tcW w:w="1068" w:type="dxa"/>
            <w:vMerge w:val="continue"/>
            <w:tcBorders>
              <w:left w:val="nil"/>
              <w:right w:val="single" w:color="auto" w:sz="4" w:space="0"/>
            </w:tcBorders>
            <w:noWrap w:val="0"/>
            <w:vAlign w:val="center"/>
          </w:tcPr>
          <w:p>
            <w:pPr>
              <w:spacing w:line="240" w:lineRule="exact"/>
              <w:jc w:val="left"/>
              <w:rPr>
                <w:rFonts w:hint="eastAsia" w:ascii="仿宋_GB2312" w:hAnsi="仿宋_GB2312" w:eastAsia="仿宋_GB2312" w:cs="仿宋_GB2312"/>
                <w:color w:val="000000"/>
                <w:sz w:val="20"/>
                <w:szCs w:val="20"/>
                <w:highlight w:val="none"/>
              </w:rPr>
            </w:pPr>
          </w:p>
        </w:tc>
        <w:tc>
          <w:tcPr>
            <w:tcW w:w="1018" w:type="dxa"/>
            <w:vMerge w:val="continue"/>
            <w:tcBorders>
              <w:left w:val="nil"/>
              <w:right w:val="single" w:color="auto" w:sz="4" w:space="0"/>
            </w:tcBorders>
            <w:noWrap w:val="0"/>
            <w:vAlign w:val="center"/>
          </w:tcPr>
          <w:p>
            <w:pPr>
              <w:spacing w:line="240" w:lineRule="exact"/>
              <w:jc w:val="center"/>
              <w:rPr>
                <w:rFonts w:hint="eastAsia" w:ascii="仿宋_GB2312" w:hAnsi="仿宋_GB2312" w:eastAsia="仿宋_GB2312" w:cs="仿宋_GB2312"/>
                <w:color w:val="000000"/>
                <w:sz w:val="20"/>
                <w:szCs w:val="20"/>
                <w:highlight w:val="none"/>
              </w:rPr>
            </w:pPr>
          </w:p>
        </w:tc>
        <w:tc>
          <w:tcPr>
            <w:tcW w:w="1608"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商标申请符合规范率</w:t>
            </w:r>
          </w:p>
        </w:tc>
        <w:tc>
          <w:tcPr>
            <w:tcW w:w="1354" w:type="dxa"/>
            <w:tcBorders>
              <w:top w:val="nil"/>
              <w:left w:val="nil"/>
              <w:bottom w:val="single" w:color="auto" w:sz="4" w:space="0"/>
              <w:right w:val="single" w:color="auto"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color w:val="000000"/>
                <w:sz w:val="20"/>
                <w:szCs w:val="20"/>
                <w:highlight w:val="none"/>
              </w:rPr>
            </w:pPr>
            <w:r>
              <w:rPr>
                <w:rFonts w:hint="eastAsia" w:ascii="宋体" w:hAnsi="宋体" w:eastAsia="宋体" w:cs="宋体"/>
                <w:i w:val="0"/>
                <w:iCs w:val="0"/>
                <w:color w:val="000000"/>
                <w:kern w:val="0"/>
                <w:sz w:val="13"/>
                <w:szCs w:val="13"/>
                <w:u w:val="none"/>
                <w:lang w:val="en-US" w:eastAsia="zh-CN" w:bidi="ar"/>
              </w:rPr>
              <w:t>100%</w:t>
            </w:r>
          </w:p>
        </w:tc>
        <w:tc>
          <w:tcPr>
            <w:tcW w:w="916" w:type="dxa"/>
            <w:tcBorders>
              <w:top w:val="nil"/>
              <w:left w:val="nil"/>
              <w:bottom w:val="single" w:color="auto" w:sz="4" w:space="0"/>
              <w:right w:val="single" w:color="auto"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color w:val="000000"/>
                <w:sz w:val="20"/>
                <w:szCs w:val="20"/>
                <w:highlight w:val="none"/>
              </w:rPr>
            </w:pPr>
            <w:r>
              <w:rPr>
                <w:rFonts w:hint="eastAsia" w:ascii="宋体" w:hAnsi="宋体" w:eastAsia="宋体" w:cs="宋体"/>
                <w:i w:val="0"/>
                <w:iCs w:val="0"/>
                <w:color w:val="000000"/>
                <w:kern w:val="0"/>
                <w:sz w:val="13"/>
                <w:szCs w:val="13"/>
                <w:u w:val="none"/>
                <w:lang w:val="en-US" w:eastAsia="zh-CN" w:bidi="ar"/>
              </w:rPr>
              <w:t>100%</w:t>
            </w:r>
          </w:p>
        </w:tc>
        <w:tc>
          <w:tcPr>
            <w:tcW w:w="711"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lang w:val="en-US" w:eastAsia="zh-CN"/>
              </w:rPr>
              <w:t>5</w:t>
            </w:r>
          </w:p>
        </w:tc>
        <w:tc>
          <w:tcPr>
            <w:tcW w:w="916"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lang w:val="en-US" w:eastAsia="zh-CN"/>
              </w:rPr>
              <w:t>5</w:t>
            </w:r>
          </w:p>
        </w:tc>
        <w:tc>
          <w:tcPr>
            <w:tcW w:w="1420"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p>
        </w:tc>
      </w:tr>
      <w:tr>
        <w:tblPrEx>
          <w:tblCellMar>
            <w:top w:w="0" w:type="dxa"/>
            <w:left w:w="108" w:type="dxa"/>
            <w:bottom w:w="0" w:type="dxa"/>
            <w:right w:w="108" w:type="dxa"/>
          </w:tblCellMar>
        </w:tblPrEx>
        <w:trPr>
          <w:jc w:val="center"/>
        </w:trPr>
        <w:tc>
          <w:tcPr>
            <w:tcW w:w="1068" w:type="dxa"/>
            <w:vMerge w:val="continue"/>
            <w:tcBorders>
              <w:left w:val="single" w:color="auto" w:sz="4" w:space="0"/>
              <w:right w:val="single" w:color="auto" w:sz="4" w:space="0"/>
            </w:tcBorders>
            <w:noWrap w:val="0"/>
            <w:vAlign w:val="center"/>
          </w:tcPr>
          <w:p>
            <w:pPr>
              <w:spacing w:line="240" w:lineRule="exact"/>
              <w:jc w:val="left"/>
              <w:rPr>
                <w:rFonts w:hint="eastAsia" w:ascii="仿宋_GB2312" w:hAnsi="仿宋_GB2312" w:eastAsia="仿宋_GB2312" w:cs="仿宋_GB2312"/>
                <w:color w:val="000000"/>
                <w:sz w:val="20"/>
                <w:szCs w:val="20"/>
                <w:highlight w:val="none"/>
              </w:rPr>
            </w:pPr>
          </w:p>
        </w:tc>
        <w:tc>
          <w:tcPr>
            <w:tcW w:w="1068" w:type="dxa"/>
            <w:vMerge w:val="continue"/>
            <w:tcBorders>
              <w:left w:val="nil"/>
              <w:right w:val="single" w:color="auto" w:sz="4" w:space="0"/>
            </w:tcBorders>
            <w:noWrap w:val="0"/>
            <w:vAlign w:val="center"/>
          </w:tcPr>
          <w:p>
            <w:pPr>
              <w:spacing w:line="240" w:lineRule="exact"/>
              <w:jc w:val="left"/>
              <w:rPr>
                <w:rFonts w:hint="eastAsia" w:ascii="仿宋_GB2312" w:hAnsi="仿宋_GB2312" w:eastAsia="仿宋_GB2312" w:cs="仿宋_GB2312"/>
                <w:color w:val="000000"/>
                <w:sz w:val="20"/>
                <w:szCs w:val="20"/>
                <w:highlight w:val="none"/>
              </w:rPr>
            </w:pPr>
          </w:p>
        </w:tc>
        <w:tc>
          <w:tcPr>
            <w:tcW w:w="1018" w:type="dxa"/>
            <w:vMerge w:val="continue"/>
            <w:tcBorders>
              <w:left w:val="nil"/>
              <w:right w:val="single" w:color="auto" w:sz="4" w:space="0"/>
            </w:tcBorders>
            <w:noWrap w:val="0"/>
            <w:vAlign w:val="center"/>
          </w:tcPr>
          <w:p>
            <w:pPr>
              <w:spacing w:line="240" w:lineRule="exact"/>
              <w:jc w:val="center"/>
              <w:rPr>
                <w:rFonts w:hint="eastAsia" w:ascii="仿宋_GB2312" w:hAnsi="仿宋_GB2312" w:eastAsia="仿宋_GB2312" w:cs="仿宋_GB2312"/>
                <w:color w:val="000000"/>
                <w:sz w:val="20"/>
                <w:szCs w:val="20"/>
                <w:highlight w:val="none"/>
              </w:rPr>
            </w:pPr>
          </w:p>
        </w:tc>
        <w:tc>
          <w:tcPr>
            <w:tcW w:w="1608"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投诉调节成功率</w:t>
            </w:r>
          </w:p>
        </w:tc>
        <w:tc>
          <w:tcPr>
            <w:tcW w:w="1354" w:type="dxa"/>
            <w:tcBorders>
              <w:top w:val="nil"/>
              <w:left w:val="nil"/>
              <w:bottom w:val="single" w:color="auto" w:sz="4" w:space="0"/>
              <w:right w:val="single" w:color="auto"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color w:val="000000"/>
                <w:sz w:val="20"/>
                <w:szCs w:val="20"/>
                <w:highlight w:val="none"/>
              </w:rPr>
            </w:pPr>
            <w:r>
              <w:rPr>
                <w:rFonts w:hint="eastAsia" w:ascii="宋体" w:hAnsi="宋体" w:eastAsia="宋体" w:cs="宋体"/>
                <w:i w:val="0"/>
                <w:iCs w:val="0"/>
                <w:color w:val="000000"/>
                <w:kern w:val="0"/>
                <w:sz w:val="13"/>
                <w:szCs w:val="13"/>
                <w:u w:val="none"/>
                <w:lang w:val="en-US" w:eastAsia="zh-CN" w:bidi="ar"/>
              </w:rPr>
              <w:t>100%</w:t>
            </w:r>
          </w:p>
        </w:tc>
        <w:tc>
          <w:tcPr>
            <w:tcW w:w="916" w:type="dxa"/>
            <w:tcBorders>
              <w:top w:val="nil"/>
              <w:left w:val="nil"/>
              <w:bottom w:val="single" w:color="auto" w:sz="4" w:space="0"/>
              <w:right w:val="single" w:color="auto"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color w:val="000000"/>
                <w:sz w:val="20"/>
                <w:szCs w:val="20"/>
                <w:highlight w:val="none"/>
              </w:rPr>
            </w:pPr>
            <w:r>
              <w:rPr>
                <w:rFonts w:hint="eastAsia" w:ascii="宋体" w:hAnsi="宋体" w:eastAsia="宋体" w:cs="宋体"/>
                <w:i w:val="0"/>
                <w:iCs w:val="0"/>
                <w:color w:val="000000"/>
                <w:kern w:val="0"/>
                <w:sz w:val="13"/>
                <w:szCs w:val="13"/>
                <w:u w:val="none"/>
                <w:lang w:val="en-US" w:eastAsia="zh-CN" w:bidi="ar"/>
              </w:rPr>
              <w:t>100%</w:t>
            </w:r>
          </w:p>
        </w:tc>
        <w:tc>
          <w:tcPr>
            <w:tcW w:w="711"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lang w:val="en-US" w:eastAsia="zh-CN"/>
              </w:rPr>
              <w:t>5</w:t>
            </w:r>
          </w:p>
        </w:tc>
        <w:tc>
          <w:tcPr>
            <w:tcW w:w="916"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lang w:val="en-US" w:eastAsia="zh-CN"/>
              </w:rPr>
              <w:t>5</w:t>
            </w:r>
          </w:p>
        </w:tc>
        <w:tc>
          <w:tcPr>
            <w:tcW w:w="1420"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r>
      <w:tr>
        <w:tblPrEx>
          <w:tblCellMar>
            <w:top w:w="0" w:type="dxa"/>
            <w:left w:w="108" w:type="dxa"/>
            <w:bottom w:w="0" w:type="dxa"/>
            <w:right w:w="108" w:type="dxa"/>
          </w:tblCellMar>
        </w:tblPrEx>
        <w:trPr>
          <w:jc w:val="center"/>
        </w:trPr>
        <w:tc>
          <w:tcPr>
            <w:tcW w:w="1068" w:type="dxa"/>
            <w:vMerge w:val="continue"/>
            <w:tcBorders>
              <w:left w:val="single" w:color="auto" w:sz="4" w:space="0"/>
              <w:right w:val="single" w:color="auto" w:sz="4" w:space="0"/>
            </w:tcBorders>
            <w:noWrap w:val="0"/>
            <w:vAlign w:val="center"/>
          </w:tcPr>
          <w:p>
            <w:pPr>
              <w:spacing w:line="240" w:lineRule="exact"/>
              <w:jc w:val="left"/>
              <w:rPr>
                <w:rFonts w:hint="eastAsia" w:ascii="仿宋_GB2312" w:hAnsi="仿宋_GB2312" w:eastAsia="仿宋_GB2312" w:cs="仿宋_GB2312"/>
                <w:color w:val="000000"/>
                <w:sz w:val="20"/>
                <w:szCs w:val="20"/>
                <w:highlight w:val="none"/>
              </w:rPr>
            </w:pPr>
          </w:p>
        </w:tc>
        <w:tc>
          <w:tcPr>
            <w:tcW w:w="1068" w:type="dxa"/>
            <w:vMerge w:val="continue"/>
            <w:tcBorders>
              <w:left w:val="nil"/>
              <w:right w:val="single" w:color="auto" w:sz="4" w:space="0"/>
            </w:tcBorders>
            <w:noWrap w:val="0"/>
            <w:vAlign w:val="center"/>
          </w:tcPr>
          <w:p>
            <w:pPr>
              <w:spacing w:line="240" w:lineRule="exact"/>
              <w:jc w:val="left"/>
              <w:rPr>
                <w:rFonts w:hint="eastAsia" w:ascii="仿宋_GB2312" w:hAnsi="仿宋_GB2312" w:eastAsia="仿宋_GB2312" w:cs="仿宋_GB2312"/>
                <w:color w:val="000000"/>
                <w:sz w:val="20"/>
                <w:szCs w:val="20"/>
                <w:highlight w:val="none"/>
              </w:rPr>
            </w:pPr>
          </w:p>
        </w:tc>
        <w:tc>
          <w:tcPr>
            <w:tcW w:w="1018" w:type="dxa"/>
            <w:vMerge w:val="continue"/>
            <w:tcBorders>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p>
        </w:tc>
        <w:tc>
          <w:tcPr>
            <w:tcW w:w="1608"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投诉举报案件办结率……</w:t>
            </w:r>
          </w:p>
        </w:tc>
        <w:tc>
          <w:tcPr>
            <w:tcW w:w="1354" w:type="dxa"/>
            <w:tcBorders>
              <w:top w:val="nil"/>
              <w:left w:val="nil"/>
              <w:bottom w:val="single" w:color="auto" w:sz="4" w:space="0"/>
              <w:right w:val="single" w:color="auto"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color w:val="000000"/>
                <w:sz w:val="20"/>
                <w:szCs w:val="20"/>
                <w:highlight w:val="none"/>
              </w:rPr>
            </w:pPr>
            <w:r>
              <w:rPr>
                <w:rFonts w:hint="eastAsia" w:ascii="宋体" w:hAnsi="宋体" w:eastAsia="宋体" w:cs="宋体"/>
                <w:i w:val="0"/>
                <w:iCs w:val="0"/>
                <w:color w:val="000000"/>
                <w:kern w:val="0"/>
                <w:sz w:val="13"/>
                <w:szCs w:val="13"/>
                <w:u w:val="none"/>
                <w:lang w:val="en-US" w:eastAsia="zh-CN" w:bidi="ar"/>
              </w:rPr>
              <w:t>100%</w:t>
            </w:r>
          </w:p>
        </w:tc>
        <w:tc>
          <w:tcPr>
            <w:tcW w:w="916" w:type="dxa"/>
            <w:tcBorders>
              <w:top w:val="nil"/>
              <w:left w:val="nil"/>
              <w:bottom w:val="single" w:color="auto" w:sz="4" w:space="0"/>
              <w:right w:val="single" w:color="auto"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color w:val="000000"/>
                <w:sz w:val="20"/>
                <w:szCs w:val="20"/>
                <w:highlight w:val="none"/>
              </w:rPr>
            </w:pPr>
            <w:r>
              <w:rPr>
                <w:rFonts w:hint="eastAsia" w:ascii="宋体" w:hAnsi="宋体" w:eastAsia="宋体" w:cs="宋体"/>
                <w:i w:val="0"/>
                <w:iCs w:val="0"/>
                <w:color w:val="000000"/>
                <w:kern w:val="0"/>
                <w:sz w:val="13"/>
                <w:szCs w:val="13"/>
                <w:u w:val="none"/>
                <w:lang w:val="en-US" w:eastAsia="zh-CN" w:bidi="ar"/>
              </w:rPr>
              <w:t>100%</w:t>
            </w:r>
          </w:p>
        </w:tc>
        <w:tc>
          <w:tcPr>
            <w:tcW w:w="711"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lang w:val="en-US" w:eastAsia="zh-CN"/>
              </w:rPr>
              <w:t>5</w:t>
            </w:r>
          </w:p>
        </w:tc>
        <w:tc>
          <w:tcPr>
            <w:tcW w:w="916"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lang w:val="en-US" w:eastAsia="zh-CN"/>
              </w:rPr>
              <w:t>5</w:t>
            </w:r>
          </w:p>
        </w:tc>
        <w:tc>
          <w:tcPr>
            <w:tcW w:w="1420"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r>
      <w:tr>
        <w:tblPrEx>
          <w:tblCellMar>
            <w:top w:w="0" w:type="dxa"/>
            <w:left w:w="108" w:type="dxa"/>
            <w:bottom w:w="0" w:type="dxa"/>
            <w:right w:w="108" w:type="dxa"/>
          </w:tblCellMar>
        </w:tblPrEx>
        <w:trPr>
          <w:jc w:val="center"/>
        </w:trPr>
        <w:tc>
          <w:tcPr>
            <w:tcW w:w="1068" w:type="dxa"/>
            <w:vMerge w:val="continue"/>
            <w:tcBorders>
              <w:left w:val="single" w:color="auto" w:sz="4" w:space="0"/>
              <w:right w:val="single" w:color="auto" w:sz="4" w:space="0"/>
            </w:tcBorders>
            <w:noWrap w:val="0"/>
            <w:vAlign w:val="center"/>
          </w:tcPr>
          <w:p>
            <w:pPr>
              <w:spacing w:line="240" w:lineRule="exact"/>
              <w:jc w:val="left"/>
              <w:rPr>
                <w:rFonts w:hint="eastAsia" w:ascii="仿宋_GB2312" w:hAnsi="仿宋_GB2312" w:eastAsia="仿宋_GB2312" w:cs="仿宋_GB2312"/>
                <w:color w:val="000000"/>
                <w:sz w:val="20"/>
                <w:szCs w:val="20"/>
                <w:highlight w:val="none"/>
              </w:rPr>
            </w:pPr>
          </w:p>
        </w:tc>
        <w:tc>
          <w:tcPr>
            <w:tcW w:w="1068" w:type="dxa"/>
            <w:vMerge w:val="continue"/>
            <w:tcBorders>
              <w:left w:val="nil"/>
              <w:right w:val="single" w:color="auto" w:sz="4" w:space="0"/>
            </w:tcBorders>
            <w:noWrap w:val="0"/>
            <w:vAlign w:val="center"/>
          </w:tcPr>
          <w:p>
            <w:pPr>
              <w:spacing w:line="240" w:lineRule="exact"/>
              <w:jc w:val="left"/>
              <w:rPr>
                <w:rFonts w:hint="eastAsia" w:ascii="仿宋_GB2312" w:hAnsi="仿宋_GB2312" w:eastAsia="仿宋_GB2312" w:cs="仿宋_GB2312"/>
                <w:color w:val="000000"/>
                <w:sz w:val="20"/>
                <w:szCs w:val="20"/>
                <w:highlight w:val="none"/>
              </w:rPr>
            </w:pPr>
          </w:p>
        </w:tc>
        <w:tc>
          <w:tcPr>
            <w:tcW w:w="1018" w:type="dxa"/>
            <w:tcBorders>
              <w:top w:val="nil"/>
              <w:left w:val="nil"/>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时效指标</w:t>
            </w:r>
          </w:p>
        </w:tc>
        <w:tc>
          <w:tcPr>
            <w:tcW w:w="1608" w:type="dxa"/>
            <w:tcBorders>
              <w:top w:val="nil"/>
              <w:left w:val="nil"/>
              <w:bottom w:val="single" w:color="auto" w:sz="4" w:space="0"/>
              <w:right w:val="single" w:color="auto"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color w:val="000000"/>
                <w:sz w:val="13"/>
                <w:szCs w:val="13"/>
                <w:highlight w:val="none"/>
              </w:rPr>
            </w:pPr>
            <w:r>
              <w:rPr>
                <w:rFonts w:hint="eastAsia" w:ascii="宋体" w:hAnsi="宋体" w:eastAsia="宋体" w:cs="宋体"/>
                <w:i w:val="0"/>
                <w:iCs w:val="0"/>
                <w:color w:val="000000"/>
                <w:kern w:val="0"/>
                <w:sz w:val="13"/>
                <w:szCs w:val="13"/>
                <w:u w:val="none"/>
                <w:lang w:val="en-US" w:eastAsia="zh-CN" w:bidi="ar"/>
              </w:rPr>
              <w:t>工作完成及时率</w:t>
            </w:r>
          </w:p>
        </w:tc>
        <w:tc>
          <w:tcPr>
            <w:tcW w:w="1354" w:type="dxa"/>
            <w:tcBorders>
              <w:top w:val="nil"/>
              <w:left w:val="nil"/>
              <w:bottom w:val="single" w:color="auto" w:sz="4" w:space="0"/>
              <w:right w:val="single" w:color="auto" w:sz="4" w:space="0"/>
            </w:tcBorders>
            <w:noWrap w:val="0"/>
            <w:vAlign w:val="center"/>
          </w:tcPr>
          <w:p>
            <w:pPr>
              <w:keepNext w:val="0"/>
              <w:keepLines w:val="0"/>
              <w:widowControl/>
              <w:suppressLineNumbers w:val="0"/>
              <w:jc w:val="center"/>
              <w:textAlignment w:val="center"/>
              <w:rPr>
                <w:rFonts w:hint="default" w:ascii="仿宋_GB2312" w:hAnsi="仿宋_GB2312" w:eastAsia="仿宋_GB2312" w:cs="仿宋_GB2312"/>
                <w:color w:val="000000"/>
                <w:sz w:val="13"/>
                <w:szCs w:val="13"/>
                <w:highlight w:val="none"/>
                <w:lang w:val="en-US"/>
              </w:rPr>
            </w:pPr>
            <w:r>
              <w:rPr>
                <w:rFonts w:hint="eastAsia" w:ascii="宋体" w:hAnsi="宋体" w:cs="宋体"/>
                <w:i w:val="0"/>
                <w:iCs w:val="0"/>
                <w:color w:val="000000"/>
                <w:kern w:val="0"/>
                <w:sz w:val="13"/>
                <w:szCs w:val="13"/>
                <w:u w:val="none"/>
                <w:lang w:val="en-US" w:eastAsia="zh-CN" w:bidi="ar"/>
              </w:rPr>
              <w:t>100%</w:t>
            </w:r>
          </w:p>
        </w:tc>
        <w:tc>
          <w:tcPr>
            <w:tcW w:w="916"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宋体" w:hAnsi="宋体" w:cs="宋体"/>
                <w:i w:val="0"/>
                <w:iCs w:val="0"/>
                <w:color w:val="000000"/>
                <w:kern w:val="0"/>
                <w:sz w:val="13"/>
                <w:szCs w:val="13"/>
                <w:u w:val="none"/>
                <w:lang w:val="en-US" w:eastAsia="zh-CN" w:bidi="ar"/>
              </w:rPr>
              <w:t>100%</w:t>
            </w:r>
          </w:p>
        </w:tc>
        <w:tc>
          <w:tcPr>
            <w:tcW w:w="711" w:type="dxa"/>
            <w:tcBorders>
              <w:top w:val="nil"/>
              <w:left w:val="nil"/>
              <w:bottom w:val="single" w:color="auto" w:sz="4" w:space="0"/>
              <w:right w:val="single" w:color="auto" w:sz="4" w:space="0"/>
            </w:tcBorders>
            <w:noWrap w:val="0"/>
            <w:vAlign w:val="center"/>
          </w:tcPr>
          <w:p>
            <w:pPr>
              <w:widowControl/>
              <w:spacing w:line="240" w:lineRule="exact"/>
              <w:jc w:val="center"/>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lang w:val="en-US" w:eastAsia="zh-CN"/>
              </w:rPr>
              <w:t>10</w:t>
            </w:r>
          </w:p>
        </w:tc>
        <w:tc>
          <w:tcPr>
            <w:tcW w:w="916"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lang w:val="en-US" w:eastAsia="zh-CN"/>
              </w:rPr>
              <w:t>10</w:t>
            </w:r>
          </w:p>
        </w:tc>
        <w:tc>
          <w:tcPr>
            <w:tcW w:w="1420"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r>
      <w:tr>
        <w:tblPrEx>
          <w:tblCellMar>
            <w:top w:w="0" w:type="dxa"/>
            <w:left w:w="108" w:type="dxa"/>
            <w:bottom w:w="0" w:type="dxa"/>
            <w:right w:w="108" w:type="dxa"/>
          </w:tblCellMar>
        </w:tblPrEx>
        <w:trPr>
          <w:jc w:val="center"/>
        </w:trPr>
        <w:tc>
          <w:tcPr>
            <w:tcW w:w="1068" w:type="dxa"/>
            <w:vMerge w:val="continue"/>
            <w:tcBorders>
              <w:left w:val="single" w:color="auto" w:sz="4" w:space="0"/>
              <w:right w:val="single" w:color="auto" w:sz="4" w:space="0"/>
            </w:tcBorders>
            <w:noWrap w:val="0"/>
            <w:vAlign w:val="center"/>
          </w:tcPr>
          <w:p>
            <w:pPr>
              <w:spacing w:line="240" w:lineRule="exact"/>
              <w:jc w:val="left"/>
              <w:rPr>
                <w:rFonts w:hint="eastAsia" w:ascii="仿宋_GB2312" w:hAnsi="仿宋_GB2312" w:eastAsia="仿宋_GB2312" w:cs="仿宋_GB2312"/>
                <w:color w:val="000000"/>
                <w:sz w:val="20"/>
                <w:szCs w:val="20"/>
                <w:highlight w:val="none"/>
              </w:rPr>
            </w:pPr>
          </w:p>
        </w:tc>
        <w:tc>
          <w:tcPr>
            <w:tcW w:w="1068" w:type="dxa"/>
            <w:vMerge w:val="continue"/>
            <w:tcBorders>
              <w:left w:val="nil"/>
              <w:right w:val="single" w:color="auto" w:sz="4" w:space="0"/>
            </w:tcBorders>
            <w:noWrap w:val="0"/>
            <w:vAlign w:val="center"/>
          </w:tcPr>
          <w:p>
            <w:pPr>
              <w:spacing w:line="240" w:lineRule="exact"/>
              <w:jc w:val="left"/>
              <w:rPr>
                <w:rFonts w:hint="eastAsia" w:ascii="仿宋_GB2312" w:hAnsi="仿宋_GB2312" w:eastAsia="仿宋_GB2312" w:cs="仿宋_GB2312"/>
                <w:color w:val="000000"/>
                <w:sz w:val="20"/>
                <w:szCs w:val="20"/>
                <w:highlight w:val="none"/>
              </w:rPr>
            </w:pPr>
          </w:p>
        </w:tc>
        <w:tc>
          <w:tcPr>
            <w:tcW w:w="1018" w:type="dxa"/>
            <w:vMerge w:val="restart"/>
            <w:tcBorders>
              <w:top w:val="nil"/>
              <w:left w:val="nil"/>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成本指标</w:t>
            </w:r>
          </w:p>
        </w:tc>
        <w:tc>
          <w:tcPr>
            <w:tcW w:w="1608" w:type="dxa"/>
            <w:tcBorders>
              <w:top w:val="nil"/>
              <w:left w:val="nil"/>
              <w:bottom w:val="single" w:color="auto" w:sz="4" w:space="0"/>
              <w:right w:val="single" w:color="auto"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color w:val="000000"/>
                <w:sz w:val="13"/>
                <w:szCs w:val="13"/>
                <w:highlight w:val="none"/>
              </w:rPr>
            </w:pPr>
            <w:r>
              <w:rPr>
                <w:rFonts w:hint="eastAsia" w:ascii="宋体" w:hAnsi="宋体" w:eastAsia="宋体" w:cs="宋体"/>
                <w:i w:val="0"/>
                <w:iCs w:val="0"/>
                <w:color w:val="000000"/>
                <w:kern w:val="0"/>
                <w:sz w:val="13"/>
                <w:szCs w:val="13"/>
                <w:u w:val="none"/>
                <w:lang w:val="en-US" w:eastAsia="zh-CN" w:bidi="ar"/>
              </w:rPr>
              <w:t>保障工作正常运转</w:t>
            </w:r>
          </w:p>
        </w:tc>
        <w:tc>
          <w:tcPr>
            <w:tcW w:w="1354" w:type="dxa"/>
            <w:tcBorders>
              <w:top w:val="nil"/>
              <w:left w:val="nil"/>
              <w:bottom w:val="single" w:color="auto" w:sz="4" w:space="0"/>
              <w:right w:val="single" w:color="auto" w:sz="4" w:space="0"/>
            </w:tcBorders>
            <w:noWrap w:val="0"/>
            <w:vAlign w:val="center"/>
          </w:tcPr>
          <w:p>
            <w:pPr>
              <w:keepNext w:val="0"/>
              <w:keepLines w:val="0"/>
              <w:widowControl/>
              <w:suppressLineNumbers w:val="0"/>
              <w:jc w:val="center"/>
              <w:textAlignment w:val="center"/>
              <w:rPr>
                <w:rFonts w:hint="default" w:ascii="仿宋_GB2312" w:hAnsi="仿宋_GB2312" w:eastAsia="仿宋_GB2312" w:cs="仿宋_GB2312"/>
                <w:color w:val="000000"/>
                <w:sz w:val="13"/>
                <w:szCs w:val="13"/>
                <w:highlight w:val="none"/>
                <w:lang w:val="en-US"/>
              </w:rPr>
            </w:pPr>
            <w:r>
              <w:rPr>
                <w:rFonts w:hint="eastAsia" w:ascii="宋体" w:hAnsi="宋体" w:eastAsia="宋体" w:cs="宋体"/>
                <w:i w:val="0"/>
                <w:iCs w:val="0"/>
                <w:color w:val="000000"/>
                <w:kern w:val="0"/>
                <w:sz w:val="13"/>
                <w:szCs w:val="13"/>
                <w:u w:val="none"/>
                <w:lang w:val="en-US" w:eastAsia="zh-CN" w:bidi="ar"/>
              </w:rPr>
              <w:t>≤</w:t>
            </w:r>
            <w:r>
              <w:rPr>
                <w:rFonts w:hint="eastAsia" w:ascii="宋体" w:hAnsi="宋体" w:cs="宋体"/>
                <w:i w:val="0"/>
                <w:iCs w:val="0"/>
                <w:color w:val="000000"/>
                <w:kern w:val="0"/>
                <w:sz w:val="13"/>
                <w:szCs w:val="13"/>
                <w:u w:val="none"/>
                <w:lang w:val="en-US" w:eastAsia="zh-CN" w:bidi="ar"/>
              </w:rPr>
              <w:t>281万元</w:t>
            </w:r>
          </w:p>
        </w:tc>
        <w:tc>
          <w:tcPr>
            <w:tcW w:w="916"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711"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kern w:val="0"/>
                <w:sz w:val="20"/>
                <w:szCs w:val="20"/>
                <w:highlight w:val="none"/>
                <w:lang w:val="en-US" w:eastAsia="zh-CN" w:bidi="ar-SA"/>
              </w:rPr>
            </w:pPr>
            <w:r>
              <w:rPr>
                <w:rFonts w:hint="eastAsia" w:ascii="仿宋_GB2312" w:hAnsi="仿宋_GB2312" w:eastAsia="仿宋_GB2312" w:cs="仿宋_GB2312"/>
                <w:color w:val="000000"/>
                <w:sz w:val="20"/>
                <w:szCs w:val="20"/>
                <w:highlight w:val="none"/>
                <w:lang w:val="en-US" w:eastAsia="zh-CN"/>
              </w:rPr>
              <w:t>10</w:t>
            </w:r>
          </w:p>
        </w:tc>
        <w:tc>
          <w:tcPr>
            <w:tcW w:w="916"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kern w:val="0"/>
                <w:sz w:val="20"/>
                <w:szCs w:val="20"/>
                <w:highlight w:val="none"/>
                <w:lang w:val="en-US" w:eastAsia="zh-CN" w:bidi="ar-SA"/>
              </w:rPr>
            </w:pPr>
            <w:r>
              <w:rPr>
                <w:rFonts w:hint="eastAsia" w:ascii="仿宋_GB2312" w:hAnsi="仿宋_GB2312" w:eastAsia="仿宋_GB2312" w:cs="仿宋_GB2312"/>
                <w:color w:val="000000"/>
                <w:sz w:val="20"/>
                <w:szCs w:val="20"/>
                <w:highlight w:val="none"/>
                <w:lang w:val="en-US" w:eastAsia="zh-CN"/>
              </w:rPr>
              <w:t>10</w:t>
            </w:r>
          </w:p>
        </w:tc>
        <w:tc>
          <w:tcPr>
            <w:tcW w:w="1420"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r>
      <w:tr>
        <w:tblPrEx>
          <w:tblCellMar>
            <w:top w:w="0" w:type="dxa"/>
            <w:left w:w="108" w:type="dxa"/>
            <w:bottom w:w="0" w:type="dxa"/>
            <w:right w:w="108" w:type="dxa"/>
          </w:tblCellMar>
        </w:tblPrEx>
        <w:trPr>
          <w:jc w:val="center"/>
        </w:trPr>
        <w:tc>
          <w:tcPr>
            <w:tcW w:w="1068" w:type="dxa"/>
            <w:vMerge w:val="continue"/>
            <w:tcBorders>
              <w:left w:val="single" w:color="auto" w:sz="4" w:space="0"/>
              <w:right w:val="single" w:color="auto" w:sz="4" w:space="0"/>
            </w:tcBorders>
            <w:noWrap w:val="0"/>
            <w:vAlign w:val="center"/>
          </w:tcPr>
          <w:p>
            <w:pPr>
              <w:spacing w:line="240" w:lineRule="exact"/>
              <w:jc w:val="left"/>
              <w:rPr>
                <w:rFonts w:hint="eastAsia" w:ascii="仿宋_GB2312" w:hAnsi="仿宋_GB2312" w:eastAsia="仿宋_GB2312" w:cs="仿宋_GB2312"/>
                <w:color w:val="000000"/>
                <w:sz w:val="20"/>
                <w:szCs w:val="20"/>
                <w:highlight w:val="none"/>
              </w:rPr>
            </w:pPr>
          </w:p>
        </w:tc>
        <w:tc>
          <w:tcPr>
            <w:tcW w:w="1068" w:type="dxa"/>
            <w:vMerge w:val="continue"/>
            <w:tcBorders>
              <w:left w:val="nil"/>
              <w:right w:val="single" w:color="auto" w:sz="4" w:space="0"/>
            </w:tcBorders>
            <w:noWrap w:val="0"/>
            <w:vAlign w:val="center"/>
          </w:tcPr>
          <w:p>
            <w:pPr>
              <w:spacing w:line="240" w:lineRule="exact"/>
              <w:jc w:val="left"/>
              <w:rPr>
                <w:rFonts w:hint="eastAsia" w:ascii="仿宋_GB2312" w:hAnsi="仿宋_GB2312" w:eastAsia="仿宋_GB2312" w:cs="仿宋_GB2312"/>
                <w:color w:val="000000"/>
                <w:sz w:val="20"/>
                <w:szCs w:val="20"/>
                <w:highlight w:val="none"/>
              </w:rPr>
            </w:pPr>
          </w:p>
        </w:tc>
        <w:tc>
          <w:tcPr>
            <w:tcW w:w="1018" w:type="dxa"/>
            <w:vMerge w:val="continue"/>
            <w:tcBorders>
              <w:left w:val="nil"/>
              <w:right w:val="single" w:color="auto" w:sz="4" w:space="0"/>
            </w:tcBorders>
            <w:noWrap w:val="0"/>
            <w:vAlign w:val="center"/>
          </w:tcPr>
          <w:p>
            <w:pPr>
              <w:spacing w:line="240" w:lineRule="exact"/>
              <w:jc w:val="left"/>
              <w:rPr>
                <w:rFonts w:hint="eastAsia" w:ascii="仿宋_GB2312" w:hAnsi="仿宋_GB2312" w:eastAsia="仿宋_GB2312" w:cs="仿宋_GB2312"/>
                <w:color w:val="000000"/>
                <w:sz w:val="20"/>
                <w:szCs w:val="20"/>
                <w:highlight w:val="none"/>
              </w:rPr>
            </w:pPr>
          </w:p>
        </w:tc>
        <w:tc>
          <w:tcPr>
            <w:tcW w:w="1608" w:type="dxa"/>
            <w:tcBorders>
              <w:top w:val="nil"/>
              <w:left w:val="nil"/>
              <w:bottom w:val="single" w:color="auto" w:sz="4" w:space="0"/>
              <w:right w:val="single" w:color="auto"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color w:val="000000"/>
                <w:sz w:val="13"/>
                <w:szCs w:val="13"/>
                <w:highlight w:val="none"/>
              </w:rPr>
            </w:pPr>
          </w:p>
        </w:tc>
        <w:tc>
          <w:tcPr>
            <w:tcW w:w="1354" w:type="dxa"/>
            <w:tcBorders>
              <w:top w:val="nil"/>
              <w:left w:val="nil"/>
              <w:bottom w:val="single" w:color="auto" w:sz="4" w:space="0"/>
              <w:right w:val="single" w:color="auto"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color w:val="000000"/>
                <w:sz w:val="13"/>
                <w:szCs w:val="13"/>
                <w:highlight w:val="none"/>
              </w:rPr>
            </w:pPr>
          </w:p>
        </w:tc>
        <w:tc>
          <w:tcPr>
            <w:tcW w:w="916"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p>
        </w:tc>
        <w:tc>
          <w:tcPr>
            <w:tcW w:w="711"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p>
        </w:tc>
        <w:tc>
          <w:tcPr>
            <w:tcW w:w="916"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p>
        </w:tc>
        <w:tc>
          <w:tcPr>
            <w:tcW w:w="1420"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p>
        </w:tc>
      </w:tr>
      <w:tr>
        <w:tblPrEx>
          <w:tblCellMar>
            <w:top w:w="0" w:type="dxa"/>
            <w:left w:w="108" w:type="dxa"/>
            <w:bottom w:w="0" w:type="dxa"/>
            <w:right w:w="108" w:type="dxa"/>
          </w:tblCellMar>
        </w:tblPrEx>
        <w:trPr>
          <w:jc w:val="center"/>
        </w:trPr>
        <w:tc>
          <w:tcPr>
            <w:tcW w:w="1068" w:type="dxa"/>
            <w:vMerge w:val="continue"/>
            <w:tcBorders>
              <w:left w:val="single" w:color="auto" w:sz="4" w:space="0"/>
              <w:right w:val="single" w:color="auto" w:sz="4" w:space="0"/>
            </w:tcBorders>
            <w:noWrap w:val="0"/>
            <w:vAlign w:val="center"/>
          </w:tcPr>
          <w:p>
            <w:pPr>
              <w:spacing w:line="240" w:lineRule="exact"/>
              <w:jc w:val="left"/>
              <w:rPr>
                <w:rFonts w:hint="eastAsia" w:ascii="仿宋_GB2312" w:hAnsi="仿宋_GB2312" w:eastAsia="仿宋_GB2312" w:cs="仿宋_GB2312"/>
                <w:color w:val="000000"/>
                <w:sz w:val="20"/>
                <w:szCs w:val="20"/>
                <w:highlight w:val="none"/>
              </w:rPr>
            </w:pPr>
          </w:p>
        </w:tc>
        <w:tc>
          <w:tcPr>
            <w:tcW w:w="1068" w:type="dxa"/>
            <w:vMerge w:val="continue"/>
            <w:tcBorders>
              <w:left w:val="nil"/>
              <w:right w:val="single" w:color="auto" w:sz="4" w:space="0"/>
            </w:tcBorders>
            <w:noWrap w:val="0"/>
            <w:vAlign w:val="center"/>
          </w:tcPr>
          <w:p>
            <w:pPr>
              <w:spacing w:line="240" w:lineRule="exact"/>
              <w:jc w:val="left"/>
              <w:rPr>
                <w:rFonts w:hint="eastAsia" w:ascii="仿宋_GB2312" w:hAnsi="仿宋_GB2312" w:eastAsia="仿宋_GB2312" w:cs="仿宋_GB2312"/>
                <w:color w:val="000000"/>
                <w:sz w:val="20"/>
                <w:szCs w:val="20"/>
                <w:highlight w:val="none"/>
              </w:rPr>
            </w:pPr>
          </w:p>
        </w:tc>
        <w:tc>
          <w:tcPr>
            <w:tcW w:w="1018" w:type="dxa"/>
            <w:vMerge w:val="continue"/>
            <w:tcBorders>
              <w:left w:val="nil"/>
              <w:right w:val="single" w:color="auto" w:sz="4" w:space="0"/>
            </w:tcBorders>
            <w:noWrap w:val="0"/>
            <w:vAlign w:val="center"/>
          </w:tcPr>
          <w:p>
            <w:pPr>
              <w:spacing w:line="240" w:lineRule="exact"/>
              <w:jc w:val="left"/>
              <w:rPr>
                <w:rFonts w:hint="eastAsia" w:ascii="仿宋_GB2312" w:hAnsi="仿宋_GB2312" w:eastAsia="仿宋_GB2312" w:cs="仿宋_GB2312"/>
                <w:color w:val="000000"/>
                <w:sz w:val="20"/>
                <w:szCs w:val="20"/>
                <w:highlight w:val="none"/>
              </w:rPr>
            </w:pPr>
          </w:p>
        </w:tc>
        <w:tc>
          <w:tcPr>
            <w:tcW w:w="1608" w:type="dxa"/>
            <w:tcBorders>
              <w:top w:val="nil"/>
              <w:left w:val="nil"/>
              <w:bottom w:val="single" w:color="auto" w:sz="4" w:space="0"/>
              <w:right w:val="single" w:color="auto"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color w:val="000000"/>
                <w:sz w:val="13"/>
                <w:szCs w:val="13"/>
                <w:highlight w:val="none"/>
              </w:rPr>
            </w:pPr>
          </w:p>
        </w:tc>
        <w:tc>
          <w:tcPr>
            <w:tcW w:w="1354" w:type="dxa"/>
            <w:tcBorders>
              <w:top w:val="nil"/>
              <w:left w:val="nil"/>
              <w:bottom w:val="single" w:color="auto" w:sz="4" w:space="0"/>
              <w:right w:val="single" w:color="auto"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color w:val="000000"/>
                <w:sz w:val="13"/>
                <w:szCs w:val="13"/>
                <w:highlight w:val="none"/>
              </w:rPr>
            </w:pPr>
          </w:p>
        </w:tc>
        <w:tc>
          <w:tcPr>
            <w:tcW w:w="916"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711"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916"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420"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r>
      <w:tr>
        <w:tblPrEx>
          <w:tblCellMar>
            <w:top w:w="0" w:type="dxa"/>
            <w:left w:w="108" w:type="dxa"/>
            <w:bottom w:w="0" w:type="dxa"/>
            <w:right w:w="108" w:type="dxa"/>
          </w:tblCellMar>
        </w:tblPrEx>
        <w:trPr>
          <w:jc w:val="center"/>
        </w:trPr>
        <w:tc>
          <w:tcPr>
            <w:tcW w:w="1068" w:type="dxa"/>
            <w:vMerge w:val="continue"/>
            <w:tcBorders>
              <w:left w:val="single" w:color="auto" w:sz="4" w:space="0"/>
              <w:right w:val="single" w:color="auto" w:sz="4" w:space="0"/>
            </w:tcBorders>
            <w:noWrap w:val="0"/>
            <w:vAlign w:val="center"/>
          </w:tcPr>
          <w:p>
            <w:pPr>
              <w:spacing w:line="240" w:lineRule="exact"/>
              <w:jc w:val="left"/>
              <w:rPr>
                <w:rFonts w:hint="eastAsia" w:ascii="仿宋_GB2312" w:hAnsi="仿宋_GB2312" w:eastAsia="仿宋_GB2312" w:cs="仿宋_GB2312"/>
                <w:color w:val="000000"/>
                <w:sz w:val="20"/>
                <w:szCs w:val="20"/>
                <w:highlight w:val="none"/>
              </w:rPr>
            </w:pPr>
          </w:p>
        </w:tc>
        <w:tc>
          <w:tcPr>
            <w:tcW w:w="1068" w:type="dxa"/>
            <w:vMerge w:val="continue"/>
            <w:tcBorders>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p>
        </w:tc>
        <w:tc>
          <w:tcPr>
            <w:tcW w:w="1018" w:type="dxa"/>
            <w:vMerge w:val="continue"/>
            <w:tcBorders>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p>
        </w:tc>
        <w:tc>
          <w:tcPr>
            <w:tcW w:w="1608" w:type="dxa"/>
            <w:tcBorders>
              <w:top w:val="nil"/>
              <w:left w:val="nil"/>
              <w:bottom w:val="single" w:color="auto" w:sz="4" w:space="0"/>
              <w:right w:val="single" w:color="auto"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color w:val="000000"/>
                <w:sz w:val="13"/>
                <w:szCs w:val="13"/>
                <w:highlight w:val="none"/>
              </w:rPr>
            </w:pPr>
          </w:p>
        </w:tc>
        <w:tc>
          <w:tcPr>
            <w:tcW w:w="1354" w:type="dxa"/>
            <w:tcBorders>
              <w:top w:val="nil"/>
              <w:left w:val="nil"/>
              <w:bottom w:val="single" w:color="auto" w:sz="4" w:space="0"/>
              <w:right w:val="single" w:color="auto"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color w:val="000000"/>
                <w:sz w:val="13"/>
                <w:szCs w:val="13"/>
                <w:highlight w:val="none"/>
              </w:rPr>
            </w:pPr>
          </w:p>
        </w:tc>
        <w:tc>
          <w:tcPr>
            <w:tcW w:w="916"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711"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916"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420"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r>
      <w:tr>
        <w:tblPrEx>
          <w:tblCellMar>
            <w:top w:w="0" w:type="dxa"/>
            <w:left w:w="108" w:type="dxa"/>
            <w:bottom w:w="0" w:type="dxa"/>
            <w:right w:w="108" w:type="dxa"/>
          </w:tblCellMar>
        </w:tblPrEx>
        <w:trPr>
          <w:jc w:val="center"/>
        </w:trPr>
        <w:tc>
          <w:tcPr>
            <w:tcW w:w="1068" w:type="dxa"/>
            <w:vMerge w:val="continue"/>
            <w:tcBorders>
              <w:left w:val="single" w:color="auto" w:sz="4" w:space="0"/>
              <w:right w:val="single" w:color="auto" w:sz="4" w:space="0"/>
            </w:tcBorders>
            <w:noWrap w:val="0"/>
            <w:vAlign w:val="center"/>
          </w:tcPr>
          <w:p>
            <w:pPr>
              <w:spacing w:line="240" w:lineRule="exact"/>
              <w:jc w:val="left"/>
              <w:rPr>
                <w:rFonts w:hint="eastAsia" w:ascii="仿宋_GB2312" w:hAnsi="仿宋_GB2312" w:eastAsia="仿宋_GB2312" w:cs="仿宋_GB2312"/>
                <w:color w:val="000000"/>
                <w:sz w:val="20"/>
                <w:szCs w:val="20"/>
                <w:highlight w:val="none"/>
              </w:rPr>
            </w:pPr>
          </w:p>
        </w:tc>
        <w:tc>
          <w:tcPr>
            <w:tcW w:w="1068" w:type="dxa"/>
            <w:vMerge w:val="restart"/>
            <w:tcBorders>
              <w:top w:val="nil"/>
              <w:left w:val="nil"/>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效益指标</w:t>
            </w:r>
          </w:p>
          <w:p>
            <w:pPr>
              <w:widowControl/>
              <w:spacing w:line="240" w:lineRule="exact"/>
              <w:jc w:val="left"/>
              <w:rPr>
                <w:rFonts w:hint="eastAsia" w:ascii="仿宋_GB2312" w:hAnsi="仿宋_GB2312" w:eastAsia="仿宋_GB2312" w:cs="仿宋_GB2312"/>
                <w:color w:val="000000"/>
                <w:sz w:val="20"/>
                <w:szCs w:val="20"/>
                <w:highlight w:val="none"/>
              </w:rPr>
            </w:pPr>
          </w:p>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（30分）</w:t>
            </w:r>
          </w:p>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018" w:type="dxa"/>
            <w:vMerge w:val="restart"/>
            <w:tcBorders>
              <w:top w:val="nil"/>
              <w:left w:val="nil"/>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经济效</w:t>
            </w:r>
          </w:p>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益指标</w:t>
            </w:r>
          </w:p>
        </w:tc>
        <w:tc>
          <w:tcPr>
            <w:tcW w:w="1608"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全年罚没入库数</w:t>
            </w:r>
          </w:p>
        </w:tc>
        <w:tc>
          <w:tcPr>
            <w:tcW w:w="1354" w:type="dxa"/>
            <w:tcBorders>
              <w:top w:val="nil"/>
              <w:left w:val="nil"/>
              <w:bottom w:val="single" w:color="auto" w:sz="4" w:space="0"/>
              <w:right w:val="single" w:color="auto" w:sz="4" w:space="0"/>
            </w:tcBorders>
            <w:noWrap w:val="0"/>
            <w:vAlign w:val="center"/>
          </w:tcPr>
          <w:p>
            <w:pPr>
              <w:widowControl/>
              <w:spacing w:line="240" w:lineRule="exact"/>
              <w:jc w:val="center"/>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lang w:val="en-US" w:eastAsia="zh-CN"/>
              </w:rPr>
              <w:t>100万元</w:t>
            </w:r>
          </w:p>
        </w:tc>
        <w:tc>
          <w:tcPr>
            <w:tcW w:w="916" w:type="dxa"/>
            <w:tcBorders>
              <w:top w:val="nil"/>
              <w:left w:val="nil"/>
              <w:bottom w:val="single" w:color="auto" w:sz="4" w:space="0"/>
              <w:right w:val="single" w:color="auto" w:sz="4" w:space="0"/>
            </w:tcBorders>
            <w:noWrap w:val="0"/>
            <w:vAlign w:val="center"/>
          </w:tcPr>
          <w:p>
            <w:pPr>
              <w:widowControl/>
              <w:spacing w:line="240" w:lineRule="exact"/>
              <w:jc w:val="left"/>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val="en-US" w:eastAsia="zh-CN"/>
              </w:rPr>
              <w:t>171.30</w:t>
            </w:r>
          </w:p>
        </w:tc>
        <w:tc>
          <w:tcPr>
            <w:tcW w:w="711"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kern w:val="0"/>
                <w:sz w:val="20"/>
                <w:szCs w:val="20"/>
                <w:highlight w:val="none"/>
                <w:lang w:val="en-US" w:eastAsia="zh-CN" w:bidi="ar-SA"/>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val="en-US" w:eastAsia="zh-CN"/>
              </w:rPr>
              <w:t>5</w:t>
            </w:r>
          </w:p>
        </w:tc>
        <w:tc>
          <w:tcPr>
            <w:tcW w:w="916"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kern w:val="0"/>
                <w:sz w:val="20"/>
                <w:szCs w:val="20"/>
                <w:highlight w:val="none"/>
                <w:lang w:val="en-US" w:eastAsia="zh-CN" w:bidi="ar-SA"/>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val="en-US" w:eastAsia="zh-CN"/>
              </w:rPr>
              <w:t>5</w:t>
            </w:r>
          </w:p>
        </w:tc>
        <w:tc>
          <w:tcPr>
            <w:tcW w:w="1420"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r>
      <w:tr>
        <w:tblPrEx>
          <w:tblCellMar>
            <w:top w:w="0" w:type="dxa"/>
            <w:left w:w="108" w:type="dxa"/>
            <w:bottom w:w="0" w:type="dxa"/>
            <w:right w:w="108" w:type="dxa"/>
          </w:tblCellMar>
        </w:tblPrEx>
        <w:trPr>
          <w:jc w:val="center"/>
        </w:trPr>
        <w:tc>
          <w:tcPr>
            <w:tcW w:w="1068" w:type="dxa"/>
            <w:vMerge w:val="continue"/>
            <w:tcBorders>
              <w:left w:val="single" w:color="auto" w:sz="4" w:space="0"/>
              <w:right w:val="single" w:color="auto" w:sz="4" w:space="0"/>
            </w:tcBorders>
            <w:noWrap w:val="0"/>
            <w:vAlign w:val="center"/>
          </w:tcPr>
          <w:p>
            <w:pPr>
              <w:spacing w:line="240" w:lineRule="exact"/>
              <w:jc w:val="left"/>
              <w:rPr>
                <w:rFonts w:hint="eastAsia" w:ascii="仿宋_GB2312" w:hAnsi="仿宋_GB2312" w:eastAsia="仿宋_GB2312" w:cs="仿宋_GB2312"/>
                <w:color w:val="000000"/>
                <w:sz w:val="20"/>
                <w:szCs w:val="20"/>
                <w:highlight w:val="none"/>
              </w:rPr>
            </w:pPr>
          </w:p>
        </w:tc>
        <w:tc>
          <w:tcPr>
            <w:tcW w:w="1068" w:type="dxa"/>
            <w:vMerge w:val="continue"/>
            <w:tcBorders>
              <w:left w:val="nil"/>
              <w:right w:val="single" w:color="auto" w:sz="4" w:space="0"/>
            </w:tcBorders>
            <w:noWrap w:val="0"/>
            <w:vAlign w:val="center"/>
          </w:tcPr>
          <w:p>
            <w:pPr>
              <w:spacing w:line="240" w:lineRule="exact"/>
              <w:jc w:val="left"/>
              <w:rPr>
                <w:rFonts w:hint="eastAsia" w:ascii="仿宋_GB2312" w:hAnsi="仿宋_GB2312" w:eastAsia="仿宋_GB2312" w:cs="仿宋_GB2312"/>
                <w:color w:val="000000"/>
                <w:sz w:val="20"/>
                <w:szCs w:val="20"/>
                <w:highlight w:val="none"/>
              </w:rPr>
            </w:pPr>
          </w:p>
        </w:tc>
        <w:tc>
          <w:tcPr>
            <w:tcW w:w="1018" w:type="dxa"/>
            <w:vMerge w:val="continue"/>
            <w:tcBorders>
              <w:left w:val="nil"/>
              <w:right w:val="single" w:color="auto" w:sz="4" w:space="0"/>
            </w:tcBorders>
            <w:noWrap w:val="0"/>
            <w:vAlign w:val="center"/>
          </w:tcPr>
          <w:p>
            <w:pPr>
              <w:spacing w:line="240" w:lineRule="exact"/>
              <w:jc w:val="center"/>
              <w:rPr>
                <w:rFonts w:hint="eastAsia" w:ascii="仿宋_GB2312" w:hAnsi="仿宋_GB2312" w:eastAsia="仿宋_GB2312" w:cs="仿宋_GB2312"/>
                <w:color w:val="000000"/>
                <w:sz w:val="20"/>
                <w:szCs w:val="20"/>
                <w:highlight w:val="none"/>
              </w:rPr>
            </w:pPr>
          </w:p>
        </w:tc>
        <w:tc>
          <w:tcPr>
            <w:tcW w:w="1608"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全年为消费者挽回经济损失金额</w:t>
            </w:r>
          </w:p>
        </w:tc>
        <w:tc>
          <w:tcPr>
            <w:tcW w:w="1354" w:type="dxa"/>
            <w:tcBorders>
              <w:top w:val="nil"/>
              <w:left w:val="nil"/>
              <w:bottom w:val="single" w:color="auto" w:sz="4" w:space="0"/>
              <w:right w:val="single" w:color="auto" w:sz="4" w:space="0"/>
            </w:tcBorders>
            <w:noWrap w:val="0"/>
            <w:vAlign w:val="center"/>
          </w:tcPr>
          <w:p>
            <w:pPr>
              <w:widowControl/>
              <w:spacing w:line="240" w:lineRule="exact"/>
              <w:jc w:val="center"/>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lang w:val="en-US" w:eastAsia="zh-CN"/>
              </w:rPr>
              <w:t>50万元</w:t>
            </w:r>
          </w:p>
        </w:tc>
        <w:tc>
          <w:tcPr>
            <w:tcW w:w="916" w:type="dxa"/>
            <w:tcBorders>
              <w:top w:val="nil"/>
              <w:left w:val="nil"/>
              <w:bottom w:val="single" w:color="auto" w:sz="4" w:space="0"/>
              <w:right w:val="single" w:color="auto" w:sz="4" w:space="0"/>
            </w:tcBorders>
            <w:noWrap w:val="0"/>
            <w:vAlign w:val="center"/>
          </w:tcPr>
          <w:p>
            <w:pPr>
              <w:widowControl/>
              <w:spacing w:line="240" w:lineRule="exact"/>
              <w:jc w:val="left"/>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val="en-US" w:eastAsia="zh-CN"/>
              </w:rPr>
              <w:t>190</w:t>
            </w:r>
          </w:p>
        </w:tc>
        <w:tc>
          <w:tcPr>
            <w:tcW w:w="711"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kern w:val="0"/>
                <w:sz w:val="20"/>
                <w:szCs w:val="20"/>
                <w:highlight w:val="none"/>
                <w:lang w:val="en-US" w:eastAsia="zh-CN" w:bidi="ar-SA"/>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val="en-US" w:eastAsia="zh-CN"/>
              </w:rPr>
              <w:t>5</w:t>
            </w:r>
          </w:p>
        </w:tc>
        <w:tc>
          <w:tcPr>
            <w:tcW w:w="916"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kern w:val="0"/>
                <w:sz w:val="20"/>
                <w:szCs w:val="20"/>
                <w:highlight w:val="none"/>
                <w:lang w:val="en-US" w:eastAsia="zh-CN" w:bidi="ar-SA"/>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val="en-US" w:eastAsia="zh-CN"/>
              </w:rPr>
              <w:t>5</w:t>
            </w:r>
          </w:p>
        </w:tc>
        <w:tc>
          <w:tcPr>
            <w:tcW w:w="1420"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r>
      <w:tr>
        <w:tblPrEx>
          <w:tblCellMar>
            <w:top w:w="0" w:type="dxa"/>
            <w:left w:w="108" w:type="dxa"/>
            <w:bottom w:w="0" w:type="dxa"/>
            <w:right w:w="108" w:type="dxa"/>
          </w:tblCellMar>
        </w:tblPrEx>
        <w:trPr>
          <w:jc w:val="center"/>
        </w:trPr>
        <w:tc>
          <w:tcPr>
            <w:tcW w:w="1068" w:type="dxa"/>
            <w:vMerge w:val="continue"/>
            <w:tcBorders>
              <w:left w:val="single" w:color="auto" w:sz="4" w:space="0"/>
              <w:right w:val="single" w:color="auto" w:sz="4" w:space="0"/>
            </w:tcBorders>
            <w:noWrap w:val="0"/>
            <w:vAlign w:val="center"/>
          </w:tcPr>
          <w:p>
            <w:pPr>
              <w:spacing w:line="240" w:lineRule="exact"/>
              <w:jc w:val="left"/>
              <w:rPr>
                <w:rFonts w:hint="eastAsia" w:ascii="仿宋_GB2312" w:hAnsi="仿宋_GB2312" w:eastAsia="仿宋_GB2312" w:cs="仿宋_GB2312"/>
                <w:color w:val="000000"/>
                <w:sz w:val="20"/>
                <w:szCs w:val="20"/>
                <w:highlight w:val="none"/>
              </w:rPr>
            </w:pPr>
          </w:p>
        </w:tc>
        <w:tc>
          <w:tcPr>
            <w:tcW w:w="1068" w:type="dxa"/>
            <w:vMerge w:val="continue"/>
            <w:tcBorders>
              <w:left w:val="nil"/>
              <w:right w:val="single" w:color="auto" w:sz="4" w:space="0"/>
            </w:tcBorders>
            <w:noWrap w:val="0"/>
            <w:vAlign w:val="center"/>
          </w:tcPr>
          <w:p>
            <w:pPr>
              <w:spacing w:line="240" w:lineRule="exact"/>
              <w:jc w:val="left"/>
              <w:rPr>
                <w:rFonts w:hint="eastAsia" w:ascii="仿宋_GB2312" w:hAnsi="仿宋_GB2312" w:eastAsia="仿宋_GB2312" w:cs="仿宋_GB2312"/>
                <w:color w:val="000000"/>
                <w:sz w:val="20"/>
                <w:szCs w:val="20"/>
                <w:highlight w:val="none"/>
              </w:rPr>
            </w:pPr>
          </w:p>
        </w:tc>
        <w:tc>
          <w:tcPr>
            <w:tcW w:w="1018" w:type="dxa"/>
            <w:vMerge w:val="continue"/>
            <w:tcBorders>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p>
        </w:tc>
        <w:tc>
          <w:tcPr>
            <w:tcW w:w="1608"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w:t>
            </w:r>
          </w:p>
        </w:tc>
        <w:tc>
          <w:tcPr>
            <w:tcW w:w="1354"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p>
        </w:tc>
        <w:tc>
          <w:tcPr>
            <w:tcW w:w="916"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711"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916"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420"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r>
      <w:tr>
        <w:tblPrEx>
          <w:tblCellMar>
            <w:top w:w="0" w:type="dxa"/>
            <w:left w:w="108" w:type="dxa"/>
            <w:bottom w:w="0" w:type="dxa"/>
            <w:right w:w="108" w:type="dxa"/>
          </w:tblCellMar>
        </w:tblPrEx>
        <w:trPr>
          <w:jc w:val="center"/>
        </w:trPr>
        <w:tc>
          <w:tcPr>
            <w:tcW w:w="1068" w:type="dxa"/>
            <w:vMerge w:val="continue"/>
            <w:tcBorders>
              <w:left w:val="single" w:color="auto" w:sz="4" w:space="0"/>
              <w:right w:val="single" w:color="auto" w:sz="4" w:space="0"/>
            </w:tcBorders>
            <w:noWrap w:val="0"/>
            <w:vAlign w:val="center"/>
          </w:tcPr>
          <w:p>
            <w:pPr>
              <w:spacing w:line="240" w:lineRule="exact"/>
              <w:jc w:val="left"/>
              <w:rPr>
                <w:rFonts w:hint="eastAsia" w:ascii="仿宋_GB2312" w:hAnsi="仿宋_GB2312" w:eastAsia="仿宋_GB2312" w:cs="仿宋_GB2312"/>
                <w:color w:val="000000"/>
                <w:sz w:val="20"/>
                <w:szCs w:val="20"/>
                <w:highlight w:val="none"/>
              </w:rPr>
            </w:pPr>
          </w:p>
        </w:tc>
        <w:tc>
          <w:tcPr>
            <w:tcW w:w="1068" w:type="dxa"/>
            <w:vMerge w:val="continue"/>
            <w:tcBorders>
              <w:left w:val="nil"/>
              <w:right w:val="single" w:color="auto" w:sz="4" w:space="0"/>
            </w:tcBorders>
            <w:noWrap w:val="0"/>
            <w:vAlign w:val="center"/>
          </w:tcPr>
          <w:p>
            <w:pPr>
              <w:spacing w:line="240" w:lineRule="exact"/>
              <w:jc w:val="left"/>
              <w:rPr>
                <w:rFonts w:hint="eastAsia" w:ascii="仿宋_GB2312" w:hAnsi="仿宋_GB2312" w:eastAsia="仿宋_GB2312" w:cs="仿宋_GB2312"/>
                <w:color w:val="000000"/>
                <w:sz w:val="20"/>
                <w:szCs w:val="20"/>
                <w:highlight w:val="none"/>
              </w:rPr>
            </w:pPr>
          </w:p>
        </w:tc>
        <w:tc>
          <w:tcPr>
            <w:tcW w:w="1018" w:type="dxa"/>
            <w:vMerge w:val="restart"/>
            <w:tcBorders>
              <w:top w:val="nil"/>
              <w:left w:val="nil"/>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社会效</w:t>
            </w:r>
          </w:p>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益指标</w:t>
            </w:r>
          </w:p>
        </w:tc>
        <w:tc>
          <w:tcPr>
            <w:tcW w:w="1608" w:type="dxa"/>
            <w:tcBorders>
              <w:top w:val="nil"/>
              <w:left w:val="nil"/>
              <w:bottom w:val="single" w:color="auto" w:sz="4" w:space="0"/>
              <w:right w:val="single" w:color="auto"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color w:val="000000"/>
                <w:sz w:val="15"/>
                <w:szCs w:val="15"/>
                <w:highlight w:val="none"/>
              </w:rPr>
            </w:pPr>
            <w:r>
              <w:rPr>
                <w:rFonts w:hint="eastAsia" w:ascii="宋体" w:hAnsi="宋体" w:eastAsia="宋体" w:cs="宋体"/>
                <w:i w:val="0"/>
                <w:iCs w:val="0"/>
                <w:color w:val="000000"/>
                <w:kern w:val="0"/>
                <w:sz w:val="15"/>
                <w:szCs w:val="15"/>
                <w:u w:val="none"/>
                <w:lang w:val="en-US" w:eastAsia="zh-CN" w:bidi="ar"/>
              </w:rPr>
              <w:t>虚假违法广告线索处置率</w:t>
            </w:r>
          </w:p>
        </w:tc>
        <w:tc>
          <w:tcPr>
            <w:tcW w:w="1354" w:type="dxa"/>
            <w:tcBorders>
              <w:top w:val="nil"/>
              <w:left w:val="nil"/>
              <w:bottom w:val="single" w:color="auto" w:sz="4" w:space="0"/>
              <w:right w:val="single" w:color="auto" w:sz="4" w:space="0"/>
            </w:tcBorders>
            <w:noWrap w:val="0"/>
            <w:vAlign w:val="center"/>
          </w:tcPr>
          <w:p>
            <w:pPr>
              <w:keepNext w:val="0"/>
              <w:keepLines w:val="0"/>
              <w:widowControl/>
              <w:suppressLineNumbers w:val="0"/>
              <w:jc w:val="center"/>
              <w:textAlignment w:val="center"/>
              <w:rPr>
                <w:rFonts w:hint="default" w:ascii="仿宋_GB2312" w:hAnsi="仿宋_GB2312" w:eastAsia="仿宋_GB2312" w:cs="仿宋_GB2312"/>
                <w:color w:val="000000"/>
                <w:sz w:val="15"/>
                <w:szCs w:val="15"/>
                <w:highlight w:val="none"/>
                <w:lang w:val="en-US"/>
              </w:rPr>
            </w:pPr>
            <w:r>
              <w:rPr>
                <w:rFonts w:hint="eastAsia" w:ascii="宋体" w:hAnsi="宋体" w:eastAsia="宋体" w:cs="宋体"/>
                <w:i w:val="0"/>
                <w:iCs w:val="0"/>
                <w:color w:val="000000"/>
                <w:kern w:val="0"/>
                <w:sz w:val="15"/>
                <w:szCs w:val="15"/>
                <w:u w:val="none"/>
                <w:lang w:val="en-US" w:eastAsia="zh-CN" w:bidi="ar"/>
              </w:rPr>
              <w:t>≥</w:t>
            </w:r>
            <w:r>
              <w:rPr>
                <w:rFonts w:hint="eastAsia" w:ascii="宋体" w:hAnsi="宋体" w:cs="宋体"/>
                <w:i w:val="0"/>
                <w:iCs w:val="0"/>
                <w:color w:val="000000"/>
                <w:kern w:val="0"/>
                <w:sz w:val="15"/>
                <w:szCs w:val="15"/>
                <w:u w:val="none"/>
                <w:lang w:val="en-US" w:eastAsia="zh-CN" w:bidi="ar"/>
              </w:rPr>
              <w:t>95%</w:t>
            </w:r>
          </w:p>
        </w:tc>
        <w:tc>
          <w:tcPr>
            <w:tcW w:w="916" w:type="dxa"/>
            <w:tcBorders>
              <w:top w:val="nil"/>
              <w:left w:val="nil"/>
              <w:bottom w:val="single" w:color="auto" w:sz="4" w:space="0"/>
              <w:right w:val="single" w:color="auto"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color w:val="000000"/>
                <w:kern w:val="0"/>
                <w:sz w:val="15"/>
                <w:szCs w:val="15"/>
                <w:highlight w:val="none"/>
                <w:lang w:val="en-US" w:eastAsia="zh-CN" w:bidi="ar-SA"/>
              </w:rPr>
            </w:pPr>
            <w:r>
              <w:rPr>
                <w:rFonts w:hint="eastAsia" w:ascii="宋体" w:hAnsi="宋体" w:eastAsia="宋体" w:cs="宋体"/>
                <w:i w:val="0"/>
                <w:iCs w:val="0"/>
                <w:color w:val="000000"/>
                <w:kern w:val="0"/>
                <w:sz w:val="15"/>
                <w:szCs w:val="15"/>
                <w:u w:val="none"/>
                <w:lang w:val="en-US" w:eastAsia="zh-CN" w:bidi="ar"/>
              </w:rPr>
              <w:t>≥</w:t>
            </w:r>
            <w:r>
              <w:rPr>
                <w:rFonts w:hint="eastAsia" w:ascii="宋体" w:hAnsi="宋体" w:cs="宋体"/>
                <w:i w:val="0"/>
                <w:iCs w:val="0"/>
                <w:color w:val="000000"/>
                <w:kern w:val="0"/>
                <w:sz w:val="15"/>
                <w:szCs w:val="15"/>
                <w:u w:val="none"/>
                <w:lang w:val="en-US" w:eastAsia="zh-CN" w:bidi="ar"/>
              </w:rPr>
              <w:t>95%</w:t>
            </w:r>
          </w:p>
        </w:tc>
        <w:tc>
          <w:tcPr>
            <w:tcW w:w="711"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val="en-US" w:eastAsia="zh-CN"/>
              </w:rPr>
              <w:t>5</w:t>
            </w:r>
          </w:p>
        </w:tc>
        <w:tc>
          <w:tcPr>
            <w:tcW w:w="916"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val="en-US" w:eastAsia="zh-CN"/>
              </w:rPr>
              <w:t>5</w:t>
            </w:r>
          </w:p>
        </w:tc>
        <w:tc>
          <w:tcPr>
            <w:tcW w:w="1420"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r>
      <w:tr>
        <w:tblPrEx>
          <w:tblCellMar>
            <w:top w:w="0" w:type="dxa"/>
            <w:left w:w="108" w:type="dxa"/>
            <w:bottom w:w="0" w:type="dxa"/>
            <w:right w:w="108" w:type="dxa"/>
          </w:tblCellMar>
        </w:tblPrEx>
        <w:trPr>
          <w:jc w:val="center"/>
        </w:trPr>
        <w:tc>
          <w:tcPr>
            <w:tcW w:w="1068" w:type="dxa"/>
            <w:vMerge w:val="continue"/>
            <w:tcBorders>
              <w:left w:val="single" w:color="auto" w:sz="4" w:space="0"/>
              <w:right w:val="single" w:color="auto" w:sz="4" w:space="0"/>
            </w:tcBorders>
            <w:noWrap w:val="0"/>
            <w:vAlign w:val="center"/>
          </w:tcPr>
          <w:p>
            <w:pPr>
              <w:spacing w:line="240" w:lineRule="exact"/>
              <w:jc w:val="left"/>
              <w:rPr>
                <w:rFonts w:hint="eastAsia" w:ascii="仿宋_GB2312" w:hAnsi="仿宋_GB2312" w:eastAsia="仿宋_GB2312" w:cs="仿宋_GB2312"/>
                <w:color w:val="000000"/>
                <w:sz w:val="20"/>
                <w:szCs w:val="20"/>
                <w:highlight w:val="none"/>
              </w:rPr>
            </w:pPr>
          </w:p>
        </w:tc>
        <w:tc>
          <w:tcPr>
            <w:tcW w:w="1068" w:type="dxa"/>
            <w:vMerge w:val="continue"/>
            <w:tcBorders>
              <w:left w:val="nil"/>
              <w:right w:val="single" w:color="auto" w:sz="4" w:space="0"/>
            </w:tcBorders>
            <w:noWrap w:val="0"/>
            <w:vAlign w:val="center"/>
          </w:tcPr>
          <w:p>
            <w:pPr>
              <w:spacing w:line="240" w:lineRule="exact"/>
              <w:jc w:val="left"/>
              <w:rPr>
                <w:rFonts w:hint="eastAsia" w:ascii="仿宋_GB2312" w:hAnsi="仿宋_GB2312" w:eastAsia="仿宋_GB2312" w:cs="仿宋_GB2312"/>
                <w:color w:val="000000"/>
                <w:sz w:val="20"/>
                <w:szCs w:val="20"/>
                <w:highlight w:val="none"/>
              </w:rPr>
            </w:pPr>
          </w:p>
        </w:tc>
        <w:tc>
          <w:tcPr>
            <w:tcW w:w="1018" w:type="dxa"/>
            <w:vMerge w:val="continue"/>
            <w:tcBorders>
              <w:left w:val="nil"/>
              <w:right w:val="single" w:color="auto" w:sz="4" w:space="0"/>
            </w:tcBorders>
            <w:noWrap w:val="0"/>
            <w:vAlign w:val="center"/>
          </w:tcPr>
          <w:p>
            <w:pPr>
              <w:spacing w:line="240" w:lineRule="exact"/>
              <w:jc w:val="center"/>
              <w:rPr>
                <w:rFonts w:hint="eastAsia" w:ascii="仿宋_GB2312" w:hAnsi="仿宋_GB2312" w:eastAsia="仿宋_GB2312" w:cs="仿宋_GB2312"/>
                <w:color w:val="000000"/>
                <w:sz w:val="20"/>
                <w:szCs w:val="20"/>
                <w:highlight w:val="none"/>
              </w:rPr>
            </w:pPr>
          </w:p>
        </w:tc>
        <w:tc>
          <w:tcPr>
            <w:tcW w:w="1608"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人民群众食品、药品安全意识普及率</w:t>
            </w:r>
          </w:p>
        </w:tc>
        <w:tc>
          <w:tcPr>
            <w:tcW w:w="1354"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宋体" w:hAnsi="宋体" w:eastAsia="宋体" w:cs="宋体"/>
                <w:i w:val="0"/>
                <w:iCs w:val="0"/>
                <w:color w:val="000000"/>
                <w:kern w:val="0"/>
                <w:sz w:val="15"/>
                <w:szCs w:val="15"/>
                <w:u w:val="none"/>
                <w:lang w:val="en-US" w:eastAsia="zh-CN" w:bidi="ar"/>
              </w:rPr>
              <w:t>≥</w:t>
            </w:r>
            <w:r>
              <w:rPr>
                <w:rFonts w:hint="eastAsia" w:ascii="宋体" w:hAnsi="宋体" w:cs="宋体"/>
                <w:i w:val="0"/>
                <w:iCs w:val="0"/>
                <w:color w:val="000000"/>
                <w:kern w:val="0"/>
                <w:sz w:val="15"/>
                <w:szCs w:val="15"/>
                <w:u w:val="none"/>
                <w:lang w:val="en-US" w:eastAsia="zh-CN" w:bidi="ar"/>
              </w:rPr>
              <w:t>95%</w:t>
            </w:r>
          </w:p>
        </w:tc>
        <w:tc>
          <w:tcPr>
            <w:tcW w:w="916"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kern w:val="0"/>
                <w:sz w:val="20"/>
                <w:szCs w:val="20"/>
                <w:highlight w:val="none"/>
                <w:lang w:val="en-US" w:eastAsia="zh-CN" w:bidi="ar-SA"/>
              </w:rPr>
            </w:pPr>
            <w:r>
              <w:rPr>
                <w:rFonts w:hint="eastAsia" w:ascii="宋体" w:hAnsi="宋体" w:eastAsia="宋体" w:cs="宋体"/>
                <w:i w:val="0"/>
                <w:iCs w:val="0"/>
                <w:color w:val="000000"/>
                <w:kern w:val="0"/>
                <w:sz w:val="15"/>
                <w:szCs w:val="15"/>
                <w:u w:val="none"/>
                <w:lang w:val="en-US" w:eastAsia="zh-CN" w:bidi="ar"/>
              </w:rPr>
              <w:t>≥</w:t>
            </w:r>
            <w:r>
              <w:rPr>
                <w:rFonts w:hint="eastAsia" w:ascii="宋体" w:hAnsi="宋体" w:cs="宋体"/>
                <w:i w:val="0"/>
                <w:iCs w:val="0"/>
                <w:color w:val="000000"/>
                <w:kern w:val="0"/>
                <w:sz w:val="15"/>
                <w:szCs w:val="15"/>
                <w:u w:val="none"/>
                <w:lang w:val="en-US" w:eastAsia="zh-CN" w:bidi="ar"/>
              </w:rPr>
              <w:t>95%</w:t>
            </w:r>
          </w:p>
        </w:tc>
        <w:tc>
          <w:tcPr>
            <w:tcW w:w="711"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kern w:val="0"/>
                <w:sz w:val="20"/>
                <w:szCs w:val="20"/>
                <w:highlight w:val="none"/>
                <w:lang w:val="en-US" w:eastAsia="zh-CN" w:bidi="ar-SA"/>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val="en-US" w:eastAsia="zh-CN"/>
              </w:rPr>
              <w:t>5</w:t>
            </w:r>
          </w:p>
        </w:tc>
        <w:tc>
          <w:tcPr>
            <w:tcW w:w="916"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kern w:val="0"/>
                <w:sz w:val="20"/>
                <w:szCs w:val="20"/>
                <w:highlight w:val="none"/>
                <w:lang w:val="en-US" w:eastAsia="zh-CN" w:bidi="ar-SA"/>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val="en-US" w:eastAsia="zh-CN"/>
              </w:rPr>
              <w:t>5</w:t>
            </w:r>
          </w:p>
        </w:tc>
        <w:tc>
          <w:tcPr>
            <w:tcW w:w="1420"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r>
      <w:tr>
        <w:tblPrEx>
          <w:tblCellMar>
            <w:top w:w="0" w:type="dxa"/>
            <w:left w:w="108" w:type="dxa"/>
            <w:bottom w:w="0" w:type="dxa"/>
            <w:right w:w="108" w:type="dxa"/>
          </w:tblCellMar>
        </w:tblPrEx>
        <w:trPr>
          <w:jc w:val="center"/>
        </w:trPr>
        <w:tc>
          <w:tcPr>
            <w:tcW w:w="1068" w:type="dxa"/>
            <w:vMerge w:val="continue"/>
            <w:tcBorders>
              <w:left w:val="single" w:color="auto" w:sz="4" w:space="0"/>
              <w:right w:val="single" w:color="auto" w:sz="4" w:space="0"/>
            </w:tcBorders>
            <w:noWrap w:val="0"/>
            <w:vAlign w:val="center"/>
          </w:tcPr>
          <w:p>
            <w:pPr>
              <w:spacing w:line="240" w:lineRule="exact"/>
              <w:jc w:val="left"/>
              <w:rPr>
                <w:rFonts w:hint="eastAsia" w:ascii="仿宋_GB2312" w:hAnsi="仿宋_GB2312" w:eastAsia="仿宋_GB2312" w:cs="仿宋_GB2312"/>
                <w:color w:val="000000"/>
                <w:sz w:val="20"/>
                <w:szCs w:val="20"/>
                <w:highlight w:val="none"/>
              </w:rPr>
            </w:pPr>
          </w:p>
        </w:tc>
        <w:tc>
          <w:tcPr>
            <w:tcW w:w="1068" w:type="dxa"/>
            <w:vMerge w:val="continue"/>
            <w:tcBorders>
              <w:left w:val="nil"/>
              <w:right w:val="single" w:color="auto" w:sz="4" w:space="0"/>
            </w:tcBorders>
            <w:noWrap w:val="0"/>
            <w:vAlign w:val="center"/>
          </w:tcPr>
          <w:p>
            <w:pPr>
              <w:spacing w:line="240" w:lineRule="exact"/>
              <w:jc w:val="left"/>
              <w:rPr>
                <w:rFonts w:hint="eastAsia" w:ascii="仿宋_GB2312" w:hAnsi="仿宋_GB2312" w:eastAsia="仿宋_GB2312" w:cs="仿宋_GB2312"/>
                <w:color w:val="000000"/>
                <w:sz w:val="20"/>
                <w:szCs w:val="20"/>
                <w:highlight w:val="none"/>
              </w:rPr>
            </w:pPr>
          </w:p>
        </w:tc>
        <w:tc>
          <w:tcPr>
            <w:tcW w:w="1018" w:type="dxa"/>
            <w:vMerge w:val="continue"/>
            <w:tcBorders>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p>
        </w:tc>
        <w:tc>
          <w:tcPr>
            <w:tcW w:w="1608"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w:t>
            </w:r>
          </w:p>
        </w:tc>
        <w:tc>
          <w:tcPr>
            <w:tcW w:w="1354"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p>
        </w:tc>
        <w:tc>
          <w:tcPr>
            <w:tcW w:w="916"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kern w:val="0"/>
                <w:sz w:val="20"/>
                <w:szCs w:val="20"/>
                <w:highlight w:val="none"/>
                <w:lang w:val="en-US" w:eastAsia="zh-CN" w:bidi="ar-SA"/>
              </w:rPr>
            </w:pPr>
          </w:p>
        </w:tc>
        <w:tc>
          <w:tcPr>
            <w:tcW w:w="711"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916"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420"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r>
      <w:tr>
        <w:tblPrEx>
          <w:tblCellMar>
            <w:top w:w="0" w:type="dxa"/>
            <w:left w:w="108" w:type="dxa"/>
            <w:bottom w:w="0" w:type="dxa"/>
            <w:right w:w="108" w:type="dxa"/>
          </w:tblCellMar>
        </w:tblPrEx>
        <w:trPr>
          <w:jc w:val="center"/>
        </w:trPr>
        <w:tc>
          <w:tcPr>
            <w:tcW w:w="1068" w:type="dxa"/>
            <w:vMerge w:val="continue"/>
            <w:tcBorders>
              <w:left w:val="single" w:color="auto" w:sz="4" w:space="0"/>
              <w:right w:val="single" w:color="auto" w:sz="4" w:space="0"/>
            </w:tcBorders>
            <w:noWrap w:val="0"/>
            <w:vAlign w:val="center"/>
          </w:tcPr>
          <w:p>
            <w:pPr>
              <w:spacing w:line="240" w:lineRule="exact"/>
              <w:jc w:val="left"/>
              <w:rPr>
                <w:rFonts w:hint="eastAsia" w:ascii="仿宋_GB2312" w:hAnsi="仿宋_GB2312" w:eastAsia="仿宋_GB2312" w:cs="仿宋_GB2312"/>
                <w:color w:val="000000"/>
                <w:sz w:val="20"/>
                <w:szCs w:val="20"/>
                <w:highlight w:val="none"/>
              </w:rPr>
            </w:pPr>
          </w:p>
        </w:tc>
        <w:tc>
          <w:tcPr>
            <w:tcW w:w="1068" w:type="dxa"/>
            <w:vMerge w:val="continue"/>
            <w:tcBorders>
              <w:left w:val="nil"/>
              <w:right w:val="single" w:color="auto" w:sz="4" w:space="0"/>
            </w:tcBorders>
            <w:noWrap w:val="0"/>
            <w:vAlign w:val="center"/>
          </w:tcPr>
          <w:p>
            <w:pPr>
              <w:spacing w:line="240" w:lineRule="exact"/>
              <w:jc w:val="left"/>
              <w:rPr>
                <w:rFonts w:hint="eastAsia" w:ascii="仿宋_GB2312" w:hAnsi="仿宋_GB2312" w:eastAsia="仿宋_GB2312" w:cs="仿宋_GB2312"/>
                <w:color w:val="000000"/>
                <w:sz w:val="20"/>
                <w:szCs w:val="20"/>
                <w:highlight w:val="none"/>
              </w:rPr>
            </w:pPr>
          </w:p>
        </w:tc>
        <w:tc>
          <w:tcPr>
            <w:tcW w:w="1018" w:type="dxa"/>
            <w:vMerge w:val="restart"/>
            <w:tcBorders>
              <w:top w:val="nil"/>
              <w:left w:val="nil"/>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生态效</w:t>
            </w:r>
          </w:p>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益指标</w:t>
            </w:r>
          </w:p>
        </w:tc>
        <w:tc>
          <w:tcPr>
            <w:tcW w:w="1608"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p>
        </w:tc>
        <w:tc>
          <w:tcPr>
            <w:tcW w:w="1354"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p>
        </w:tc>
        <w:tc>
          <w:tcPr>
            <w:tcW w:w="916"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kern w:val="0"/>
                <w:sz w:val="20"/>
                <w:szCs w:val="20"/>
                <w:highlight w:val="none"/>
                <w:lang w:val="en-US" w:eastAsia="zh-CN" w:bidi="ar-SA"/>
              </w:rPr>
            </w:pPr>
          </w:p>
        </w:tc>
        <w:tc>
          <w:tcPr>
            <w:tcW w:w="711"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916"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420"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r>
      <w:tr>
        <w:tblPrEx>
          <w:tblCellMar>
            <w:top w:w="0" w:type="dxa"/>
            <w:left w:w="108" w:type="dxa"/>
            <w:bottom w:w="0" w:type="dxa"/>
            <w:right w:w="108" w:type="dxa"/>
          </w:tblCellMar>
        </w:tblPrEx>
        <w:trPr>
          <w:jc w:val="center"/>
        </w:trPr>
        <w:tc>
          <w:tcPr>
            <w:tcW w:w="1068" w:type="dxa"/>
            <w:vMerge w:val="continue"/>
            <w:tcBorders>
              <w:left w:val="single" w:color="auto" w:sz="4" w:space="0"/>
              <w:right w:val="single" w:color="auto" w:sz="4" w:space="0"/>
            </w:tcBorders>
            <w:noWrap w:val="0"/>
            <w:vAlign w:val="center"/>
          </w:tcPr>
          <w:p>
            <w:pPr>
              <w:spacing w:line="240" w:lineRule="exact"/>
              <w:jc w:val="left"/>
              <w:rPr>
                <w:rFonts w:hint="eastAsia" w:ascii="仿宋_GB2312" w:hAnsi="仿宋_GB2312" w:eastAsia="仿宋_GB2312" w:cs="仿宋_GB2312"/>
                <w:color w:val="000000"/>
                <w:sz w:val="20"/>
                <w:szCs w:val="20"/>
                <w:highlight w:val="none"/>
              </w:rPr>
            </w:pPr>
          </w:p>
        </w:tc>
        <w:tc>
          <w:tcPr>
            <w:tcW w:w="1068" w:type="dxa"/>
            <w:vMerge w:val="continue"/>
            <w:tcBorders>
              <w:left w:val="nil"/>
              <w:right w:val="single" w:color="auto" w:sz="4" w:space="0"/>
            </w:tcBorders>
            <w:noWrap w:val="0"/>
            <w:vAlign w:val="center"/>
          </w:tcPr>
          <w:p>
            <w:pPr>
              <w:spacing w:line="240" w:lineRule="exact"/>
              <w:jc w:val="left"/>
              <w:rPr>
                <w:rFonts w:hint="eastAsia" w:ascii="仿宋_GB2312" w:hAnsi="仿宋_GB2312" w:eastAsia="仿宋_GB2312" w:cs="仿宋_GB2312"/>
                <w:color w:val="000000"/>
                <w:sz w:val="20"/>
                <w:szCs w:val="20"/>
                <w:highlight w:val="none"/>
              </w:rPr>
            </w:pPr>
          </w:p>
        </w:tc>
        <w:tc>
          <w:tcPr>
            <w:tcW w:w="1018" w:type="dxa"/>
            <w:vMerge w:val="continue"/>
            <w:tcBorders>
              <w:left w:val="nil"/>
              <w:right w:val="single" w:color="auto" w:sz="4" w:space="0"/>
            </w:tcBorders>
            <w:noWrap w:val="0"/>
            <w:vAlign w:val="center"/>
          </w:tcPr>
          <w:p>
            <w:pPr>
              <w:spacing w:line="240" w:lineRule="exact"/>
              <w:jc w:val="left"/>
              <w:rPr>
                <w:rFonts w:hint="eastAsia" w:ascii="仿宋_GB2312" w:hAnsi="仿宋_GB2312" w:eastAsia="仿宋_GB2312" w:cs="仿宋_GB2312"/>
                <w:color w:val="000000"/>
                <w:sz w:val="20"/>
                <w:szCs w:val="20"/>
                <w:highlight w:val="none"/>
              </w:rPr>
            </w:pPr>
          </w:p>
        </w:tc>
        <w:tc>
          <w:tcPr>
            <w:tcW w:w="1608"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p>
        </w:tc>
        <w:tc>
          <w:tcPr>
            <w:tcW w:w="1354"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p>
        </w:tc>
        <w:tc>
          <w:tcPr>
            <w:tcW w:w="916"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kern w:val="0"/>
                <w:sz w:val="20"/>
                <w:szCs w:val="20"/>
                <w:highlight w:val="none"/>
                <w:lang w:val="en-US" w:eastAsia="zh-CN" w:bidi="ar-SA"/>
              </w:rPr>
            </w:pPr>
          </w:p>
        </w:tc>
        <w:tc>
          <w:tcPr>
            <w:tcW w:w="711"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916"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420"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r>
      <w:tr>
        <w:tblPrEx>
          <w:tblCellMar>
            <w:top w:w="0" w:type="dxa"/>
            <w:left w:w="108" w:type="dxa"/>
            <w:bottom w:w="0" w:type="dxa"/>
            <w:right w:w="108" w:type="dxa"/>
          </w:tblCellMar>
        </w:tblPrEx>
        <w:trPr>
          <w:trHeight w:val="90" w:hRule="atLeast"/>
          <w:jc w:val="center"/>
        </w:trPr>
        <w:tc>
          <w:tcPr>
            <w:tcW w:w="1068" w:type="dxa"/>
            <w:vMerge w:val="continue"/>
            <w:tcBorders>
              <w:left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p>
        </w:tc>
        <w:tc>
          <w:tcPr>
            <w:tcW w:w="1068" w:type="dxa"/>
            <w:vMerge w:val="continue"/>
            <w:tcBorders>
              <w:left w:val="nil"/>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p>
        </w:tc>
        <w:tc>
          <w:tcPr>
            <w:tcW w:w="1018" w:type="dxa"/>
            <w:vMerge w:val="continue"/>
            <w:tcBorders>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p>
        </w:tc>
        <w:tc>
          <w:tcPr>
            <w:tcW w:w="1608"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w:t>
            </w:r>
          </w:p>
        </w:tc>
        <w:tc>
          <w:tcPr>
            <w:tcW w:w="1354"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p>
        </w:tc>
        <w:tc>
          <w:tcPr>
            <w:tcW w:w="916"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kern w:val="0"/>
                <w:sz w:val="20"/>
                <w:szCs w:val="20"/>
                <w:highlight w:val="none"/>
                <w:lang w:val="en-US" w:eastAsia="zh-CN" w:bidi="ar-SA"/>
              </w:rPr>
            </w:pPr>
          </w:p>
        </w:tc>
        <w:tc>
          <w:tcPr>
            <w:tcW w:w="711"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916"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420"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r>
      <w:tr>
        <w:tblPrEx>
          <w:tblCellMar>
            <w:top w:w="0" w:type="dxa"/>
            <w:left w:w="108" w:type="dxa"/>
            <w:bottom w:w="0" w:type="dxa"/>
            <w:right w:w="108" w:type="dxa"/>
          </w:tblCellMar>
        </w:tblPrEx>
        <w:trPr>
          <w:trHeight w:val="290" w:hRule="atLeast"/>
          <w:jc w:val="center"/>
        </w:trPr>
        <w:tc>
          <w:tcPr>
            <w:tcW w:w="1068" w:type="dxa"/>
            <w:vMerge w:val="continue"/>
            <w:tcBorders>
              <w:left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p>
        </w:tc>
        <w:tc>
          <w:tcPr>
            <w:tcW w:w="1068" w:type="dxa"/>
            <w:vMerge w:val="continue"/>
            <w:tcBorders>
              <w:left w:val="nil"/>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p>
        </w:tc>
        <w:tc>
          <w:tcPr>
            <w:tcW w:w="1018" w:type="dxa"/>
            <w:vMerge w:val="restart"/>
            <w:tcBorders>
              <w:top w:val="single" w:color="auto" w:sz="4" w:space="0"/>
              <w:left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可持续影响指标</w:t>
            </w:r>
          </w:p>
        </w:tc>
        <w:tc>
          <w:tcPr>
            <w:tcW w:w="1608" w:type="dxa"/>
            <w:tcBorders>
              <w:top w:val="single" w:color="auto" w:sz="4" w:space="0"/>
              <w:left w:val="single" w:color="auto" w:sz="4" w:space="0"/>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群众识别、抵制假冒伪劣产品的意识</w:t>
            </w:r>
          </w:p>
        </w:tc>
        <w:tc>
          <w:tcPr>
            <w:tcW w:w="1354"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0"/>
                <w:szCs w:val="20"/>
                <w:u w:val="none"/>
                <w:lang w:val="en-US" w:eastAsia="zh-CN" w:bidi="ar-SA"/>
              </w:rPr>
            </w:pPr>
            <w:r>
              <w:rPr>
                <w:rFonts w:hint="eastAsia" w:ascii="宋体" w:hAnsi="宋体" w:eastAsia="宋体" w:cs="宋体"/>
                <w:i w:val="0"/>
                <w:iCs w:val="0"/>
                <w:color w:val="000000"/>
                <w:kern w:val="0"/>
                <w:sz w:val="20"/>
                <w:szCs w:val="20"/>
                <w:u w:val="none"/>
                <w:lang w:val="en-US" w:eastAsia="zh-CN" w:bidi="ar"/>
              </w:rPr>
              <w:t>增强</w:t>
            </w:r>
          </w:p>
        </w:tc>
        <w:tc>
          <w:tcPr>
            <w:tcW w:w="916"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0"/>
                <w:szCs w:val="20"/>
                <w:u w:val="none"/>
                <w:lang w:val="en-US" w:eastAsia="zh-CN" w:bidi="ar-SA"/>
              </w:rPr>
            </w:pPr>
            <w:r>
              <w:rPr>
                <w:rFonts w:hint="eastAsia" w:ascii="宋体" w:hAnsi="宋体" w:eastAsia="宋体" w:cs="宋体"/>
                <w:i w:val="0"/>
                <w:iCs w:val="0"/>
                <w:color w:val="000000"/>
                <w:kern w:val="0"/>
                <w:sz w:val="20"/>
                <w:szCs w:val="20"/>
                <w:u w:val="none"/>
                <w:lang w:val="en-US" w:eastAsia="zh-CN" w:bidi="ar"/>
              </w:rPr>
              <w:t>增强</w:t>
            </w:r>
          </w:p>
        </w:tc>
        <w:tc>
          <w:tcPr>
            <w:tcW w:w="711" w:type="dxa"/>
            <w:tcBorders>
              <w:top w:val="single" w:color="auto" w:sz="4" w:space="0"/>
              <w:left w:val="single" w:color="auto" w:sz="4" w:space="0"/>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lang w:val="en-US" w:eastAsia="zh-CN"/>
              </w:rPr>
              <w:t>5</w:t>
            </w:r>
          </w:p>
        </w:tc>
        <w:tc>
          <w:tcPr>
            <w:tcW w:w="916" w:type="dxa"/>
            <w:tcBorders>
              <w:top w:val="single" w:color="auto" w:sz="4" w:space="0"/>
              <w:left w:val="single" w:color="auto" w:sz="4" w:space="0"/>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lang w:val="en-US" w:eastAsia="zh-CN"/>
              </w:rPr>
              <w:t>5</w:t>
            </w:r>
          </w:p>
        </w:tc>
        <w:tc>
          <w:tcPr>
            <w:tcW w:w="1420" w:type="dxa"/>
            <w:tcBorders>
              <w:top w:val="single" w:color="auto" w:sz="4" w:space="0"/>
              <w:left w:val="single" w:color="auto" w:sz="4" w:space="0"/>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r>
      <w:tr>
        <w:tblPrEx>
          <w:tblCellMar>
            <w:top w:w="0" w:type="dxa"/>
            <w:left w:w="108" w:type="dxa"/>
            <w:bottom w:w="0" w:type="dxa"/>
            <w:right w:w="108" w:type="dxa"/>
          </w:tblCellMar>
        </w:tblPrEx>
        <w:trPr>
          <w:trHeight w:val="270" w:hRule="atLeast"/>
          <w:jc w:val="center"/>
        </w:trPr>
        <w:tc>
          <w:tcPr>
            <w:tcW w:w="1068" w:type="dxa"/>
            <w:vMerge w:val="continue"/>
            <w:tcBorders>
              <w:left w:val="single" w:color="auto" w:sz="4" w:space="0"/>
              <w:right w:val="single" w:color="auto" w:sz="4" w:space="0"/>
            </w:tcBorders>
            <w:noWrap w:val="0"/>
            <w:vAlign w:val="center"/>
          </w:tcPr>
          <w:p>
            <w:pPr>
              <w:spacing w:line="240" w:lineRule="exact"/>
              <w:jc w:val="left"/>
              <w:rPr>
                <w:rFonts w:hint="eastAsia" w:ascii="仿宋_GB2312" w:hAnsi="仿宋_GB2312" w:eastAsia="仿宋_GB2312" w:cs="仿宋_GB2312"/>
                <w:color w:val="000000"/>
                <w:sz w:val="20"/>
                <w:szCs w:val="20"/>
                <w:highlight w:val="none"/>
              </w:rPr>
            </w:pPr>
          </w:p>
        </w:tc>
        <w:tc>
          <w:tcPr>
            <w:tcW w:w="1068" w:type="dxa"/>
            <w:vMerge w:val="continue"/>
            <w:tcBorders>
              <w:left w:val="nil"/>
              <w:right w:val="single" w:color="auto" w:sz="4" w:space="0"/>
            </w:tcBorders>
            <w:noWrap w:val="0"/>
            <w:vAlign w:val="center"/>
          </w:tcPr>
          <w:p>
            <w:pPr>
              <w:spacing w:line="240" w:lineRule="exact"/>
              <w:jc w:val="left"/>
              <w:rPr>
                <w:rFonts w:hint="eastAsia" w:ascii="仿宋_GB2312" w:hAnsi="仿宋_GB2312" w:eastAsia="仿宋_GB2312" w:cs="仿宋_GB2312"/>
                <w:color w:val="000000"/>
                <w:sz w:val="20"/>
                <w:szCs w:val="20"/>
                <w:highlight w:val="none"/>
              </w:rPr>
            </w:pPr>
          </w:p>
        </w:tc>
        <w:tc>
          <w:tcPr>
            <w:tcW w:w="1018" w:type="dxa"/>
            <w:vMerge w:val="continue"/>
            <w:tcBorders>
              <w:left w:val="single" w:color="auto" w:sz="4" w:space="0"/>
              <w:right w:val="single" w:color="auto" w:sz="4" w:space="0"/>
            </w:tcBorders>
            <w:noWrap w:val="0"/>
            <w:vAlign w:val="center"/>
          </w:tcPr>
          <w:p>
            <w:pPr>
              <w:spacing w:line="240" w:lineRule="exact"/>
              <w:jc w:val="left"/>
              <w:rPr>
                <w:rFonts w:hint="eastAsia" w:ascii="仿宋_GB2312" w:hAnsi="仿宋_GB2312" w:eastAsia="仿宋_GB2312" w:cs="仿宋_GB2312"/>
                <w:color w:val="000000"/>
                <w:sz w:val="20"/>
                <w:szCs w:val="20"/>
                <w:highlight w:val="none"/>
              </w:rPr>
            </w:pPr>
          </w:p>
        </w:tc>
        <w:tc>
          <w:tcPr>
            <w:tcW w:w="1608" w:type="dxa"/>
            <w:tcBorders>
              <w:top w:val="single" w:color="auto" w:sz="4" w:space="0"/>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p>
        </w:tc>
        <w:tc>
          <w:tcPr>
            <w:tcW w:w="1354" w:type="dxa"/>
            <w:tcBorders>
              <w:top w:val="single" w:color="auto" w:sz="4" w:space="0"/>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p>
        </w:tc>
        <w:tc>
          <w:tcPr>
            <w:tcW w:w="916" w:type="dxa"/>
            <w:tcBorders>
              <w:top w:val="single" w:color="auto" w:sz="4" w:space="0"/>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711" w:type="dxa"/>
            <w:tcBorders>
              <w:top w:val="single" w:color="auto" w:sz="4" w:space="0"/>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916" w:type="dxa"/>
            <w:tcBorders>
              <w:top w:val="single" w:color="auto" w:sz="4" w:space="0"/>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420" w:type="dxa"/>
            <w:tcBorders>
              <w:top w:val="single" w:color="auto" w:sz="4" w:space="0"/>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r>
      <w:tr>
        <w:tblPrEx>
          <w:tblCellMar>
            <w:top w:w="0" w:type="dxa"/>
            <w:left w:w="108" w:type="dxa"/>
            <w:bottom w:w="0" w:type="dxa"/>
            <w:right w:w="108" w:type="dxa"/>
          </w:tblCellMar>
        </w:tblPrEx>
        <w:trPr>
          <w:trHeight w:val="270" w:hRule="atLeast"/>
          <w:jc w:val="center"/>
        </w:trPr>
        <w:tc>
          <w:tcPr>
            <w:tcW w:w="1068" w:type="dxa"/>
            <w:vMerge w:val="continue"/>
            <w:tcBorders>
              <w:left w:val="single" w:color="auto" w:sz="4" w:space="0"/>
              <w:right w:val="single" w:color="auto" w:sz="4" w:space="0"/>
            </w:tcBorders>
            <w:noWrap w:val="0"/>
            <w:vAlign w:val="center"/>
          </w:tcPr>
          <w:p>
            <w:pPr>
              <w:spacing w:line="240" w:lineRule="exact"/>
              <w:jc w:val="left"/>
              <w:rPr>
                <w:rFonts w:hint="eastAsia" w:ascii="仿宋_GB2312" w:hAnsi="仿宋_GB2312" w:eastAsia="仿宋_GB2312" w:cs="仿宋_GB2312"/>
                <w:color w:val="000000"/>
                <w:sz w:val="20"/>
                <w:szCs w:val="20"/>
                <w:highlight w:val="none"/>
              </w:rPr>
            </w:pPr>
          </w:p>
        </w:tc>
        <w:tc>
          <w:tcPr>
            <w:tcW w:w="1068" w:type="dxa"/>
            <w:vMerge w:val="continue"/>
            <w:tcBorders>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p>
        </w:tc>
        <w:tc>
          <w:tcPr>
            <w:tcW w:w="1018" w:type="dxa"/>
            <w:vMerge w:val="continue"/>
            <w:tcBorders>
              <w:left w:val="single" w:color="auto" w:sz="4" w:space="0"/>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p>
        </w:tc>
        <w:tc>
          <w:tcPr>
            <w:tcW w:w="1608"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w:t>
            </w:r>
          </w:p>
        </w:tc>
        <w:tc>
          <w:tcPr>
            <w:tcW w:w="1354"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p>
        </w:tc>
        <w:tc>
          <w:tcPr>
            <w:tcW w:w="916"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711"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916"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420"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r>
      <w:tr>
        <w:tblPrEx>
          <w:tblCellMar>
            <w:top w:w="0" w:type="dxa"/>
            <w:left w:w="108" w:type="dxa"/>
            <w:bottom w:w="0" w:type="dxa"/>
            <w:right w:w="108" w:type="dxa"/>
          </w:tblCellMar>
        </w:tblPrEx>
        <w:trPr>
          <w:trHeight w:val="330" w:hRule="atLeast"/>
          <w:jc w:val="center"/>
        </w:trPr>
        <w:tc>
          <w:tcPr>
            <w:tcW w:w="1068" w:type="dxa"/>
            <w:vMerge w:val="continue"/>
            <w:tcBorders>
              <w:left w:val="single" w:color="auto" w:sz="4" w:space="0"/>
              <w:right w:val="single" w:color="auto" w:sz="4" w:space="0"/>
            </w:tcBorders>
            <w:noWrap w:val="0"/>
            <w:vAlign w:val="center"/>
          </w:tcPr>
          <w:p>
            <w:pPr>
              <w:spacing w:line="240" w:lineRule="exact"/>
              <w:jc w:val="left"/>
              <w:rPr>
                <w:rFonts w:hint="eastAsia" w:ascii="仿宋_GB2312" w:hAnsi="仿宋_GB2312" w:eastAsia="仿宋_GB2312" w:cs="仿宋_GB2312"/>
                <w:color w:val="000000"/>
                <w:sz w:val="20"/>
                <w:szCs w:val="20"/>
                <w:highlight w:val="none"/>
              </w:rPr>
            </w:pPr>
          </w:p>
        </w:tc>
        <w:tc>
          <w:tcPr>
            <w:tcW w:w="1068" w:type="dxa"/>
            <w:vMerge w:val="restart"/>
            <w:tcBorders>
              <w:top w:val="nil"/>
              <w:left w:val="nil"/>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满意度</w:t>
            </w:r>
          </w:p>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指标</w:t>
            </w:r>
          </w:p>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（10分）</w:t>
            </w:r>
          </w:p>
        </w:tc>
        <w:tc>
          <w:tcPr>
            <w:tcW w:w="1018" w:type="dxa"/>
            <w:vMerge w:val="restart"/>
            <w:tcBorders>
              <w:top w:val="nil"/>
              <w:left w:val="nil"/>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服务对象满意度指标</w:t>
            </w:r>
          </w:p>
        </w:tc>
        <w:tc>
          <w:tcPr>
            <w:tcW w:w="1608" w:type="dxa"/>
            <w:tcBorders>
              <w:top w:val="nil"/>
              <w:left w:val="nil"/>
              <w:bottom w:val="single" w:color="auto" w:sz="4" w:space="0"/>
              <w:right w:val="single" w:color="auto"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color w:val="000000"/>
                <w:sz w:val="15"/>
                <w:szCs w:val="15"/>
                <w:highlight w:val="none"/>
              </w:rPr>
            </w:pPr>
            <w:r>
              <w:rPr>
                <w:rFonts w:hint="eastAsia" w:ascii="宋体" w:hAnsi="宋体" w:eastAsia="宋体" w:cs="宋体"/>
                <w:i w:val="0"/>
                <w:iCs w:val="0"/>
                <w:color w:val="000000"/>
                <w:kern w:val="0"/>
                <w:sz w:val="15"/>
                <w:szCs w:val="15"/>
                <w:u w:val="none"/>
                <w:lang w:val="en-US" w:eastAsia="zh-CN" w:bidi="ar"/>
              </w:rPr>
              <w:t>食品安全满意率</w:t>
            </w:r>
          </w:p>
        </w:tc>
        <w:tc>
          <w:tcPr>
            <w:tcW w:w="1354" w:type="dxa"/>
            <w:tcBorders>
              <w:top w:val="nil"/>
              <w:left w:val="nil"/>
              <w:bottom w:val="single" w:color="auto" w:sz="4" w:space="0"/>
              <w:right w:val="single" w:color="auto"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color w:val="000000"/>
                <w:sz w:val="15"/>
                <w:szCs w:val="15"/>
                <w:highlight w:val="none"/>
              </w:rPr>
            </w:pPr>
            <w:r>
              <w:rPr>
                <w:rFonts w:hint="eastAsia" w:ascii="宋体" w:hAnsi="宋体" w:eastAsia="宋体" w:cs="宋体"/>
                <w:i w:val="0"/>
                <w:iCs w:val="0"/>
                <w:color w:val="000000"/>
                <w:kern w:val="0"/>
                <w:sz w:val="15"/>
                <w:szCs w:val="15"/>
                <w:u w:val="none"/>
                <w:lang w:val="en-US" w:eastAsia="zh-CN" w:bidi="ar"/>
              </w:rPr>
              <w:t>≥</w:t>
            </w:r>
            <w:r>
              <w:rPr>
                <w:rFonts w:hint="eastAsia" w:ascii="宋体" w:hAnsi="宋体" w:cs="宋体"/>
                <w:i w:val="0"/>
                <w:iCs w:val="0"/>
                <w:color w:val="000000"/>
                <w:kern w:val="0"/>
                <w:sz w:val="15"/>
                <w:szCs w:val="15"/>
                <w:u w:val="none"/>
                <w:lang w:val="en-US" w:eastAsia="zh-CN" w:bidi="ar"/>
              </w:rPr>
              <w:t>95%</w:t>
            </w:r>
          </w:p>
        </w:tc>
        <w:tc>
          <w:tcPr>
            <w:tcW w:w="916" w:type="dxa"/>
            <w:tcBorders>
              <w:top w:val="nil"/>
              <w:left w:val="nil"/>
              <w:bottom w:val="single" w:color="auto" w:sz="4" w:space="0"/>
              <w:right w:val="single" w:color="auto"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color w:val="000000"/>
                <w:kern w:val="0"/>
                <w:sz w:val="15"/>
                <w:szCs w:val="15"/>
                <w:highlight w:val="none"/>
                <w:lang w:val="en-US" w:eastAsia="zh-CN" w:bidi="ar-SA"/>
              </w:rPr>
            </w:pPr>
            <w:r>
              <w:rPr>
                <w:rFonts w:hint="eastAsia" w:ascii="宋体" w:hAnsi="宋体" w:eastAsia="宋体" w:cs="宋体"/>
                <w:i w:val="0"/>
                <w:iCs w:val="0"/>
                <w:color w:val="000000"/>
                <w:kern w:val="0"/>
                <w:sz w:val="15"/>
                <w:szCs w:val="15"/>
                <w:u w:val="none"/>
                <w:lang w:val="en-US" w:eastAsia="zh-CN" w:bidi="ar"/>
              </w:rPr>
              <w:t>≥</w:t>
            </w:r>
            <w:r>
              <w:rPr>
                <w:rFonts w:hint="eastAsia" w:ascii="宋体" w:hAnsi="宋体" w:cs="宋体"/>
                <w:i w:val="0"/>
                <w:iCs w:val="0"/>
                <w:color w:val="000000"/>
                <w:kern w:val="0"/>
                <w:sz w:val="15"/>
                <w:szCs w:val="15"/>
                <w:u w:val="none"/>
                <w:lang w:val="en-US" w:eastAsia="zh-CN" w:bidi="ar"/>
              </w:rPr>
              <w:t>95%</w:t>
            </w:r>
          </w:p>
        </w:tc>
        <w:tc>
          <w:tcPr>
            <w:tcW w:w="711"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kern w:val="0"/>
                <w:sz w:val="20"/>
                <w:szCs w:val="20"/>
                <w:highlight w:val="none"/>
                <w:lang w:val="en-US" w:eastAsia="zh-CN" w:bidi="ar-SA"/>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val="en-US" w:eastAsia="zh-CN"/>
              </w:rPr>
              <w:t>5</w:t>
            </w:r>
          </w:p>
        </w:tc>
        <w:tc>
          <w:tcPr>
            <w:tcW w:w="916"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kern w:val="0"/>
                <w:sz w:val="20"/>
                <w:szCs w:val="20"/>
                <w:highlight w:val="none"/>
                <w:lang w:val="en-US" w:eastAsia="zh-CN" w:bidi="ar-SA"/>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val="en-US" w:eastAsia="zh-CN"/>
              </w:rPr>
              <w:t>5</w:t>
            </w:r>
          </w:p>
        </w:tc>
        <w:tc>
          <w:tcPr>
            <w:tcW w:w="1420"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r>
      <w:tr>
        <w:tblPrEx>
          <w:tblCellMar>
            <w:top w:w="0" w:type="dxa"/>
            <w:left w:w="108" w:type="dxa"/>
            <w:bottom w:w="0" w:type="dxa"/>
            <w:right w:w="108" w:type="dxa"/>
          </w:tblCellMar>
        </w:tblPrEx>
        <w:trPr>
          <w:trHeight w:val="270" w:hRule="atLeast"/>
          <w:jc w:val="center"/>
        </w:trPr>
        <w:tc>
          <w:tcPr>
            <w:tcW w:w="1068" w:type="dxa"/>
            <w:vMerge w:val="continue"/>
            <w:tcBorders>
              <w:left w:val="single" w:color="auto" w:sz="4" w:space="0"/>
              <w:right w:val="single" w:color="auto" w:sz="4" w:space="0"/>
            </w:tcBorders>
            <w:noWrap w:val="0"/>
            <w:vAlign w:val="center"/>
          </w:tcPr>
          <w:p>
            <w:pPr>
              <w:spacing w:line="240" w:lineRule="exact"/>
              <w:jc w:val="left"/>
              <w:rPr>
                <w:rFonts w:hint="eastAsia" w:ascii="仿宋_GB2312" w:hAnsi="仿宋_GB2312" w:eastAsia="仿宋_GB2312" w:cs="仿宋_GB2312"/>
                <w:color w:val="000000"/>
                <w:sz w:val="20"/>
                <w:szCs w:val="20"/>
                <w:highlight w:val="none"/>
              </w:rPr>
            </w:pPr>
          </w:p>
        </w:tc>
        <w:tc>
          <w:tcPr>
            <w:tcW w:w="1068" w:type="dxa"/>
            <w:vMerge w:val="continue"/>
            <w:tcBorders>
              <w:left w:val="nil"/>
              <w:right w:val="single" w:color="auto" w:sz="4" w:space="0"/>
            </w:tcBorders>
            <w:noWrap w:val="0"/>
            <w:vAlign w:val="center"/>
          </w:tcPr>
          <w:p>
            <w:pPr>
              <w:spacing w:line="240" w:lineRule="exact"/>
              <w:jc w:val="left"/>
              <w:rPr>
                <w:rFonts w:hint="eastAsia" w:ascii="仿宋_GB2312" w:hAnsi="仿宋_GB2312" w:eastAsia="仿宋_GB2312" w:cs="仿宋_GB2312"/>
                <w:color w:val="000000"/>
                <w:sz w:val="20"/>
                <w:szCs w:val="20"/>
                <w:highlight w:val="none"/>
              </w:rPr>
            </w:pPr>
          </w:p>
        </w:tc>
        <w:tc>
          <w:tcPr>
            <w:tcW w:w="1018" w:type="dxa"/>
            <w:vMerge w:val="continue"/>
            <w:tcBorders>
              <w:left w:val="nil"/>
              <w:right w:val="single" w:color="auto" w:sz="4" w:space="0"/>
            </w:tcBorders>
            <w:noWrap w:val="0"/>
            <w:vAlign w:val="center"/>
          </w:tcPr>
          <w:p>
            <w:pPr>
              <w:spacing w:line="240" w:lineRule="exact"/>
              <w:jc w:val="left"/>
              <w:rPr>
                <w:rFonts w:hint="eastAsia" w:ascii="仿宋_GB2312" w:hAnsi="仿宋_GB2312" w:eastAsia="仿宋_GB2312" w:cs="仿宋_GB2312"/>
                <w:color w:val="000000"/>
                <w:sz w:val="20"/>
                <w:szCs w:val="20"/>
                <w:highlight w:val="none"/>
              </w:rPr>
            </w:pPr>
          </w:p>
        </w:tc>
        <w:tc>
          <w:tcPr>
            <w:tcW w:w="1608"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消费者对消费环境满意率</w:t>
            </w:r>
          </w:p>
        </w:tc>
        <w:tc>
          <w:tcPr>
            <w:tcW w:w="1354"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宋体" w:hAnsi="宋体" w:eastAsia="宋体" w:cs="宋体"/>
                <w:i w:val="0"/>
                <w:iCs w:val="0"/>
                <w:color w:val="000000"/>
                <w:kern w:val="0"/>
                <w:sz w:val="15"/>
                <w:szCs w:val="15"/>
                <w:u w:val="none"/>
                <w:lang w:val="en-US" w:eastAsia="zh-CN" w:bidi="ar"/>
              </w:rPr>
              <w:t>≥</w:t>
            </w:r>
            <w:r>
              <w:rPr>
                <w:rFonts w:hint="eastAsia" w:ascii="宋体" w:hAnsi="宋体" w:cs="宋体"/>
                <w:i w:val="0"/>
                <w:iCs w:val="0"/>
                <w:color w:val="000000"/>
                <w:kern w:val="0"/>
                <w:sz w:val="15"/>
                <w:szCs w:val="15"/>
                <w:u w:val="none"/>
                <w:lang w:val="en-US" w:eastAsia="zh-CN" w:bidi="ar"/>
              </w:rPr>
              <w:t>95%</w:t>
            </w:r>
          </w:p>
        </w:tc>
        <w:tc>
          <w:tcPr>
            <w:tcW w:w="916"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kern w:val="0"/>
                <w:sz w:val="20"/>
                <w:szCs w:val="20"/>
                <w:highlight w:val="none"/>
                <w:lang w:val="en-US" w:eastAsia="zh-CN" w:bidi="ar-SA"/>
              </w:rPr>
            </w:pPr>
            <w:r>
              <w:rPr>
                <w:rFonts w:hint="eastAsia" w:ascii="宋体" w:hAnsi="宋体" w:eastAsia="宋体" w:cs="宋体"/>
                <w:i w:val="0"/>
                <w:iCs w:val="0"/>
                <w:color w:val="000000"/>
                <w:kern w:val="0"/>
                <w:sz w:val="15"/>
                <w:szCs w:val="15"/>
                <w:u w:val="none"/>
                <w:lang w:val="en-US" w:eastAsia="zh-CN" w:bidi="ar"/>
              </w:rPr>
              <w:t>≥</w:t>
            </w:r>
            <w:r>
              <w:rPr>
                <w:rFonts w:hint="eastAsia" w:ascii="宋体" w:hAnsi="宋体" w:cs="宋体"/>
                <w:i w:val="0"/>
                <w:iCs w:val="0"/>
                <w:color w:val="000000"/>
                <w:kern w:val="0"/>
                <w:sz w:val="15"/>
                <w:szCs w:val="15"/>
                <w:u w:val="none"/>
                <w:lang w:val="en-US" w:eastAsia="zh-CN" w:bidi="ar"/>
              </w:rPr>
              <w:t>95%</w:t>
            </w:r>
          </w:p>
        </w:tc>
        <w:tc>
          <w:tcPr>
            <w:tcW w:w="711"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kern w:val="0"/>
                <w:sz w:val="20"/>
                <w:szCs w:val="20"/>
                <w:highlight w:val="none"/>
                <w:lang w:val="en-US" w:eastAsia="zh-CN" w:bidi="ar-SA"/>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val="en-US" w:eastAsia="zh-CN"/>
              </w:rPr>
              <w:t>5</w:t>
            </w:r>
          </w:p>
        </w:tc>
        <w:tc>
          <w:tcPr>
            <w:tcW w:w="916"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kern w:val="0"/>
                <w:sz w:val="20"/>
                <w:szCs w:val="20"/>
                <w:highlight w:val="none"/>
                <w:lang w:val="en-US" w:eastAsia="zh-CN" w:bidi="ar-SA"/>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val="en-US" w:eastAsia="zh-CN"/>
              </w:rPr>
              <w:t>5</w:t>
            </w:r>
          </w:p>
        </w:tc>
        <w:tc>
          <w:tcPr>
            <w:tcW w:w="1420"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r>
      <w:tr>
        <w:tblPrEx>
          <w:tblCellMar>
            <w:top w:w="0" w:type="dxa"/>
            <w:left w:w="108" w:type="dxa"/>
            <w:bottom w:w="0" w:type="dxa"/>
            <w:right w:w="108" w:type="dxa"/>
          </w:tblCellMar>
        </w:tblPrEx>
        <w:trPr>
          <w:trHeight w:val="270" w:hRule="atLeast"/>
          <w:jc w:val="center"/>
        </w:trPr>
        <w:tc>
          <w:tcPr>
            <w:tcW w:w="1068" w:type="dxa"/>
            <w:vMerge w:val="continue"/>
            <w:tcBorders>
              <w:left w:val="single" w:color="auto" w:sz="4" w:space="0"/>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p>
        </w:tc>
        <w:tc>
          <w:tcPr>
            <w:tcW w:w="1068" w:type="dxa"/>
            <w:vMerge w:val="continue"/>
            <w:tcBorders>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p>
        </w:tc>
        <w:tc>
          <w:tcPr>
            <w:tcW w:w="1018" w:type="dxa"/>
            <w:vMerge w:val="continue"/>
            <w:tcBorders>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p>
        </w:tc>
        <w:tc>
          <w:tcPr>
            <w:tcW w:w="1608"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w:t>
            </w:r>
          </w:p>
        </w:tc>
        <w:tc>
          <w:tcPr>
            <w:tcW w:w="1354"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916"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711"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916"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420"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r>
      <w:tr>
        <w:tblPrEx>
          <w:tblCellMar>
            <w:top w:w="0" w:type="dxa"/>
            <w:left w:w="108" w:type="dxa"/>
            <w:bottom w:w="0" w:type="dxa"/>
            <w:right w:w="108" w:type="dxa"/>
          </w:tblCellMar>
        </w:tblPrEx>
        <w:trPr>
          <w:trHeight w:val="550" w:hRule="atLeast"/>
          <w:jc w:val="center"/>
        </w:trPr>
        <w:tc>
          <w:tcPr>
            <w:tcW w:w="7032" w:type="dxa"/>
            <w:gridSpan w:val="6"/>
            <w:tcBorders>
              <w:top w:val="single" w:color="auto" w:sz="4" w:space="0"/>
              <w:left w:val="single" w:color="auto" w:sz="4" w:space="0"/>
              <w:bottom w:val="single" w:color="auto" w:sz="4" w:space="0"/>
              <w:right w:val="single" w:color="000000"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总分</w:t>
            </w:r>
          </w:p>
        </w:tc>
        <w:tc>
          <w:tcPr>
            <w:tcW w:w="711"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100</w:t>
            </w:r>
          </w:p>
        </w:tc>
        <w:tc>
          <w:tcPr>
            <w:tcW w:w="916" w:type="dxa"/>
            <w:tcBorders>
              <w:top w:val="nil"/>
              <w:left w:val="nil"/>
              <w:bottom w:val="single" w:color="auto" w:sz="4" w:space="0"/>
              <w:right w:val="single" w:color="auto" w:sz="4" w:space="0"/>
            </w:tcBorders>
            <w:noWrap w:val="0"/>
            <w:vAlign w:val="center"/>
          </w:tcPr>
          <w:p>
            <w:pPr>
              <w:widowControl/>
              <w:spacing w:line="240" w:lineRule="exact"/>
              <w:jc w:val="left"/>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val="en-US" w:eastAsia="zh-CN"/>
              </w:rPr>
              <w:t>100</w:t>
            </w:r>
          </w:p>
        </w:tc>
        <w:tc>
          <w:tcPr>
            <w:tcW w:w="1420"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r>
    </w:tbl>
    <w:p>
      <w:pPr>
        <w:widowControl/>
        <w:spacing w:after="0" w:afterLines="0" w:line="400" w:lineRule="exact"/>
        <w:jc w:val="left"/>
        <w:rPr>
          <w:rFonts w:hint="eastAsia" w:ascii="Times New Roman" w:hAnsi="Times New Roman" w:eastAsia="仿宋_GB2312" w:cs="Times New Roman"/>
          <w:sz w:val="22"/>
          <w:highlight w:val="none"/>
          <w:lang w:val="en-US" w:eastAsia="zh-CN"/>
        </w:rPr>
      </w:pPr>
      <w:r>
        <w:rPr>
          <w:rFonts w:hint="default" w:ascii="Times New Roman" w:hAnsi="Times New Roman" w:eastAsia="仿宋_GB2312" w:cs="Times New Roman"/>
          <w:sz w:val="22"/>
          <w:highlight w:val="none"/>
        </w:rPr>
        <w:t>填表人：</w:t>
      </w:r>
      <w:r>
        <w:rPr>
          <w:rFonts w:hint="eastAsia" w:ascii="Times New Roman" w:hAnsi="Times New Roman" w:eastAsia="仿宋_GB2312" w:cs="Times New Roman"/>
          <w:sz w:val="22"/>
          <w:highlight w:val="none"/>
          <w:lang w:eastAsia="zh-CN"/>
        </w:rPr>
        <w:t>万小会</w:t>
      </w:r>
      <w:r>
        <w:rPr>
          <w:rFonts w:hint="default" w:ascii="Times New Roman" w:hAnsi="Times New Roman" w:eastAsia="仿宋_GB2312" w:cs="Times New Roman"/>
          <w:sz w:val="22"/>
          <w:highlight w:val="none"/>
        </w:rPr>
        <w:t xml:space="preserve">  </w:t>
      </w:r>
      <w:r>
        <w:rPr>
          <w:rFonts w:hint="eastAsia" w:ascii="Times New Roman" w:hAnsi="Times New Roman" w:eastAsia="仿宋_GB2312" w:cs="Times New Roman"/>
          <w:sz w:val="22"/>
          <w:highlight w:val="none"/>
          <w:lang w:val="en-US" w:eastAsia="zh-CN"/>
        </w:rPr>
        <w:t xml:space="preserve">       </w:t>
      </w:r>
      <w:r>
        <w:rPr>
          <w:rFonts w:hint="default" w:ascii="Times New Roman" w:hAnsi="Times New Roman" w:eastAsia="仿宋_GB2312" w:cs="Times New Roman"/>
          <w:sz w:val="22"/>
          <w:highlight w:val="none"/>
        </w:rPr>
        <w:t>填报日期：</w:t>
      </w:r>
      <w:r>
        <w:rPr>
          <w:rFonts w:hint="eastAsia" w:ascii="Times New Roman" w:hAnsi="Times New Roman" w:eastAsia="仿宋_GB2312" w:cs="Times New Roman"/>
          <w:sz w:val="22"/>
          <w:highlight w:val="none"/>
          <w:lang w:val="en-US" w:eastAsia="zh-CN"/>
        </w:rPr>
        <w:t>2024年6月20日</w:t>
      </w:r>
      <w:r>
        <w:rPr>
          <w:rFonts w:hint="default" w:ascii="Times New Roman" w:hAnsi="Times New Roman" w:eastAsia="仿宋_GB2312" w:cs="Times New Roman"/>
          <w:sz w:val="22"/>
          <w:highlight w:val="none"/>
        </w:rPr>
        <w:t xml:space="preserve"> </w:t>
      </w:r>
      <w:r>
        <w:rPr>
          <w:rFonts w:hint="eastAsia" w:ascii="Times New Roman" w:hAnsi="Times New Roman" w:eastAsia="仿宋_GB2312" w:cs="Times New Roman"/>
          <w:sz w:val="22"/>
          <w:highlight w:val="none"/>
          <w:lang w:val="en-US" w:eastAsia="zh-CN"/>
        </w:rPr>
        <w:t xml:space="preserve">      </w:t>
      </w:r>
      <w:r>
        <w:rPr>
          <w:rFonts w:hint="default" w:ascii="Times New Roman" w:hAnsi="Times New Roman" w:eastAsia="仿宋_GB2312" w:cs="Times New Roman"/>
          <w:sz w:val="22"/>
          <w:highlight w:val="none"/>
        </w:rPr>
        <w:t>联系电话：</w:t>
      </w:r>
      <w:r>
        <w:rPr>
          <w:rFonts w:hint="eastAsia" w:ascii="Times New Roman" w:hAnsi="Times New Roman" w:eastAsia="仿宋_GB2312" w:cs="Times New Roman"/>
          <w:sz w:val="22"/>
          <w:highlight w:val="none"/>
          <w:lang w:val="en-US" w:eastAsia="zh-CN"/>
        </w:rPr>
        <w:t>13975096846</w:t>
      </w:r>
    </w:p>
    <w:p>
      <w:pPr>
        <w:widowControl/>
        <w:spacing w:line="600" w:lineRule="exact"/>
        <w:jc w:val="left"/>
        <w:rPr>
          <w:rFonts w:hint="eastAsia" w:ascii="Times New Roman" w:hAnsi="Times New Roman" w:eastAsia="黑体" w:cs="Times New Roman"/>
          <w:sz w:val="32"/>
          <w:szCs w:val="32"/>
          <w:highlight w:val="none"/>
          <w:lang w:eastAsia="zh-CN"/>
        </w:rPr>
      </w:pPr>
      <w:r>
        <w:rPr>
          <w:rFonts w:hint="default" w:ascii="Times New Roman" w:hAnsi="Times New Roman" w:eastAsia="仿宋_GB2312" w:cs="Times New Roman"/>
          <w:sz w:val="22"/>
          <w:highlight w:val="none"/>
        </w:rPr>
        <w:t>单位负责人签字：</w:t>
      </w:r>
      <w:r>
        <w:rPr>
          <w:rFonts w:hint="default" w:ascii="Times New Roman" w:hAnsi="Times New Roman" w:eastAsia="仿宋_GB2312" w:cs="Times New Roman"/>
          <w:sz w:val="22"/>
          <w:highlight w:val="none"/>
        </w:rPr>
        <w:br w:type="page"/>
      </w:r>
      <w:r>
        <w:rPr>
          <w:rFonts w:hint="eastAsia" w:ascii="黑体" w:hAnsi="黑体" w:eastAsia="黑体" w:cs="黑体"/>
          <w:sz w:val="32"/>
          <w:szCs w:val="32"/>
          <w:highlight w:val="none"/>
        </w:rPr>
        <w:t>附件</w:t>
      </w:r>
      <w:r>
        <w:rPr>
          <w:rFonts w:hint="eastAsia" w:ascii="黑体" w:hAnsi="黑体" w:eastAsia="黑体" w:cs="黑体"/>
          <w:sz w:val="32"/>
          <w:szCs w:val="32"/>
          <w:highlight w:val="none"/>
          <w:lang w:val="en-US" w:eastAsia="zh-CN"/>
        </w:rPr>
        <w:t>3</w:t>
      </w:r>
    </w:p>
    <w:p>
      <w:pPr>
        <w:widowControl/>
        <w:spacing w:line="600" w:lineRule="exact"/>
        <w:jc w:val="center"/>
        <w:rPr>
          <w:rFonts w:hint="eastAsia" w:ascii="方正小标宋简体" w:hAnsi="方正小标宋简体" w:eastAsia="方正小标宋简体" w:cs="方正小标宋简体"/>
          <w:color w:val="000000"/>
          <w:sz w:val="36"/>
          <w:szCs w:val="36"/>
          <w:highlight w:val="none"/>
        </w:rPr>
      </w:pPr>
      <w:r>
        <w:rPr>
          <w:rFonts w:hint="eastAsia" w:ascii="方正小标宋简体" w:hAnsi="方正小标宋简体" w:eastAsia="方正小标宋简体" w:cs="方正小标宋简体"/>
          <w:color w:val="000000"/>
          <w:sz w:val="36"/>
          <w:szCs w:val="36"/>
          <w:highlight w:val="none"/>
        </w:rPr>
        <w:t>202</w:t>
      </w:r>
      <w:r>
        <w:rPr>
          <w:rFonts w:hint="eastAsia" w:ascii="方正小标宋简体" w:hAnsi="方正小标宋简体" w:eastAsia="方正小标宋简体" w:cs="方正小标宋简体"/>
          <w:color w:val="000000"/>
          <w:sz w:val="36"/>
          <w:szCs w:val="36"/>
          <w:highlight w:val="none"/>
          <w:lang w:val="en-US" w:eastAsia="zh-CN"/>
        </w:rPr>
        <w:t>3</w:t>
      </w:r>
      <w:r>
        <w:rPr>
          <w:rFonts w:hint="eastAsia" w:ascii="方正小标宋简体" w:hAnsi="方正小标宋简体" w:eastAsia="方正小标宋简体" w:cs="方正小标宋简体"/>
          <w:color w:val="000000"/>
          <w:sz w:val="36"/>
          <w:szCs w:val="36"/>
          <w:highlight w:val="none"/>
        </w:rPr>
        <w:t>年度项目支出绩效自评表</w:t>
      </w:r>
    </w:p>
    <w:tbl>
      <w:tblPr>
        <w:tblStyle w:val="6"/>
        <w:tblW w:w="9851" w:type="dxa"/>
        <w:jc w:val="center"/>
        <w:tblLayout w:type="autofit"/>
        <w:tblCellMar>
          <w:top w:w="0" w:type="dxa"/>
          <w:left w:w="108" w:type="dxa"/>
          <w:bottom w:w="0" w:type="dxa"/>
          <w:right w:w="108" w:type="dxa"/>
        </w:tblCellMar>
      </w:tblPr>
      <w:tblGrid>
        <w:gridCol w:w="1080"/>
        <w:gridCol w:w="1080"/>
        <w:gridCol w:w="1080"/>
        <w:gridCol w:w="1224"/>
        <w:gridCol w:w="1134"/>
        <w:gridCol w:w="1134"/>
        <w:gridCol w:w="828"/>
        <w:gridCol w:w="873"/>
        <w:gridCol w:w="1418"/>
      </w:tblGrid>
      <w:tr>
        <w:tblPrEx>
          <w:tblCellMar>
            <w:top w:w="0" w:type="dxa"/>
            <w:left w:w="108" w:type="dxa"/>
            <w:bottom w:w="0" w:type="dxa"/>
            <w:right w:w="108" w:type="dxa"/>
          </w:tblCellMar>
        </w:tblPrEx>
        <w:trPr>
          <w:jc w:val="center"/>
        </w:trPr>
        <w:tc>
          <w:tcPr>
            <w:tcW w:w="1080"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项目支</w:t>
            </w:r>
          </w:p>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出名称</w:t>
            </w:r>
          </w:p>
        </w:tc>
        <w:tc>
          <w:tcPr>
            <w:tcW w:w="8771" w:type="dxa"/>
            <w:gridSpan w:val="8"/>
            <w:tcBorders>
              <w:top w:val="single" w:color="auto" w:sz="4" w:space="0"/>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lang w:eastAsia="zh-CN"/>
              </w:rPr>
              <w:t>食品安全责任保险</w:t>
            </w:r>
            <w:r>
              <w:rPr>
                <w:rFonts w:hint="eastAsia" w:ascii="仿宋_GB2312" w:hAnsi="仿宋_GB2312" w:eastAsia="仿宋_GB2312" w:cs="仿宋_GB2312"/>
                <w:color w:val="000000"/>
                <w:sz w:val="20"/>
                <w:szCs w:val="20"/>
                <w:highlight w:val="none"/>
              </w:rPr>
              <w:t>　</w:t>
            </w:r>
          </w:p>
        </w:tc>
      </w:tr>
      <w:tr>
        <w:tblPrEx>
          <w:tblCellMar>
            <w:top w:w="0" w:type="dxa"/>
            <w:left w:w="108" w:type="dxa"/>
            <w:bottom w:w="0" w:type="dxa"/>
            <w:right w:w="108" w:type="dxa"/>
          </w:tblCellMar>
        </w:tblPrEx>
        <w:trPr>
          <w:jc w:val="center"/>
        </w:trPr>
        <w:tc>
          <w:tcPr>
            <w:tcW w:w="1080" w:type="dxa"/>
            <w:tcBorders>
              <w:top w:val="nil"/>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主管部门</w:t>
            </w:r>
          </w:p>
        </w:tc>
        <w:tc>
          <w:tcPr>
            <w:tcW w:w="4518" w:type="dxa"/>
            <w:gridSpan w:val="4"/>
            <w:tcBorders>
              <w:top w:val="single" w:color="auto" w:sz="4" w:space="0"/>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134" w:type="dxa"/>
            <w:tcBorders>
              <w:top w:val="single" w:color="auto" w:sz="4" w:space="0"/>
              <w:left w:val="nil"/>
              <w:bottom w:val="single" w:color="auto" w:sz="4" w:space="0"/>
              <w:right w:val="single" w:color="000000"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实施单位</w:t>
            </w:r>
          </w:p>
        </w:tc>
        <w:tc>
          <w:tcPr>
            <w:tcW w:w="3119" w:type="dxa"/>
            <w:gridSpan w:val="3"/>
            <w:tcBorders>
              <w:top w:val="single" w:color="auto" w:sz="4" w:space="0"/>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r>
      <w:tr>
        <w:tblPrEx>
          <w:tblCellMar>
            <w:top w:w="0" w:type="dxa"/>
            <w:left w:w="108" w:type="dxa"/>
            <w:bottom w:w="0" w:type="dxa"/>
            <w:right w:w="108" w:type="dxa"/>
          </w:tblCellMar>
        </w:tblPrEx>
        <w:trPr>
          <w:jc w:val="center"/>
        </w:trPr>
        <w:tc>
          <w:tcPr>
            <w:tcW w:w="1080" w:type="dxa"/>
            <w:vMerge w:val="restart"/>
            <w:tcBorders>
              <w:top w:val="nil"/>
              <w:left w:val="single" w:color="auto" w:sz="4" w:space="0"/>
              <w:bottom w:val="single" w:color="000000"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项目资金</w:t>
            </w:r>
            <w:r>
              <w:rPr>
                <w:rFonts w:hint="eastAsia" w:ascii="仿宋_GB2312" w:hAnsi="仿宋_GB2312" w:eastAsia="仿宋_GB2312" w:cs="仿宋_GB2312"/>
                <w:color w:val="000000"/>
                <w:sz w:val="20"/>
                <w:szCs w:val="20"/>
                <w:highlight w:val="none"/>
              </w:rPr>
              <w:br w:type="textWrapping"/>
            </w:r>
            <w:r>
              <w:rPr>
                <w:rFonts w:hint="eastAsia" w:ascii="仿宋_GB2312" w:hAnsi="仿宋_GB2312" w:eastAsia="仿宋_GB2312" w:cs="仿宋_GB2312"/>
                <w:color w:val="000000"/>
                <w:sz w:val="20"/>
                <w:szCs w:val="20"/>
                <w:highlight w:val="none"/>
              </w:rPr>
              <w:t>（万元）</w:t>
            </w:r>
          </w:p>
        </w:tc>
        <w:tc>
          <w:tcPr>
            <w:tcW w:w="2160" w:type="dxa"/>
            <w:gridSpan w:val="2"/>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22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年初</w:t>
            </w:r>
          </w:p>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预算数</w:t>
            </w:r>
          </w:p>
        </w:tc>
        <w:tc>
          <w:tcPr>
            <w:tcW w:w="113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全年</w:t>
            </w:r>
          </w:p>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预算数</w:t>
            </w:r>
          </w:p>
        </w:tc>
        <w:tc>
          <w:tcPr>
            <w:tcW w:w="1134" w:type="dxa"/>
            <w:tcBorders>
              <w:top w:val="nil"/>
              <w:left w:val="nil"/>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全年</w:t>
            </w:r>
          </w:p>
          <w:p>
            <w:pPr>
              <w:keepNext w:val="0"/>
              <w:keepLines w:val="0"/>
              <w:pageBreakBefore w:val="0"/>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执行数</w:t>
            </w:r>
          </w:p>
        </w:tc>
        <w:tc>
          <w:tcPr>
            <w:tcW w:w="828" w:type="dxa"/>
            <w:tcBorders>
              <w:top w:val="nil"/>
              <w:left w:val="nil"/>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分值</w:t>
            </w:r>
          </w:p>
        </w:tc>
        <w:tc>
          <w:tcPr>
            <w:tcW w:w="873" w:type="dxa"/>
            <w:tcBorders>
              <w:top w:val="nil"/>
              <w:left w:val="nil"/>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执行率</w:t>
            </w:r>
          </w:p>
        </w:tc>
        <w:tc>
          <w:tcPr>
            <w:tcW w:w="1418" w:type="dxa"/>
            <w:tcBorders>
              <w:top w:val="nil"/>
              <w:left w:val="nil"/>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得分</w:t>
            </w:r>
          </w:p>
        </w:tc>
      </w:tr>
      <w:tr>
        <w:tblPrEx>
          <w:tblCellMar>
            <w:top w:w="0" w:type="dxa"/>
            <w:left w:w="108" w:type="dxa"/>
            <w:bottom w:w="0" w:type="dxa"/>
            <w:right w:w="108" w:type="dxa"/>
          </w:tblCellMar>
        </w:tblPrEx>
        <w:trPr>
          <w:jc w:val="center"/>
        </w:trPr>
        <w:tc>
          <w:tcPr>
            <w:tcW w:w="1080" w:type="dxa"/>
            <w:vMerge w:val="continue"/>
            <w:tcBorders>
              <w:top w:val="nil"/>
              <w:left w:val="single" w:color="auto" w:sz="4" w:space="0"/>
              <w:bottom w:val="single" w:color="000000"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2160" w:type="dxa"/>
            <w:gridSpan w:val="2"/>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年度资金总额　</w:t>
            </w:r>
          </w:p>
        </w:tc>
        <w:tc>
          <w:tcPr>
            <w:tcW w:w="122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val="en-US" w:eastAsia="zh-CN"/>
              </w:rPr>
              <w:t>20</w:t>
            </w:r>
          </w:p>
        </w:tc>
        <w:tc>
          <w:tcPr>
            <w:tcW w:w="113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val="en-US" w:eastAsia="zh-CN"/>
              </w:rPr>
              <w:t>20</w:t>
            </w:r>
          </w:p>
        </w:tc>
        <w:tc>
          <w:tcPr>
            <w:tcW w:w="113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val="en-US" w:eastAsia="zh-CN"/>
              </w:rPr>
              <w:t>20</w:t>
            </w:r>
          </w:p>
        </w:tc>
        <w:tc>
          <w:tcPr>
            <w:tcW w:w="828"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10</w:t>
            </w:r>
          </w:p>
        </w:tc>
        <w:tc>
          <w:tcPr>
            <w:tcW w:w="873"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val="en-US" w:eastAsia="zh-CN"/>
              </w:rPr>
              <w:t>100%</w:t>
            </w:r>
          </w:p>
        </w:tc>
        <w:tc>
          <w:tcPr>
            <w:tcW w:w="1418"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val="en-US" w:eastAsia="zh-CN"/>
              </w:rPr>
              <w:t>10</w:t>
            </w:r>
          </w:p>
        </w:tc>
      </w:tr>
      <w:tr>
        <w:tblPrEx>
          <w:tblCellMar>
            <w:top w:w="0" w:type="dxa"/>
            <w:left w:w="108" w:type="dxa"/>
            <w:bottom w:w="0" w:type="dxa"/>
            <w:right w:w="108" w:type="dxa"/>
          </w:tblCellMar>
        </w:tblPrEx>
        <w:trPr>
          <w:jc w:val="center"/>
        </w:trPr>
        <w:tc>
          <w:tcPr>
            <w:tcW w:w="1080" w:type="dxa"/>
            <w:vMerge w:val="continue"/>
            <w:tcBorders>
              <w:top w:val="nil"/>
              <w:left w:val="single" w:color="auto" w:sz="4" w:space="0"/>
              <w:bottom w:val="single" w:color="000000"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2160" w:type="dxa"/>
            <w:gridSpan w:val="2"/>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其中：当年财政拨款　</w:t>
            </w:r>
          </w:p>
        </w:tc>
        <w:tc>
          <w:tcPr>
            <w:tcW w:w="122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val="en-US" w:eastAsia="zh-CN"/>
              </w:rPr>
              <w:t>20</w:t>
            </w:r>
          </w:p>
        </w:tc>
        <w:tc>
          <w:tcPr>
            <w:tcW w:w="113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val="en-US" w:eastAsia="zh-CN"/>
              </w:rPr>
              <w:t>20</w:t>
            </w:r>
          </w:p>
        </w:tc>
        <w:tc>
          <w:tcPr>
            <w:tcW w:w="113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val="en-US" w:eastAsia="zh-CN"/>
              </w:rPr>
              <w:t>20</w:t>
            </w:r>
          </w:p>
        </w:tc>
        <w:tc>
          <w:tcPr>
            <w:tcW w:w="828"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873"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rPr>
              <w:t>　</w:t>
            </w:r>
          </w:p>
        </w:tc>
        <w:tc>
          <w:tcPr>
            <w:tcW w:w="1418"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r>
      <w:tr>
        <w:tblPrEx>
          <w:tblCellMar>
            <w:top w:w="0" w:type="dxa"/>
            <w:left w:w="108" w:type="dxa"/>
            <w:bottom w:w="0" w:type="dxa"/>
            <w:right w:w="108" w:type="dxa"/>
          </w:tblCellMar>
        </w:tblPrEx>
        <w:trPr>
          <w:jc w:val="center"/>
        </w:trPr>
        <w:tc>
          <w:tcPr>
            <w:tcW w:w="1080" w:type="dxa"/>
            <w:vMerge w:val="continue"/>
            <w:tcBorders>
              <w:top w:val="nil"/>
              <w:left w:val="single" w:color="auto" w:sz="4" w:space="0"/>
              <w:bottom w:val="single" w:color="000000"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2160" w:type="dxa"/>
            <w:gridSpan w:val="2"/>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ind w:firstLine="600" w:firstLineChars="300"/>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上年结转资金　</w:t>
            </w:r>
          </w:p>
        </w:tc>
        <w:tc>
          <w:tcPr>
            <w:tcW w:w="122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13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13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828"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873"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418"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r>
      <w:tr>
        <w:tblPrEx>
          <w:tblCellMar>
            <w:top w:w="0" w:type="dxa"/>
            <w:left w:w="108" w:type="dxa"/>
            <w:bottom w:w="0" w:type="dxa"/>
            <w:right w:w="108" w:type="dxa"/>
          </w:tblCellMar>
        </w:tblPrEx>
        <w:trPr>
          <w:jc w:val="center"/>
        </w:trPr>
        <w:tc>
          <w:tcPr>
            <w:tcW w:w="1080" w:type="dxa"/>
            <w:vMerge w:val="continue"/>
            <w:tcBorders>
              <w:top w:val="nil"/>
              <w:left w:val="single" w:color="auto" w:sz="4" w:space="0"/>
              <w:bottom w:val="single" w:color="000000"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2160" w:type="dxa"/>
            <w:gridSpan w:val="2"/>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ind w:firstLine="600" w:firstLineChars="300"/>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其他资金</w:t>
            </w:r>
          </w:p>
        </w:tc>
        <w:tc>
          <w:tcPr>
            <w:tcW w:w="122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13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13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828"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873"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418"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r>
      <w:tr>
        <w:tblPrEx>
          <w:tblCellMar>
            <w:top w:w="0" w:type="dxa"/>
            <w:left w:w="108" w:type="dxa"/>
            <w:bottom w:w="0" w:type="dxa"/>
            <w:right w:w="108" w:type="dxa"/>
          </w:tblCellMar>
        </w:tblPrEx>
        <w:trPr>
          <w:jc w:val="center"/>
        </w:trPr>
        <w:tc>
          <w:tcPr>
            <w:tcW w:w="1080" w:type="dxa"/>
            <w:vMerge w:val="restart"/>
            <w:tcBorders>
              <w:top w:val="nil"/>
              <w:left w:val="single" w:color="auto" w:sz="4" w:space="0"/>
              <w:bottom w:val="single" w:color="000000"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年度总体目标</w:t>
            </w:r>
          </w:p>
        </w:tc>
        <w:tc>
          <w:tcPr>
            <w:tcW w:w="4518" w:type="dxa"/>
            <w:gridSpan w:val="4"/>
            <w:tcBorders>
              <w:top w:val="single" w:color="auto" w:sz="4" w:space="0"/>
              <w:left w:val="nil"/>
              <w:bottom w:val="single" w:color="auto" w:sz="4" w:space="0"/>
              <w:right w:val="single" w:color="000000"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预期目标</w:t>
            </w:r>
          </w:p>
        </w:tc>
        <w:tc>
          <w:tcPr>
            <w:tcW w:w="4253" w:type="dxa"/>
            <w:gridSpan w:val="4"/>
            <w:tcBorders>
              <w:top w:val="single" w:color="auto" w:sz="4" w:space="0"/>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实际完成情况　</w:t>
            </w:r>
          </w:p>
        </w:tc>
      </w:tr>
      <w:tr>
        <w:tblPrEx>
          <w:tblCellMar>
            <w:top w:w="0" w:type="dxa"/>
            <w:left w:w="108" w:type="dxa"/>
            <w:bottom w:w="0" w:type="dxa"/>
            <w:right w:w="108" w:type="dxa"/>
          </w:tblCellMar>
        </w:tblPrEx>
        <w:trPr>
          <w:jc w:val="center"/>
        </w:trPr>
        <w:tc>
          <w:tcPr>
            <w:tcW w:w="1080" w:type="dxa"/>
            <w:vMerge w:val="continue"/>
            <w:tcBorders>
              <w:top w:val="nil"/>
              <w:left w:val="single" w:color="auto" w:sz="4" w:space="0"/>
              <w:bottom w:val="single" w:color="000000"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4518" w:type="dxa"/>
            <w:gridSpan w:val="4"/>
            <w:tcBorders>
              <w:top w:val="single" w:color="auto" w:sz="4" w:space="0"/>
              <w:left w:val="nil"/>
              <w:bottom w:val="single" w:color="auto" w:sz="4" w:space="0"/>
              <w:right w:val="single" w:color="000000"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通过加强农村集体聚餐和全区各学校食堂管理，进一步提高我区集体聚餐和学校食堂食品安全治理能力和保障水平。　　</w:t>
            </w:r>
          </w:p>
        </w:tc>
        <w:tc>
          <w:tcPr>
            <w:tcW w:w="4253" w:type="dxa"/>
            <w:gridSpan w:val="4"/>
            <w:tcBorders>
              <w:top w:val="single" w:color="auto" w:sz="4" w:space="0"/>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rPr>
              <w:t>　</w:t>
            </w:r>
            <w:bookmarkStart w:id="0" w:name="_GoBack"/>
            <w:r>
              <w:rPr>
                <w:rFonts w:hint="eastAsia" w:ascii="仿宋_GB2312" w:hAnsi="仿宋_GB2312" w:eastAsia="仿宋_GB2312" w:cs="仿宋_GB2312"/>
                <w:color w:val="000000"/>
                <w:sz w:val="20"/>
                <w:szCs w:val="20"/>
                <w:highlight w:val="none"/>
                <w:lang w:eastAsia="zh-CN"/>
              </w:rPr>
              <w:t>为全区在册户籍人口</w:t>
            </w:r>
            <w:r>
              <w:rPr>
                <w:rFonts w:hint="eastAsia" w:ascii="仿宋_GB2312" w:hAnsi="仿宋_GB2312" w:eastAsia="仿宋_GB2312" w:cs="仿宋_GB2312"/>
                <w:color w:val="000000"/>
                <w:sz w:val="20"/>
                <w:szCs w:val="20"/>
                <w:highlight w:val="none"/>
                <w:lang w:val="en-US" w:eastAsia="zh-CN"/>
              </w:rPr>
              <w:t>17.2万、学生2.8万共20万人口购买集体聚餐中发生群体中毒事件人身保险，</w:t>
            </w:r>
            <w:r>
              <w:rPr>
                <w:rFonts w:hint="eastAsia" w:ascii="仿宋_GB2312" w:hAnsi="仿宋_GB2312" w:eastAsia="仿宋_GB2312" w:cs="仿宋_GB2312"/>
                <w:color w:val="000000"/>
                <w:sz w:val="20"/>
                <w:szCs w:val="20"/>
                <w:highlight w:val="none"/>
              </w:rPr>
              <w:t>提高</w:t>
            </w:r>
            <w:r>
              <w:rPr>
                <w:rFonts w:hint="eastAsia" w:ascii="仿宋_GB2312" w:hAnsi="仿宋_GB2312" w:eastAsia="仿宋_GB2312" w:cs="仿宋_GB2312"/>
                <w:color w:val="000000"/>
                <w:sz w:val="20"/>
                <w:szCs w:val="20"/>
                <w:highlight w:val="none"/>
                <w:lang w:eastAsia="zh-CN"/>
              </w:rPr>
              <w:t>了</w:t>
            </w:r>
            <w:r>
              <w:rPr>
                <w:rFonts w:hint="eastAsia" w:ascii="仿宋_GB2312" w:hAnsi="仿宋_GB2312" w:eastAsia="仿宋_GB2312" w:cs="仿宋_GB2312"/>
                <w:color w:val="000000"/>
                <w:sz w:val="20"/>
                <w:szCs w:val="20"/>
                <w:highlight w:val="none"/>
              </w:rPr>
              <w:t>我区集体聚餐和学校食堂食品安全治理能力和保障水平。</w:t>
            </w:r>
            <w:bookmarkEnd w:id="0"/>
          </w:p>
        </w:tc>
      </w:tr>
      <w:tr>
        <w:tblPrEx>
          <w:tblCellMar>
            <w:top w:w="0" w:type="dxa"/>
            <w:left w:w="108" w:type="dxa"/>
            <w:bottom w:w="0" w:type="dxa"/>
            <w:right w:w="108" w:type="dxa"/>
          </w:tblCellMar>
        </w:tblPrEx>
        <w:trPr>
          <w:jc w:val="center"/>
        </w:trPr>
        <w:tc>
          <w:tcPr>
            <w:tcW w:w="1080" w:type="dxa"/>
            <w:vMerge w:val="restart"/>
            <w:tcBorders>
              <w:top w:val="nil"/>
              <w:left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绩</w:t>
            </w:r>
          </w:p>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效</w:t>
            </w:r>
          </w:p>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指</w:t>
            </w:r>
          </w:p>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标</w:t>
            </w:r>
          </w:p>
        </w:tc>
        <w:tc>
          <w:tcPr>
            <w:tcW w:w="1080"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一级指标</w:t>
            </w:r>
          </w:p>
        </w:tc>
        <w:tc>
          <w:tcPr>
            <w:tcW w:w="1080"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二级指标</w:t>
            </w:r>
          </w:p>
        </w:tc>
        <w:tc>
          <w:tcPr>
            <w:tcW w:w="122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三级指标</w:t>
            </w:r>
          </w:p>
        </w:tc>
        <w:tc>
          <w:tcPr>
            <w:tcW w:w="113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年度</w:t>
            </w:r>
          </w:p>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指标值</w:t>
            </w:r>
          </w:p>
        </w:tc>
        <w:tc>
          <w:tcPr>
            <w:tcW w:w="113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实际</w:t>
            </w:r>
          </w:p>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完成值</w:t>
            </w:r>
          </w:p>
        </w:tc>
        <w:tc>
          <w:tcPr>
            <w:tcW w:w="828"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分值</w:t>
            </w:r>
          </w:p>
        </w:tc>
        <w:tc>
          <w:tcPr>
            <w:tcW w:w="873"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得分</w:t>
            </w:r>
          </w:p>
        </w:tc>
        <w:tc>
          <w:tcPr>
            <w:tcW w:w="1418"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both"/>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偏差原因分析及改进措施</w:t>
            </w:r>
          </w:p>
        </w:tc>
      </w:tr>
      <w:tr>
        <w:tblPrEx>
          <w:tblCellMar>
            <w:top w:w="0" w:type="dxa"/>
            <w:left w:w="108" w:type="dxa"/>
            <w:bottom w:w="0" w:type="dxa"/>
            <w:right w:w="108" w:type="dxa"/>
          </w:tblCellMar>
        </w:tblPrEx>
        <w:trPr>
          <w:jc w:val="center"/>
        </w:trPr>
        <w:tc>
          <w:tcPr>
            <w:tcW w:w="1080" w:type="dxa"/>
            <w:vMerge w:val="continue"/>
            <w:tcBorders>
              <w:left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80" w:type="dxa"/>
            <w:vMerge w:val="restart"/>
            <w:tcBorders>
              <w:top w:val="nil"/>
              <w:left w:val="nil"/>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产出指标</w:t>
            </w:r>
          </w:p>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p>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(50分)</w:t>
            </w:r>
          </w:p>
        </w:tc>
        <w:tc>
          <w:tcPr>
            <w:tcW w:w="1080" w:type="dxa"/>
            <w:vMerge w:val="restart"/>
            <w:tcBorders>
              <w:top w:val="nil"/>
              <w:left w:val="nil"/>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数量指标</w:t>
            </w:r>
          </w:p>
        </w:tc>
        <w:tc>
          <w:tcPr>
            <w:tcW w:w="122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参保人员</w:t>
            </w:r>
          </w:p>
        </w:tc>
        <w:tc>
          <w:tcPr>
            <w:tcW w:w="113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val="en-US" w:eastAsia="zh-CN"/>
              </w:rPr>
              <w:t>20万人</w:t>
            </w:r>
          </w:p>
        </w:tc>
        <w:tc>
          <w:tcPr>
            <w:tcW w:w="113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val="en-US" w:eastAsia="zh-CN"/>
              </w:rPr>
              <w:t>20万人</w:t>
            </w:r>
          </w:p>
        </w:tc>
        <w:tc>
          <w:tcPr>
            <w:tcW w:w="828"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val="en-US" w:eastAsia="zh-CN"/>
              </w:rPr>
              <w:t>20</w:t>
            </w:r>
          </w:p>
        </w:tc>
        <w:tc>
          <w:tcPr>
            <w:tcW w:w="873"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val="en-US" w:eastAsia="zh-CN"/>
              </w:rPr>
              <w:t>20</w:t>
            </w:r>
          </w:p>
        </w:tc>
        <w:tc>
          <w:tcPr>
            <w:tcW w:w="1418"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r>
      <w:tr>
        <w:tblPrEx>
          <w:tblCellMar>
            <w:top w:w="0" w:type="dxa"/>
            <w:left w:w="108" w:type="dxa"/>
            <w:bottom w:w="0" w:type="dxa"/>
            <w:right w:w="108" w:type="dxa"/>
          </w:tblCellMar>
        </w:tblPrEx>
        <w:trPr>
          <w:jc w:val="center"/>
        </w:trPr>
        <w:tc>
          <w:tcPr>
            <w:tcW w:w="1080" w:type="dxa"/>
            <w:vMerge w:val="continue"/>
            <w:tcBorders>
              <w:left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80" w:type="dxa"/>
            <w:vMerge w:val="continue"/>
            <w:tcBorders>
              <w:left w:val="nil"/>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80" w:type="dxa"/>
            <w:vMerge w:val="continue"/>
            <w:tcBorders>
              <w:left w:val="nil"/>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p>
        </w:tc>
        <w:tc>
          <w:tcPr>
            <w:tcW w:w="122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13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13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828"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873"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418"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r>
      <w:tr>
        <w:tblPrEx>
          <w:tblCellMar>
            <w:top w:w="0" w:type="dxa"/>
            <w:left w:w="108" w:type="dxa"/>
            <w:bottom w:w="0" w:type="dxa"/>
            <w:right w:w="108" w:type="dxa"/>
          </w:tblCellMar>
        </w:tblPrEx>
        <w:trPr>
          <w:jc w:val="center"/>
        </w:trPr>
        <w:tc>
          <w:tcPr>
            <w:tcW w:w="1080" w:type="dxa"/>
            <w:vMerge w:val="continue"/>
            <w:tcBorders>
              <w:left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80" w:type="dxa"/>
            <w:vMerge w:val="continue"/>
            <w:tcBorders>
              <w:left w:val="nil"/>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80" w:type="dxa"/>
            <w:vMerge w:val="continue"/>
            <w:tcBorders>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p>
        </w:tc>
        <w:tc>
          <w:tcPr>
            <w:tcW w:w="122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w:t>
            </w:r>
          </w:p>
        </w:tc>
        <w:tc>
          <w:tcPr>
            <w:tcW w:w="113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13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828"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873"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418"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r>
      <w:tr>
        <w:tblPrEx>
          <w:tblCellMar>
            <w:top w:w="0" w:type="dxa"/>
            <w:left w:w="108" w:type="dxa"/>
            <w:bottom w:w="0" w:type="dxa"/>
            <w:right w:w="108" w:type="dxa"/>
          </w:tblCellMar>
        </w:tblPrEx>
        <w:trPr>
          <w:jc w:val="center"/>
        </w:trPr>
        <w:tc>
          <w:tcPr>
            <w:tcW w:w="1080" w:type="dxa"/>
            <w:vMerge w:val="continue"/>
            <w:tcBorders>
              <w:left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80" w:type="dxa"/>
            <w:vMerge w:val="continue"/>
            <w:tcBorders>
              <w:left w:val="nil"/>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80" w:type="dxa"/>
            <w:vMerge w:val="restart"/>
            <w:tcBorders>
              <w:top w:val="nil"/>
              <w:left w:val="nil"/>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质量指标</w:t>
            </w:r>
          </w:p>
        </w:tc>
        <w:tc>
          <w:tcPr>
            <w:tcW w:w="122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事故赔付率</w:t>
            </w:r>
          </w:p>
        </w:tc>
        <w:tc>
          <w:tcPr>
            <w:tcW w:w="113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val="en-US" w:eastAsia="zh-CN"/>
              </w:rPr>
              <w:t>100%</w:t>
            </w:r>
          </w:p>
        </w:tc>
        <w:tc>
          <w:tcPr>
            <w:tcW w:w="113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val="en-US" w:eastAsia="zh-CN"/>
              </w:rPr>
              <w:t>100%</w:t>
            </w:r>
          </w:p>
        </w:tc>
        <w:tc>
          <w:tcPr>
            <w:tcW w:w="828"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val="en-US" w:eastAsia="zh-CN"/>
              </w:rPr>
              <w:t>15</w:t>
            </w:r>
          </w:p>
        </w:tc>
        <w:tc>
          <w:tcPr>
            <w:tcW w:w="873"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lang w:val="en-US" w:eastAsia="zh-CN"/>
              </w:rPr>
              <w:t>15</w:t>
            </w:r>
            <w:r>
              <w:rPr>
                <w:rFonts w:hint="eastAsia" w:ascii="仿宋_GB2312" w:hAnsi="仿宋_GB2312" w:eastAsia="仿宋_GB2312" w:cs="仿宋_GB2312"/>
                <w:color w:val="000000"/>
                <w:sz w:val="20"/>
                <w:szCs w:val="20"/>
                <w:highlight w:val="none"/>
              </w:rPr>
              <w:t>　</w:t>
            </w:r>
          </w:p>
        </w:tc>
        <w:tc>
          <w:tcPr>
            <w:tcW w:w="1418"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r>
      <w:tr>
        <w:tblPrEx>
          <w:tblCellMar>
            <w:top w:w="0" w:type="dxa"/>
            <w:left w:w="108" w:type="dxa"/>
            <w:bottom w:w="0" w:type="dxa"/>
            <w:right w:w="108" w:type="dxa"/>
          </w:tblCellMar>
        </w:tblPrEx>
        <w:trPr>
          <w:jc w:val="center"/>
        </w:trPr>
        <w:tc>
          <w:tcPr>
            <w:tcW w:w="1080" w:type="dxa"/>
            <w:vMerge w:val="continue"/>
            <w:tcBorders>
              <w:left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80" w:type="dxa"/>
            <w:vMerge w:val="continue"/>
            <w:tcBorders>
              <w:left w:val="nil"/>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80" w:type="dxa"/>
            <w:vMerge w:val="continue"/>
            <w:tcBorders>
              <w:left w:val="nil"/>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p>
        </w:tc>
        <w:tc>
          <w:tcPr>
            <w:tcW w:w="122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13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13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828"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873"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418"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r>
      <w:tr>
        <w:tblPrEx>
          <w:tblCellMar>
            <w:top w:w="0" w:type="dxa"/>
            <w:left w:w="108" w:type="dxa"/>
            <w:bottom w:w="0" w:type="dxa"/>
            <w:right w:w="108" w:type="dxa"/>
          </w:tblCellMar>
        </w:tblPrEx>
        <w:trPr>
          <w:jc w:val="center"/>
        </w:trPr>
        <w:tc>
          <w:tcPr>
            <w:tcW w:w="1080" w:type="dxa"/>
            <w:vMerge w:val="continue"/>
            <w:tcBorders>
              <w:left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80" w:type="dxa"/>
            <w:vMerge w:val="continue"/>
            <w:tcBorders>
              <w:left w:val="nil"/>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80" w:type="dxa"/>
            <w:vMerge w:val="restart"/>
            <w:tcBorders>
              <w:top w:val="single" w:color="auto" w:sz="4" w:space="0"/>
              <w:left w:val="nil"/>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时效指标</w:t>
            </w:r>
          </w:p>
        </w:tc>
        <w:tc>
          <w:tcPr>
            <w:tcW w:w="122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参保及时率</w:t>
            </w:r>
          </w:p>
        </w:tc>
        <w:tc>
          <w:tcPr>
            <w:tcW w:w="113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kern w:val="0"/>
                <w:sz w:val="20"/>
                <w:szCs w:val="20"/>
                <w:highlight w:val="none"/>
                <w:lang w:val="en-US" w:eastAsia="zh-CN" w:bidi="ar-SA"/>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val="en-US" w:eastAsia="zh-CN"/>
              </w:rPr>
              <w:t>100%</w:t>
            </w:r>
          </w:p>
        </w:tc>
        <w:tc>
          <w:tcPr>
            <w:tcW w:w="113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kern w:val="0"/>
                <w:sz w:val="20"/>
                <w:szCs w:val="20"/>
                <w:highlight w:val="none"/>
                <w:lang w:val="en-US" w:eastAsia="zh-CN" w:bidi="ar-SA"/>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val="en-US" w:eastAsia="zh-CN"/>
              </w:rPr>
              <w:t>100%</w:t>
            </w:r>
          </w:p>
        </w:tc>
        <w:tc>
          <w:tcPr>
            <w:tcW w:w="828"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kern w:val="0"/>
                <w:sz w:val="20"/>
                <w:szCs w:val="20"/>
                <w:highlight w:val="none"/>
                <w:lang w:val="en-US" w:eastAsia="zh-CN" w:bidi="ar-SA"/>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val="en-US" w:eastAsia="zh-CN"/>
              </w:rPr>
              <w:t>15</w:t>
            </w:r>
          </w:p>
        </w:tc>
        <w:tc>
          <w:tcPr>
            <w:tcW w:w="873"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kern w:val="0"/>
                <w:sz w:val="20"/>
                <w:szCs w:val="20"/>
                <w:highlight w:val="none"/>
                <w:lang w:val="en-US" w:eastAsia="zh-CN" w:bidi="ar-SA"/>
              </w:rPr>
            </w:pPr>
            <w:r>
              <w:rPr>
                <w:rFonts w:hint="eastAsia" w:ascii="仿宋_GB2312" w:hAnsi="仿宋_GB2312" w:eastAsia="仿宋_GB2312" w:cs="仿宋_GB2312"/>
                <w:color w:val="000000"/>
                <w:sz w:val="20"/>
                <w:szCs w:val="20"/>
                <w:highlight w:val="none"/>
                <w:lang w:val="en-US" w:eastAsia="zh-CN"/>
              </w:rPr>
              <w:t>15</w:t>
            </w:r>
            <w:r>
              <w:rPr>
                <w:rFonts w:hint="eastAsia" w:ascii="仿宋_GB2312" w:hAnsi="仿宋_GB2312" w:eastAsia="仿宋_GB2312" w:cs="仿宋_GB2312"/>
                <w:color w:val="000000"/>
                <w:sz w:val="20"/>
                <w:szCs w:val="20"/>
                <w:highlight w:val="none"/>
              </w:rPr>
              <w:t>　</w:t>
            </w:r>
          </w:p>
        </w:tc>
        <w:tc>
          <w:tcPr>
            <w:tcW w:w="1418"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r>
      <w:tr>
        <w:tblPrEx>
          <w:tblCellMar>
            <w:top w:w="0" w:type="dxa"/>
            <w:left w:w="108" w:type="dxa"/>
            <w:bottom w:w="0" w:type="dxa"/>
            <w:right w:w="108" w:type="dxa"/>
          </w:tblCellMar>
        </w:tblPrEx>
        <w:trPr>
          <w:jc w:val="center"/>
        </w:trPr>
        <w:tc>
          <w:tcPr>
            <w:tcW w:w="1080" w:type="dxa"/>
            <w:vMerge w:val="continue"/>
            <w:tcBorders>
              <w:left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80" w:type="dxa"/>
            <w:vMerge w:val="continue"/>
            <w:tcBorders>
              <w:left w:val="nil"/>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80" w:type="dxa"/>
            <w:vMerge w:val="continue"/>
            <w:tcBorders>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p>
        </w:tc>
        <w:tc>
          <w:tcPr>
            <w:tcW w:w="122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w:t>
            </w:r>
          </w:p>
        </w:tc>
        <w:tc>
          <w:tcPr>
            <w:tcW w:w="113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13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828"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873"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418"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r>
      <w:tr>
        <w:tblPrEx>
          <w:tblCellMar>
            <w:top w:w="0" w:type="dxa"/>
            <w:left w:w="108" w:type="dxa"/>
            <w:bottom w:w="0" w:type="dxa"/>
            <w:right w:w="108" w:type="dxa"/>
          </w:tblCellMar>
        </w:tblPrEx>
        <w:trPr>
          <w:jc w:val="center"/>
        </w:trPr>
        <w:tc>
          <w:tcPr>
            <w:tcW w:w="1080" w:type="dxa"/>
            <w:vMerge w:val="continue"/>
            <w:tcBorders>
              <w:left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80" w:type="dxa"/>
            <w:vMerge w:val="continue"/>
            <w:tcBorders>
              <w:left w:val="nil"/>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80" w:type="dxa"/>
            <w:vMerge w:val="restart"/>
            <w:tcBorders>
              <w:top w:val="nil"/>
              <w:left w:val="nil"/>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成本指标</w:t>
            </w:r>
          </w:p>
        </w:tc>
        <w:tc>
          <w:tcPr>
            <w:tcW w:w="122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保险费</w:t>
            </w:r>
          </w:p>
        </w:tc>
        <w:tc>
          <w:tcPr>
            <w:tcW w:w="113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val="en-US" w:eastAsia="zh-CN"/>
              </w:rPr>
              <w:t>1元/人</w:t>
            </w:r>
          </w:p>
        </w:tc>
        <w:tc>
          <w:tcPr>
            <w:tcW w:w="113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val="en-US" w:eastAsia="zh-CN"/>
              </w:rPr>
              <w:t>1元/人</w:t>
            </w:r>
          </w:p>
        </w:tc>
        <w:tc>
          <w:tcPr>
            <w:tcW w:w="828"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kern w:val="0"/>
                <w:sz w:val="20"/>
                <w:szCs w:val="20"/>
                <w:highlight w:val="none"/>
                <w:lang w:val="en-US" w:eastAsia="zh-CN" w:bidi="ar-SA"/>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val="en-US" w:eastAsia="zh-CN"/>
              </w:rPr>
              <w:t>15</w:t>
            </w:r>
          </w:p>
        </w:tc>
        <w:tc>
          <w:tcPr>
            <w:tcW w:w="873"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kern w:val="0"/>
                <w:sz w:val="20"/>
                <w:szCs w:val="20"/>
                <w:highlight w:val="none"/>
                <w:lang w:val="en-US" w:eastAsia="zh-CN" w:bidi="ar-SA"/>
              </w:rPr>
            </w:pPr>
            <w:r>
              <w:rPr>
                <w:rFonts w:hint="eastAsia" w:ascii="仿宋_GB2312" w:hAnsi="仿宋_GB2312" w:eastAsia="仿宋_GB2312" w:cs="仿宋_GB2312"/>
                <w:color w:val="000000"/>
                <w:sz w:val="20"/>
                <w:szCs w:val="20"/>
                <w:highlight w:val="none"/>
                <w:lang w:val="en-US" w:eastAsia="zh-CN"/>
              </w:rPr>
              <w:t>15</w:t>
            </w:r>
            <w:r>
              <w:rPr>
                <w:rFonts w:hint="eastAsia" w:ascii="仿宋_GB2312" w:hAnsi="仿宋_GB2312" w:eastAsia="仿宋_GB2312" w:cs="仿宋_GB2312"/>
                <w:color w:val="000000"/>
                <w:sz w:val="20"/>
                <w:szCs w:val="20"/>
                <w:highlight w:val="none"/>
              </w:rPr>
              <w:t>　</w:t>
            </w:r>
          </w:p>
        </w:tc>
        <w:tc>
          <w:tcPr>
            <w:tcW w:w="1418"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r>
      <w:tr>
        <w:tblPrEx>
          <w:tblCellMar>
            <w:top w:w="0" w:type="dxa"/>
            <w:left w:w="108" w:type="dxa"/>
            <w:bottom w:w="0" w:type="dxa"/>
            <w:right w:w="108" w:type="dxa"/>
          </w:tblCellMar>
        </w:tblPrEx>
        <w:trPr>
          <w:jc w:val="center"/>
        </w:trPr>
        <w:tc>
          <w:tcPr>
            <w:tcW w:w="1080" w:type="dxa"/>
            <w:vMerge w:val="continue"/>
            <w:tcBorders>
              <w:left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80" w:type="dxa"/>
            <w:vMerge w:val="continue"/>
            <w:tcBorders>
              <w:left w:val="nil"/>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80" w:type="dxa"/>
            <w:vMerge w:val="continue"/>
            <w:tcBorders>
              <w:left w:val="nil"/>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22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13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13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828"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873"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418"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r>
      <w:tr>
        <w:tblPrEx>
          <w:tblCellMar>
            <w:top w:w="0" w:type="dxa"/>
            <w:left w:w="108" w:type="dxa"/>
            <w:bottom w:w="0" w:type="dxa"/>
            <w:right w:w="108" w:type="dxa"/>
          </w:tblCellMar>
        </w:tblPrEx>
        <w:trPr>
          <w:jc w:val="center"/>
        </w:trPr>
        <w:tc>
          <w:tcPr>
            <w:tcW w:w="1080" w:type="dxa"/>
            <w:vMerge w:val="continue"/>
            <w:tcBorders>
              <w:left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80" w:type="dxa"/>
            <w:vMerge w:val="restart"/>
            <w:tcBorders>
              <w:top w:val="nil"/>
              <w:left w:val="nil"/>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效益指标</w:t>
            </w:r>
          </w:p>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（30分）</w:t>
            </w:r>
          </w:p>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080" w:type="dxa"/>
            <w:vMerge w:val="restart"/>
            <w:tcBorders>
              <w:top w:val="nil"/>
              <w:left w:val="nil"/>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经济效</w:t>
            </w:r>
          </w:p>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益指标</w:t>
            </w:r>
          </w:p>
        </w:tc>
        <w:tc>
          <w:tcPr>
            <w:tcW w:w="122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13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13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828"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873"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418"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r>
      <w:tr>
        <w:tblPrEx>
          <w:tblCellMar>
            <w:top w:w="0" w:type="dxa"/>
            <w:left w:w="108" w:type="dxa"/>
            <w:bottom w:w="0" w:type="dxa"/>
            <w:right w:w="108" w:type="dxa"/>
          </w:tblCellMar>
        </w:tblPrEx>
        <w:trPr>
          <w:jc w:val="center"/>
        </w:trPr>
        <w:tc>
          <w:tcPr>
            <w:tcW w:w="1080" w:type="dxa"/>
            <w:vMerge w:val="continue"/>
            <w:tcBorders>
              <w:left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80" w:type="dxa"/>
            <w:vMerge w:val="continue"/>
            <w:tcBorders>
              <w:left w:val="nil"/>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80" w:type="dxa"/>
            <w:vMerge w:val="continue"/>
            <w:tcBorders>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p>
        </w:tc>
        <w:tc>
          <w:tcPr>
            <w:tcW w:w="122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w:t>
            </w:r>
          </w:p>
        </w:tc>
        <w:tc>
          <w:tcPr>
            <w:tcW w:w="113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13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828"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873"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418"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r>
      <w:tr>
        <w:tblPrEx>
          <w:tblCellMar>
            <w:top w:w="0" w:type="dxa"/>
            <w:left w:w="108" w:type="dxa"/>
            <w:bottom w:w="0" w:type="dxa"/>
            <w:right w:w="108" w:type="dxa"/>
          </w:tblCellMar>
        </w:tblPrEx>
        <w:trPr>
          <w:jc w:val="center"/>
        </w:trPr>
        <w:tc>
          <w:tcPr>
            <w:tcW w:w="1080" w:type="dxa"/>
            <w:vMerge w:val="continue"/>
            <w:tcBorders>
              <w:left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80" w:type="dxa"/>
            <w:vMerge w:val="continue"/>
            <w:tcBorders>
              <w:left w:val="nil"/>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80" w:type="dxa"/>
            <w:vMerge w:val="restart"/>
            <w:tcBorders>
              <w:top w:val="nil"/>
              <w:left w:val="nil"/>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社会效</w:t>
            </w:r>
          </w:p>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益指标</w:t>
            </w:r>
          </w:p>
        </w:tc>
        <w:tc>
          <w:tcPr>
            <w:tcW w:w="122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食品安全治理能力</w:t>
            </w:r>
          </w:p>
        </w:tc>
        <w:tc>
          <w:tcPr>
            <w:tcW w:w="113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提升</w:t>
            </w:r>
          </w:p>
        </w:tc>
        <w:tc>
          <w:tcPr>
            <w:tcW w:w="113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kern w:val="0"/>
                <w:sz w:val="20"/>
                <w:szCs w:val="20"/>
                <w:highlight w:val="none"/>
                <w:lang w:val="en-US" w:eastAsia="zh-CN" w:bidi="ar-SA"/>
              </w:rPr>
            </w:pPr>
            <w:r>
              <w:rPr>
                <w:rFonts w:hint="eastAsia" w:ascii="仿宋_GB2312" w:hAnsi="仿宋_GB2312" w:eastAsia="仿宋_GB2312" w:cs="仿宋_GB2312"/>
                <w:color w:val="000000"/>
                <w:sz w:val="20"/>
                <w:szCs w:val="20"/>
                <w:highlight w:val="none"/>
              </w:rPr>
              <w:t>　提升</w:t>
            </w:r>
          </w:p>
        </w:tc>
        <w:tc>
          <w:tcPr>
            <w:tcW w:w="828"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val="en-US" w:eastAsia="zh-CN"/>
              </w:rPr>
              <w:t>10</w:t>
            </w:r>
          </w:p>
        </w:tc>
        <w:tc>
          <w:tcPr>
            <w:tcW w:w="873"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lang w:val="en-US" w:eastAsia="zh-CN"/>
              </w:rPr>
              <w:t>10</w:t>
            </w:r>
            <w:r>
              <w:rPr>
                <w:rFonts w:hint="eastAsia" w:ascii="仿宋_GB2312" w:hAnsi="仿宋_GB2312" w:eastAsia="仿宋_GB2312" w:cs="仿宋_GB2312"/>
                <w:color w:val="000000"/>
                <w:sz w:val="20"/>
                <w:szCs w:val="20"/>
                <w:highlight w:val="none"/>
              </w:rPr>
              <w:t>　</w:t>
            </w:r>
          </w:p>
        </w:tc>
        <w:tc>
          <w:tcPr>
            <w:tcW w:w="1418"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r>
      <w:tr>
        <w:tblPrEx>
          <w:tblCellMar>
            <w:top w:w="0" w:type="dxa"/>
            <w:left w:w="108" w:type="dxa"/>
            <w:bottom w:w="0" w:type="dxa"/>
            <w:right w:w="108" w:type="dxa"/>
          </w:tblCellMar>
        </w:tblPrEx>
        <w:trPr>
          <w:jc w:val="center"/>
        </w:trPr>
        <w:tc>
          <w:tcPr>
            <w:tcW w:w="1080" w:type="dxa"/>
            <w:vMerge w:val="continue"/>
            <w:tcBorders>
              <w:left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80" w:type="dxa"/>
            <w:vMerge w:val="continue"/>
            <w:tcBorders>
              <w:left w:val="nil"/>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80" w:type="dxa"/>
            <w:vMerge w:val="continue"/>
            <w:tcBorders>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p>
        </w:tc>
        <w:tc>
          <w:tcPr>
            <w:tcW w:w="122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w:t>
            </w:r>
          </w:p>
        </w:tc>
        <w:tc>
          <w:tcPr>
            <w:tcW w:w="113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13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kern w:val="0"/>
                <w:sz w:val="20"/>
                <w:szCs w:val="20"/>
                <w:highlight w:val="none"/>
                <w:lang w:val="en-US" w:eastAsia="zh-CN" w:bidi="ar-SA"/>
              </w:rPr>
            </w:pPr>
            <w:r>
              <w:rPr>
                <w:rFonts w:hint="eastAsia" w:ascii="仿宋_GB2312" w:hAnsi="仿宋_GB2312" w:eastAsia="仿宋_GB2312" w:cs="仿宋_GB2312"/>
                <w:color w:val="000000"/>
                <w:sz w:val="20"/>
                <w:szCs w:val="20"/>
                <w:highlight w:val="none"/>
              </w:rPr>
              <w:t>　</w:t>
            </w:r>
          </w:p>
        </w:tc>
        <w:tc>
          <w:tcPr>
            <w:tcW w:w="828"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873"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418"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r>
      <w:tr>
        <w:tblPrEx>
          <w:tblCellMar>
            <w:top w:w="0" w:type="dxa"/>
            <w:left w:w="108" w:type="dxa"/>
            <w:bottom w:w="0" w:type="dxa"/>
            <w:right w:w="108" w:type="dxa"/>
          </w:tblCellMar>
        </w:tblPrEx>
        <w:trPr>
          <w:jc w:val="center"/>
        </w:trPr>
        <w:tc>
          <w:tcPr>
            <w:tcW w:w="1080" w:type="dxa"/>
            <w:vMerge w:val="continue"/>
            <w:tcBorders>
              <w:left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80" w:type="dxa"/>
            <w:vMerge w:val="continue"/>
            <w:tcBorders>
              <w:left w:val="nil"/>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80" w:type="dxa"/>
            <w:vMerge w:val="restart"/>
            <w:tcBorders>
              <w:top w:val="nil"/>
              <w:left w:val="nil"/>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生态效</w:t>
            </w:r>
          </w:p>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益指标</w:t>
            </w:r>
          </w:p>
        </w:tc>
        <w:tc>
          <w:tcPr>
            <w:tcW w:w="122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13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13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kern w:val="0"/>
                <w:sz w:val="20"/>
                <w:szCs w:val="20"/>
                <w:highlight w:val="none"/>
                <w:lang w:val="en-US" w:eastAsia="zh-CN" w:bidi="ar-SA"/>
              </w:rPr>
            </w:pPr>
            <w:r>
              <w:rPr>
                <w:rFonts w:hint="eastAsia" w:ascii="仿宋_GB2312" w:hAnsi="仿宋_GB2312" w:eastAsia="仿宋_GB2312" w:cs="仿宋_GB2312"/>
                <w:color w:val="000000"/>
                <w:sz w:val="20"/>
                <w:szCs w:val="20"/>
                <w:highlight w:val="none"/>
              </w:rPr>
              <w:t>　</w:t>
            </w:r>
          </w:p>
        </w:tc>
        <w:tc>
          <w:tcPr>
            <w:tcW w:w="828"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873"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418"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r>
      <w:tr>
        <w:tblPrEx>
          <w:tblCellMar>
            <w:top w:w="0" w:type="dxa"/>
            <w:left w:w="108" w:type="dxa"/>
            <w:bottom w:w="0" w:type="dxa"/>
            <w:right w:w="108" w:type="dxa"/>
          </w:tblCellMar>
        </w:tblPrEx>
        <w:trPr>
          <w:jc w:val="center"/>
        </w:trPr>
        <w:tc>
          <w:tcPr>
            <w:tcW w:w="1080" w:type="dxa"/>
            <w:vMerge w:val="continue"/>
            <w:tcBorders>
              <w:left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80" w:type="dxa"/>
            <w:vMerge w:val="continue"/>
            <w:tcBorders>
              <w:left w:val="nil"/>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80" w:type="dxa"/>
            <w:vMerge w:val="continue"/>
            <w:tcBorders>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22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w:t>
            </w:r>
          </w:p>
        </w:tc>
        <w:tc>
          <w:tcPr>
            <w:tcW w:w="113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13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kern w:val="0"/>
                <w:sz w:val="20"/>
                <w:szCs w:val="20"/>
                <w:highlight w:val="none"/>
                <w:lang w:val="en-US" w:eastAsia="zh-CN" w:bidi="ar-SA"/>
              </w:rPr>
            </w:pPr>
            <w:r>
              <w:rPr>
                <w:rFonts w:hint="eastAsia" w:ascii="仿宋_GB2312" w:hAnsi="仿宋_GB2312" w:eastAsia="仿宋_GB2312" w:cs="仿宋_GB2312"/>
                <w:color w:val="000000"/>
                <w:sz w:val="20"/>
                <w:szCs w:val="20"/>
                <w:highlight w:val="none"/>
              </w:rPr>
              <w:t>　</w:t>
            </w:r>
          </w:p>
        </w:tc>
        <w:tc>
          <w:tcPr>
            <w:tcW w:w="828"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873"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418"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r>
      <w:tr>
        <w:tblPrEx>
          <w:tblCellMar>
            <w:top w:w="0" w:type="dxa"/>
            <w:left w:w="108" w:type="dxa"/>
            <w:bottom w:w="0" w:type="dxa"/>
            <w:right w:w="108" w:type="dxa"/>
          </w:tblCellMar>
        </w:tblPrEx>
        <w:trPr>
          <w:jc w:val="center"/>
        </w:trPr>
        <w:tc>
          <w:tcPr>
            <w:tcW w:w="1080" w:type="dxa"/>
            <w:vMerge w:val="continue"/>
            <w:tcBorders>
              <w:left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p>
        </w:tc>
        <w:tc>
          <w:tcPr>
            <w:tcW w:w="1080" w:type="dxa"/>
            <w:vMerge w:val="continue"/>
            <w:tcBorders>
              <w:left w:val="nil"/>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80" w:type="dxa"/>
            <w:vMerge w:val="restart"/>
            <w:tcBorders>
              <w:top w:val="single" w:color="auto" w:sz="4" w:space="0"/>
              <w:left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可持续影响指标</w:t>
            </w:r>
          </w:p>
        </w:tc>
        <w:tc>
          <w:tcPr>
            <w:tcW w:w="1224"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政策持续性</w:t>
            </w:r>
          </w:p>
        </w:tc>
        <w:tc>
          <w:tcPr>
            <w:tcW w:w="1134"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lang w:eastAsia="zh-CN"/>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eastAsia="zh-CN"/>
              </w:rPr>
              <w:t>长期</w:t>
            </w:r>
          </w:p>
        </w:tc>
        <w:tc>
          <w:tcPr>
            <w:tcW w:w="1134"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kern w:val="0"/>
                <w:sz w:val="20"/>
                <w:szCs w:val="20"/>
                <w:highlight w:val="none"/>
                <w:lang w:val="en-US" w:eastAsia="zh-CN" w:bidi="ar-SA"/>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eastAsia="zh-CN"/>
              </w:rPr>
              <w:t>长期</w:t>
            </w:r>
          </w:p>
        </w:tc>
        <w:tc>
          <w:tcPr>
            <w:tcW w:w="828"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val="en-US" w:eastAsia="zh-CN"/>
              </w:rPr>
              <w:t>10</w:t>
            </w:r>
          </w:p>
        </w:tc>
        <w:tc>
          <w:tcPr>
            <w:tcW w:w="873"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lang w:val="en-US" w:eastAsia="zh-CN"/>
              </w:rPr>
              <w:t>10</w:t>
            </w:r>
            <w:r>
              <w:rPr>
                <w:rFonts w:hint="eastAsia" w:ascii="仿宋_GB2312" w:hAnsi="仿宋_GB2312" w:eastAsia="仿宋_GB2312" w:cs="仿宋_GB2312"/>
                <w:color w:val="000000"/>
                <w:sz w:val="20"/>
                <w:szCs w:val="20"/>
                <w:highlight w:val="none"/>
              </w:rPr>
              <w:t>　</w:t>
            </w:r>
          </w:p>
        </w:tc>
        <w:tc>
          <w:tcPr>
            <w:tcW w:w="1418"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r>
      <w:tr>
        <w:tblPrEx>
          <w:tblCellMar>
            <w:top w:w="0" w:type="dxa"/>
            <w:left w:w="108" w:type="dxa"/>
            <w:bottom w:w="0" w:type="dxa"/>
            <w:right w:w="108" w:type="dxa"/>
          </w:tblCellMar>
        </w:tblPrEx>
        <w:trPr>
          <w:jc w:val="center"/>
        </w:trPr>
        <w:tc>
          <w:tcPr>
            <w:tcW w:w="1080" w:type="dxa"/>
            <w:vMerge w:val="continue"/>
            <w:tcBorders>
              <w:left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80" w:type="dxa"/>
            <w:vMerge w:val="continue"/>
            <w:tcBorders>
              <w:left w:val="nil"/>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80" w:type="dxa"/>
            <w:vMerge w:val="continue"/>
            <w:tcBorders>
              <w:left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224" w:type="dxa"/>
            <w:tcBorders>
              <w:top w:val="single" w:color="auto" w:sz="4" w:space="0"/>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134" w:type="dxa"/>
            <w:tcBorders>
              <w:top w:val="single" w:color="auto" w:sz="4" w:space="0"/>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134" w:type="dxa"/>
            <w:tcBorders>
              <w:top w:val="single" w:color="auto" w:sz="4" w:space="0"/>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kern w:val="0"/>
                <w:sz w:val="20"/>
                <w:szCs w:val="20"/>
                <w:highlight w:val="none"/>
                <w:lang w:val="en-US" w:eastAsia="zh-CN" w:bidi="ar-SA"/>
              </w:rPr>
            </w:pPr>
            <w:r>
              <w:rPr>
                <w:rFonts w:hint="eastAsia" w:ascii="仿宋_GB2312" w:hAnsi="仿宋_GB2312" w:eastAsia="仿宋_GB2312" w:cs="仿宋_GB2312"/>
                <w:color w:val="000000"/>
                <w:sz w:val="20"/>
                <w:szCs w:val="20"/>
                <w:highlight w:val="none"/>
              </w:rPr>
              <w:t>　</w:t>
            </w:r>
          </w:p>
        </w:tc>
        <w:tc>
          <w:tcPr>
            <w:tcW w:w="828" w:type="dxa"/>
            <w:tcBorders>
              <w:top w:val="single" w:color="auto" w:sz="4" w:space="0"/>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873" w:type="dxa"/>
            <w:tcBorders>
              <w:top w:val="single" w:color="auto" w:sz="4" w:space="0"/>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418" w:type="dxa"/>
            <w:tcBorders>
              <w:top w:val="single" w:color="auto" w:sz="4" w:space="0"/>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r>
      <w:tr>
        <w:tblPrEx>
          <w:tblCellMar>
            <w:top w:w="0" w:type="dxa"/>
            <w:left w:w="108" w:type="dxa"/>
            <w:bottom w:w="0" w:type="dxa"/>
            <w:right w:w="108" w:type="dxa"/>
          </w:tblCellMar>
        </w:tblPrEx>
        <w:trPr>
          <w:jc w:val="center"/>
        </w:trPr>
        <w:tc>
          <w:tcPr>
            <w:tcW w:w="1080" w:type="dxa"/>
            <w:vMerge w:val="continue"/>
            <w:tcBorders>
              <w:left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80" w:type="dxa"/>
            <w:vMerge w:val="continue"/>
            <w:tcBorders>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80" w:type="dxa"/>
            <w:vMerge w:val="continue"/>
            <w:tcBorders>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22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w:t>
            </w:r>
          </w:p>
        </w:tc>
        <w:tc>
          <w:tcPr>
            <w:tcW w:w="113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13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kern w:val="0"/>
                <w:sz w:val="20"/>
                <w:szCs w:val="20"/>
                <w:highlight w:val="none"/>
                <w:lang w:val="en-US" w:eastAsia="zh-CN" w:bidi="ar-SA"/>
              </w:rPr>
            </w:pPr>
            <w:r>
              <w:rPr>
                <w:rFonts w:hint="eastAsia" w:ascii="仿宋_GB2312" w:hAnsi="仿宋_GB2312" w:eastAsia="仿宋_GB2312" w:cs="仿宋_GB2312"/>
                <w:color w:val="000000"/>
                <w:sz w:val="20"/>
                <w:szCs w:val="20"/>
                <w:highlight w:val="none"/>
              </w:rPr>
              <w:t>　</w:t>
            </w:r>
          </w:p>
        </w:tc>
        <w:tc>
          <w:tcPr>
            <w:tcW w:w="828"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873"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418"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r>
      <w:tr>
        <w:tblPrEx>
          <w:tblCellMar>
            <w:top w:w="0" w:type="dxa"/>
            <w:left w:w="108" w:type="dxa"/>
            <w:bottom w:w="0" w:type="dxa"/>
            <w:right w:w="108" w:type="dxa"/>
          </w:tblCellMar>
        </w:tblPrEx>
        <w:trPr>
          <w:jc w:val="center"/>
        </w:trPr>
        <w:tc>
          <w:tcPr>
            <w:tcW w:w="1080" w:type="dxa"/>
            <w:vMerge w:val="continue"/>
            <w:tcBorders>
              <w:left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80" w:type="dxa"/>
            <w:vMerge w:val="restart"/>
            <w:tcBorders>
              <w:top w:val="nil"/>
              <w:left w:val="nil"/>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满意度</w:t>
            </w:r>
          </w:p>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指标</w:t>
            </w:r>
          </w:p>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（10分）</w:t>
            </w:r>
          </w:p>
        </w:tc>
        <w:tc>
          <w:tcPr>
            <w:tcW w:w="1080" w:type="dxa"/>
            <w:vMerge w:val="restart"/>
            <w:tcBorders>
              <w:top w:val="nil"/>
              <w:left w:val="nil"/>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服务对象满意度指标</w:t>
            </w:r>
          </w:p>
        </w:tc>
        <w:tc>
          <w:tcPr>
            <w:tcW w:w="122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被保险人员对食品全安全感满意度</w:t>
            </w:r>
          </w:p>
        </w:tc>
        <w:tc>
          <w:tcPr>
            <w:tcW w:w="113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rPr>
              <w:t>　95</w:t>
            </w:r>
            <w:r>
              <w:rPr>
                <w:rFonts w:hint="eastAsia" w:ascii="仿宋_GB2312" w:hAnsi="仿宋_GB2312" w:eastAsia="仿宋_GB2312" w:cs="仿宋_GB2312"/>
                <w:color w:val="000000"/>
                <w:sz w:val="20"/>
                <w:szCs w:val="20"/>
                <w:highlight w:val="none"/>
                <w:lang w:val="en-US" w:eastAsia="zh-CN"/>
              </w:rPr>
              <w:t>%</w:t>
            </w:r>
          </w:p>
        </w:tc>
        <w:tc>
          <w:tcPr>
            <w:tcW w:w="113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kern w:val="0"/>
                <w:sz w:val="20"/>
                <w:szCs w:val="20"/>
                <w:highlight w:val="none"/>
                <w:lang w:val="en-US" w:eastAsia="zh-CN" w:bidi="ar-SA"/>
              </w:rPr>
            </w:pPr>
            <w:r>
              <w:rPr>
                <w:rFonts w:hint="eastAsia" w:ascii="仿宋_GB2312" w:hAnsi="仿宋_GB2312" w:eastAsia="仿宋_GB2312" w:cs="仿宋_GB2312"/>
                <w:color w:val="000000"/>
                <w:sz w:val="20"/>
                <w:szCs w:val="20"/>
                <w:highlight w:val="none"/>
              </w:rPr>
              <w:t>　95</w:t>
            </w:r>
            <w:r>
              <w:rPr>
                <w:rFonts w:hint="eastAsia" w:ascii="仿宋_GB2312" w:hAnsi="仿宋_GB2312" w:eastAsia="仿宋_GB2312" w:cs="仿宋_GB2312"/>
                <w:color w:val="000000"/>
                <w:sz w:val="20"/>
                <w:szCs w:val="20"/>
                <w:highlight w:val="none"/>
                <w:lang w:val="en-US" w:eastAsia="zh-CN"/>
              </w:rPr>
              <w:t>%</w:t>
            </w:r>
          </w:p>
        </w:tc>
        <w:tc>
          <w:tcPr>
            <w:tcW w:w="828"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val="en-US" w:eastAsia="zh-CN"/>
              </w:rPr>
              <w:t>15</w:t>
            </w:r>
          </w:p>
        </w:tc>
        <w:tc>
          <w:tcPr>
            <w:tcW w:w="873"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lang w:val="en-US" w:eastAsia="zh-CN"/>
              </w:rPr>
              <w:t>15</w:t>
            </w:r>
            <w:r>
              <w:rPr>
                <w:rFonts w:hint="eastAsia" w:ascii="仿宋_GB2312" w:hAnsi="仿宋_GB2312" w:eastAsia="仿宋_GB2312" w:cs="仿宋_GB2312"/>
                <w:color w:val="000000"/>
                <w:sz w:val="20"/>
                <w:szCs w:val="20"/>
                <w:highlight w:val="none"/>
              </w:rPr>
              <w:t>　</w:t>
            </w:r>
          </w:p>
        </w:tc>
        <w:tc>
          <w:tcPr>
            <w:tcW w:w="1418"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r>
      <w:tr>
        <w:tblPrEx>
          <w:tblCellMar>
            <w:top w:w="0" w:type="dxa"/>
            <w:left w:w="108" w:type="dxa"/>
            <w:bottom w:w="0" w:type="dxa"/>
            <w:right w:w="108" w:type="dxa"/>
          </w:tblCellMar>
        </w:tblPrEx>
        <w:trPr>
          <w:jc w:val="center"/>
        </w:trPr>
        <w:tc>
          <w:tcPr>
            <w:tcW w:w="1080" w:type="dxa"/>
            <w:vMerge w:val="continue"/>
            <w:tcBorders>
              <w:left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80" w:type="dxa"/>
            <w:vMerge w:val="continue"/>
            <w:tcBorders>
              <w:left w:val="nil"/>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80" w:type="dxa"/>
            <w:vMerge w:val="continue"/>
            <w:tcBorders>
              <w:left w:val="nil"/>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22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13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13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828"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873"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418"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r>
      <w:tr>
        <w:tblPrEx>
          <w:tblCellMar>
            <w:top w:w="0" w:type="dxa"/>
            <w:left w:w="108" w:type="dxa"/>
            <w:bottom w:w="0" w:type="dxa"/>
            <w:right w:w="108" w:type="dxa"/>
          </w:tblCellMar>
        </w:tblPrEx>
        <w:trPr>
          <w:jc w:val="center"/>
        </w:trPr>
        <w:tc>
          <w:tcPr>
            <w:tcW w:w="1080" w:type="dxa"/>
            <w:vMerge w:val="continue"/>
            <w:tcBorders>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80" w:type="dxa"/>
            <w:vMerge w:val="continue"/>
            <w:tcBorders>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80" w:type="dxa"/>
            <w:vMerge w:val="continue"/>
            <w:tcBorders>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22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w:t>
            </w:r>
          </w:p>
        </w:tc>
        <w:tc>
          <w:tcPr>
            <w:tcW w:w="113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13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828"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873"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418"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r>
      <w:tr>
        <w:tblPrEx>
          <w:tblCellMar>
            <w:top w:w="0" w:type="dxa"/>
            <w:left w:w="108" w:type="dxa"/>
            <w:bottom w:w="0" w:type="dxa"/>
            <w:right w:w="108" w:type="dxa"/>
          </w:tblCellMar>
        </w:tblPrEx>
        <w:trPr>
          <w:trHeight w:val="390" w:hRule="atLeast"/>
          <w:jc w:val="center"/>
        </w:trPr>
        <w:tc>
          <w:tcPr>
            <w:tcW w:w="6732" w:type="dxa"/>
            <w:gridSpan w:val="6"/>
            <w:tcBorders>
              <w:top w:val="single" w:color="auto" w:sz="4" w:space="0"/>
              <w:left w:val="single" w:color="auto" w:sz="4" w:space="0"/>
              <w:bottom w:val="single" w:color="auto" w:sz="4" w:space="0"/>
              <w:right w:val="single" w:color="000000"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总分</w:t>
            </w:r>
          </w:p>
        </w:tc>
        <w:tc>
          <w:tcPr>
            <w:tcW w:w="828"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100</w:t>
            </w:r>
          </w:p>
        </w:tc>
        <w:tc>
          <w:tcPr>
            <w:tcW w:w="873"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val="en-US" w:eastAsia="zh-CN"/>
              </w:rPr>
              <w:t>100</w:t>
            </w:r>
          </w:p>
        </w:tc>
        <w:tc>
          <w:tcPr>
            <w:tcW w:w="1418"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r>
    </w:tbl>
    <w:p>
      <w:pPr>
        <w:rPr>
          <w:rFonts w:hint="default" w:ascii="Times New Roman" w:hAnsi="Times New Roman" w:eastAsia="仿宋_GB2312" w:cs="Times New Roman"/>
          <w:sz w:val="18"/>
          <w:szCs w:val="18"/>
          <w:highlight w:val="none"/>
        </w:rPr>
      </w:pPr>
    </w:p>
    <w:p>
      <w:pPr>
        <w:rPr>
          <w:rFonts w:hint="default" w:ascii="Times New Roman" w:hAnsi="Times New Roman" w:eastAsia="仿宋_GB2312" w:cs="Times New Roman"/>
          <w:szCs w:val="21"/>
          <w:highlight w:val="none"/>
        </w:rPr>
      </w:pPr>
      <w:r>
        <w:rPr>
          <w:rFonts w:hint="default" w:ascii="Times New Roman" w:hAnsi="Times New Roman" w:eastAsia="仿宋_GB2312" w:cs="Times New Roman"/>
          <w:sz w:val="18"/>
          <w:szCs w:val="18"/>
          <w:highlight w:val="none"/>
        </w:rPr>
        <w:t>备注：一个一级项目支出一张表。</w:t>
      </w:r>
      <w:r>
        <w:rPr>
          <w:rFonts w:hint="eastAsia" w:ascii="Times New Roman" w:hAnsi="Times New Roman" w:eastAsia="仿宋_GB2312" w:cs="Times New Roman"/>
          <w:sz w:val="18"/>
          <w:szCs w:val="18"/>
          <w:highlight w:val="none"/>
          <w:lang w:eastAsia="zh-CN"/>
        </w:rPr>
        <w:t>如，</w:t>
      </w:r>
      <w:r>
        <w:rPr>
          <w:rFonts w:hint="default" w:ascii="Times New Roman" w:hAnsi="Times New Roman" w:eastAsia="仿宋_GB2312" w:cs="Times New Roman"/>
          <w:sz w:val="18"/>
          <w:szCs w:val="18"/>
          <w:highlight w:val="none"/>
        </w:rPr>
        <w:t>业务工作经费</w:t>
      </w:r>
      <w:r>
        <w:rPr>
          <w:rFonts w:hint="eastAsia" w:ascii="Times New Roman" w:hAnsi="Times New Roman" w:eastAsia="仿宋_GB2312" w:cs="Times New Roman"/>
          <w:sz w:val="18"/>
          <w:szCs w:val="18"/>
          <w:highlight w:val="none"/>
          <w:lang w:eastAsia="zh-CN"/>
        </w:rPr>
        <w:t>，</w:t>
      </w:r>
      <w:r>
        <w:rPr>
          <w:rFonts w:hint="default" w:ascii="Times New Roman" w:hAnsi="Times New Roman" w:eastAsia="仿宋_GB2312" w:cs="Times New Roman"/>
          <w:sz w:val="18"/>
          <w:szCs w:val="18"/>
          <w:highlight w:val="none"/>
        </w:rPr>
        <w:t>运行维护经费</w:t>
      </w:r>
      <w:r>
        <w:rPr>
          <w:rFonts w:hint="eastAsia" w:ascii="Times New Roman" w:hAnsi="Times New Roman" w:eastAsia="仿宋_GB2312" w:cs="Times New Roman"/>
          <w:sz w:val="18"/>
          <w:szCs w:val="18"/>
          <w:highlight w:val="none"/>
          <w:lang w:eastAsia="zh-CN"/>
        </w:rPr>
        <w:t>，其他事业发展类资金…各一张表。</w:t>
      </w:r>
    </w:p>
    <w:p>
      <w:pPr>
        <w:widowControl/>
        <w:spacing w:after="0" w:afterLines="0" w:line="400" w:lineRule="exact"/>
        <w:jc w:val="left"/>
        <w:rPr>
          <w:rFonts w:hint="eastAsia" w:ascii="Times New Roman" w:hAnsi="Times New Roman" w:eastAsia="仿宋_GB2312" w:cs="Times New Roman"/>
          <w:sz w:val="22"/>
          <w:highlight w:val="none"/>
          <w:lang w:val="en-US" w:eastAsia="zh-CN"/>
        </w:rPr>
      </w:pPr>
      <w:r>
        <w:rPr>
          <w:rFonts w:hint="default" w:ascii="Times New Roman" w:hAnsi="Times New Roman" w:eastAsia="仿宋_GB2312" w:cs="Times New Roman"/>
          <w:sz w:val="22"/>
          <w:highlight w:val="none"/>
        </w:rPr>
        <w:t>填表人：</w:t>
      </w:r>
      <w:r>
        <w:rPr>
          <w:rFonts w:hint="eastAsia" w:ascii="Times New Roman" w:hAnsi="Times New Roman" w:eastAsia="仿宋_GB2312" w:cs="Times New Roman"/>
          <w:sz w:val="22"/>
          <w:highlight w:val="none"/>
          <w:lang w:eastAsia="zh-CN"/>
        </w:rPr>
        <w:t>万小会</w:t>
      </w:r>
      <w:r>
        <w:rPr>
          <w:rFonts w:hint="default" w:ascii="Times New Roman" w:hAnsi="Times New Roman" w:eastAsia="仿宋_GB2312" w:cs="Times New Roman"/>
          <w:sz w:val="22"/>
          <w:highlight w:val="none"/>
        </w:rPr>
        <w:t xml:space="preserve">  </w:t>
      </w:r>
      <w:r>
        <w:rPr>
          <w:rFonts w:hint="eastAsia" w:ascii="Times New Roman" w:hAnsi="Times New Roman" w:eastAsia="仿宋_GB2312" w:cs="Times New Roman"/>
          <w:sz w:val="22"/>
          <w:highlight w:val="none"/>
          <w:lang w:val="en-US" w:eastAsia="zh-CN"/>
        </w:rPr>
        <w:t xml:space="preserve">       </w:t>
      </w:r>
      <w:r>
        <w:rPr>
          <w:rFonts w:hint="default" w:ascii="Times New Roman" w:hAnsi="Times New Roman" w:eastAsia="仿宋_GB2312" w:cs="Times New Roman"/>
          <w:sz w:val="22"/>
          <w:highlight w:val="none"/>
        </w:rPr>
        <w:t>填报日期：</w:t>
      </w:r>
      <w:r>
        <w:rPr>
          <w:rFonts w:hint="eastAsia" w:ascii="Times New Roman" w:hAnsi="Times New Roman" w:eastAsia="仿宋_GB2312" w:cs="Times New Roman"/>
          <w:sz w:val="22"/>
          <w:highlight w:val="none"/>
          <w:lang w:val="en-US" w:eastAsia="zh-CN"/>
        </w:rPr>
        <w:t>2024年6月20日</w:t>
      </w:r>
      <w:r>
        <w:rPr>
          <w:rFonts w:hint="default" w:ascii="Times New Roman" w:hAnsi="Times New Roman" w:eastAsia="仿宋_GB2312" w:cs="Times New Roman"/>
          <w:sz w:val="22"/>
          <w:highlight w:val="none"/>
        </w:rPr>
        <w:t xml:space="preserve"> </w:t>
      </w:r>
      <w:r>
        <w:rPr>
          <w:rFonts w:hint="eastAsia" w:ascii="Times New Roman" w:hAnsi="Times New Roman" w:eastAsia="仿宋_GB2312" w:cs="Times New Roman"/>
          <w:sz w:val="22"/>
          <w:highlight w:val="none"/>
          <w:lang w:val="en-US" w:eastAsia="zh-CN"/>
        </w:rPr>
        <w:t xml:space="preserve">      </w:t>
      </w:r>
      <w:r>
        <w:rPr>
          <w:rFonts w:hint="default" w:ascii="Times New Roman" w:hAnsi="Times New Roman" w:eastAsia="仿宋_GB2312" w:cs="Times New Roman"/>
          <w:sz w:val="22"/>
          <w:highlight w:val="none"/>
        </w:rPr>
        <w:t>联系电话：</w:t>
      </w:r>
      <w:r>
        <w:rPr>
          <w:rFonts w:hint="eastAsia" w:ascii="Times New Roman" w:hAnsi="Times New Roman" w:eastAsia="仿宋_GB2312" w:cs="Times New Roman"/>
          <w:sz w:val="22"/>
          <w:highlight w:val="none"/>
          <w:lang w:val="en-US" w:eastAsia="zh-CN"/>
        </w:rPr>
        <w:t>13975096846</w:t>
      </w:r>
    </w:p>
    <w:p>
      <w:pPr>
        <w:widowControl/>
        <w:spacing w:line="600" w:lineRule="exact"/>
        <w:jc w:val="left"/>
        <w:rPr>
          <w:rFonts w:hint="eastAsia" w:ascii="Times New Roman" w:hAnsi="Times New Roman" w:eastAsia="黑体" w:cs="Times New Roman"/>
          <w:sz w:val="32"/>
          <w:szCs w:val="32"/>
          <w:highlight w:val="none"/>
          <w:lang w:eastAsia="zh-CN"/>
        </w:rPr>
      </w:pPr>
      <w:r>
        <w:rPr>
          <w:rFonts w:hint="default" w:ascii="Times New Roman" w:hAnsi="Times New Roman" w:eastAsia="仿宋_GB2312" w:cs="Times New Roman"/>
          <w:sz w:val="22"/>
          <w:highlight w:val="none"/>
        </w:rPr>
        <w:t>单位负责人签字：</w:t>
      </w:r>
      <w:r>
        <w:rPr>
          <w:rFonts w:hint="default" w:ascii="Times New Roman" w:hAnsi="Times New Roman" w:eastAsia="仿宋_GB2312" w:cs="Times New Roman"/>
          <w:sz w:val="22"/>
          <w:highlight w:val="none"/>
        </w:rPr>
        <w:br w:type="page"/>
      </w:r>
      <w:r>
        <w:rPr>
          <w:rFonts w:hint="eastAsia" w:ascii="黑体" w:hAnsi="黑体" w:eastAsia="黑体" w:cs="黑体"/>
          <w:sz w:val="32"/>
          <w:szCs w:val="32"/>
          <w:highlight w:val="none"/>
        </w:rPr>
        <w:t>附件</w:t>
      </w:r>
      <w:r>
        <w:rPr>
          <w:rFonts w:hint="eastAsia" w:ascii="黑体" w:hAnsi="黑体" w:eastAsia="黑体" w:cs="黑体"/>
          <w:sz w:val="32"/>
          <w:szCs w:val="32"/>
          <w:highlight w:val="none"/>
          <w:lang w:val="en-US" w:eastAsia="zh-CN"/>
        </w:rPr>
        <w:t>3</w:t>
      </w:r>
    </w:p>
    <w:p>
      <w:pPr>
        <w:widowControl/>
        <w:spacing w:line="600" w:lineRule="exact"/>
        <w:jc w:val="center"/>
        <w:rPr>
          <w:rFonts w:hint="eastAsia" w:ascii="方正小标宋简体" w:hAnsi="方正小标宋简体" w:eastAsia="方正小标宋简体" w:cs="方正小标宋简体"/>
          <w:color w:val="000000"/>
          <w:sz w:val="36"/>
          <w:szCs w:val="36"/>
          <w:highlight w:val="none"/>
        </w:rPr>
      </w:pPr>
      <w:r>
        <w:rPr>
          <w:rFonts w:hint="eastAsia" w:ascii="方正小标宋简体" w:hAnsi="方正小标宋简体" w:eastAsia="方正小标宋简体" w:cs="方正小标宋简体"/>
          <w:color w:val="000000"/>
          <w:sz w:val="36"/>
          <w:szCs w:val="36"/>
          <w:highlight w:val="none"/>
        </w:rPr>
        <w:t>202</w:t>
      </w:r>
      <w:r>
        <w:rPr>
          <w:rFonts w:hint="eastAsia" w:ascii="方正小标宋简体" w:hAnsi="方正小标宋简体" w:eastAsia="方正小标宋简体" w:cs="方正小标宋简体"/>
          <w:color w:val="000000"/>
          <w:sz w:val="36"/>
          <w:szCs w:val="36"/>
          <w:highlight w:val="none"/>
          <w:lang w:val="en-US" w:eastAsia="zh-CN"/>
        </w:rPr>
        <w:t>3</w:t>
      </w:r>
      <w:r>
        <w:rPr>
          <w:rFonts w:hint="eastAsia" w:ascii="方正小标宋简体" w:hAnsi="方正小标宋简体" w:eastAsia="方正小标宋简体" w:cs="方正小标宋简体"/>
          <w:color w:val="000000"/>
          <w:sz w:val="36"/>
          <w:szCs w:val="36"/>
          <w:highlight w:val="none"/>
        </w:rPr>
        <w:t>年度项目支出绩效自评表</w:t>
      </w:r>
    </w:p>
    <w:tbl>
      <w:tblPr>
        <w:tblStyle w:val="6"/>
        <w:tblW w:w="9851" w:type="dxa"/>
        <w:jc w:val="center"/>
        <w:tblLayout w:type="autofit"/>
        <w:tblCellMar>
          <w:top w:w="0" w:type="dxa"/>
          <w:left w:w="108" w:type="dxa"/>
          <w:bottom w:w="0" w:type="dxa"/>
          <w:right w:w="108" w:type="dxa"/>
        </w:tblCellMar>
      </w:tblPr>
      <w:tblGrid>
        <w:gridCol w:w="1080"/>
        <w:gridCol w:w="1080"/>
        <w:gridCol w:w="1080"/>
        <w:gridCol w:w="1224"/>
        <w:gridCol w:w="1134"/>
        <w:gridCol w:w="1134"/>
        <w:gridCol w:w="828"/>
        <w:gridCol w:w="873"/>
        <w:gridCol w:w="1418"/>
      </w:tblGrid>
      <w:tr>
        <w:tblPrEx>
          <w:tblCellMar>
            <w:top w:w="0" w:type="dxa"/>
            <w:left w:w="108" w:type="dxa"/>
            <w:bottom w:w="0" w:type="dxa"/>
            <w:right w:w="108" w:type="dxa"/>
          </w:tblCellMar>
        </w:tblPrEx>
        <w:trPr>
          <w:jc w:val="center"/>
        </w:trPr>
        <w:tc>
          <w:tcPr>
            <w:tcW w:w="1080"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项目支</w:t>
            </w:r>
          </w:p>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出名称</w:t>
            </w:r>
          </w:p>
        </w:tc>
        <w:tc>
          <w:tcPr>
            <w:tcW w:w="8771" w:type="dxa"/>
            <w:gridSpan w:val="8"/>
            <w:tcBorders>
              <w:top w:val="single" w:color="auto" w:sz="4" w:space="0"/>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lang w:eastAsia="zh-CN"/>
              </w:rPr>
              <w:t>食品及食用农产品抽检</w:t>
            </w:r>
            <w:r>
              <w:rPr>
                <w:rFonts w:hint="eastAsia" w:ascii="仿宋_GB2312" w:hAnsi="仿宋_GB2312" w:eastAsia="仿宋_GB2312" w:cs="仿宋_GB2312"/>
                <w:color w:val="000000"/>
                <w:sz w:val="20"/>
                <w:szCs w:val="20"/>
                <w:highlight w:val="none"/>
              </w:rPr>
              <w:t>　</w:t>
            </w:r>
          </w:p>
        </w:tc>
      </w:tr>
      <w:tr>
        <w:tblPrEx>
          <w:tblCellMar>
            <w:top w:w="0" w:type="dxa"/>
            <w:left w:w="108" w:type="dxa"/>
            <w:bottom w:w="0" w:type="dxa"/>
            <w:right w:w="108" w:type="dxa"/>
          </w:tblCellMar>
        </w:tblPrEx>
        <w:trPr>
          <w:jc w:val="center"/>
        </w:trPr>
        <w:tc>
          <w:tcPr>
            <w:tcW w:w="1080" w:type="dxa"/>
            <w:tcBorders>
              <w:top w:val="nil"/>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主管部门</w:t>
            </w:r>
          </w:p>
        </w:tc>
        <w:tc>
          <w:tcPr>
            <w:tcW w:w="4518" w:type="dxa"/>
            <w:gridSpan w:val="4"/>
            <w:tcBorders>
              <w:top w:val="single" w:color="auto" w:sz="4" w:space="0"/>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134" w:type="dxa"/>
            <w:tcBorders>
              <w:top w:val="single" w:color="auto" w:sz="4" w:space="0"/>
              <w:left w:val="nil"/>
              <w:bottom w:val="single" w:color="auto" w:sz="4" w:space="0"/>
              <w:right w:val="single" w:color="000000"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实施单位</w:t>
            </w:r>
          </w:p>
        </w:tc>
        <w:tc>
          <w:tcPr>
            <w:tcW w:w="3119" w:type="dxa"/>
            <w:gridSpan w:val="3"/>
            <w:tcBorders>
              <w:top w:val="single" w:color="auto" w:sz="4" w:space="0"/>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r>
      <w:tr>
        <w:tblPrEx>
          <w:tblCellMar>
            <w:top w:w="0" w:type="dxa"/>
            <w:left w:w="108" w:type="dxa"/>
            <w:bottom w:w="0" w:type="dxa"/>
            <w:right w:w="108" w:type="dxa"/>
          </w:tblCellMar>
        </w:tblPrEx>
        <w:trPr>
          <w:jc w:val="center"/>
        </w:trPr>
        <w:tc>
          <w:tcPr>
            <w:tcW w:w="1080" w:type="dxa"/>
            <w:vMerge w:val="restart"/>
            <w:tcBorders>
              <w:top w:val="nil"/>
              <w:left w:val="single" w:color="auto" w:sz="4" w:space="0"/>
              <w:bottom w:val="single" w:color="000000"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项目资金</w:t>
            </w:r>
            <w:r>
              <w:rPr>
                <w:rFonts w:hint="eastAsia" w:ascii="仿宋_GB2312" w:hAnsi="仿宋_GB2312" w:eastAsia="仿宋_GB2312" w:cs="仿宋_GB2312"/>
                <w:color w:val="000000"/>
                <w:sz w:val="20"/>
                <w:szCs w:val="20"/>
                <w:highlight w:val="none"/>
              </w:rPr>
              <w:br w:type="textWrapping"/>
            </w:r>
            <w:r>
              <w:rPr>
                <w:rFonts w:hint="eastAsia" w:ascii="仿宋_GB2312" w:hAnsi="仿宋_GB2312" w:eastAsia="仿宋_GB2312" w:cs="仿宋_GB2312"/>
                <w:color w:val="000000"/>
                <w:sz w:val="20"/>
                <w:szCs w:val="20"/>
                <w:highlight w:val="none"/>
              </w:rPr>
              <w:t>（万元）</w:t>
            </w:r>
          </w:p>
        </w:tc>
        <w:tc>
          <w:tcPr>
            <w:tcW w:w="2160" w:type="dxa"/>
            <w:gridSpan w:val="2"/>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22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年初</w:t>
            </w:r>
          </w:p>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预算数</w:t>
            </w:r>
          </w:p>
        </w:tc>
        <w:tc>
          <w:tcPr>
            <w:tcW w:w="113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全年</w:t>
            </w:r>
          </w:p>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预算数</w:t>
            </w:r>
          </w:p>
        </w:tc>
        <w:tc>
          <w:tcPr>
            <w:tcW w:w="1134" w:type="dxa"/>
            <w:tcBorders>
              <w:top w:val="nil"/>
              <w:left w:val="nil"/>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全年</w:t>
            </w:r>
          </w:p>
          <w:p>
            <w:pPr>
              <w:keepNext w:val="0"/>
              <w:keepLines w:val="0"/>
              <w:pageBreakBefore w:val="0"/>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执行数</w:t>
            </w:r>
          </w:p>
        </w:tc>
        <w:tc>
          <w:tcPr>
            <w:tcW w:w="828" w:type="dxa"/>
            <w:tcBorders>
              <w:top w:val="nil"/>
              <w:left w:val="nil"/>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分值</w:t>
            </w:r>
          </w:p>
        </w:tc>
        <w:tc>
          <w:tcPr>
            <w:tcW w:w="873" w:type="dxa"/>
            <w:tcBorders>
              <w:top w:val="nil"/>
              <w:left w:val="nil"/>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执行率</w:t>
            </w:r>
          </w:p>
        </w:tc>
        <w:tc>
          <w:tcPr>
            <w:tcW w:w="1418" w:type="dxa"/>
            <w:tcBorders>
              <w:top w:val="nil"/>
              <w:left w:val="nil"/>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得分</w:t>
            </w:r>
          </w:p>
        </w:tc>
      </w:tr>
      <w:tr>
        <w:tblPrEx>
          <w:tblCellMar>
            <w:top w:w="0" w:type="dxa"/>
            <w:left w:w="108" w:type="dxa"/>
            <w:bottom w:w="0" w:type="dxa"/>
            <w:right w:w="108" w:type="dxa"/>
          </w:tblCellMar>
        </w:tblPrEx>
        <w:trPr>
          <w:jc w:val="center"/>
        </w:trPr>
        <w:tc>
          <w:tcPr>
            <w:tcW w:w="1080" w:type="dxa"/>
            <w:vMerge w:val="continue"/>
            <w:tcBorders>
              <w:top w:val="nil"/>
              <w:left w:val="single" w:color="auto" w:sz="4" w:space="0"/>
              <w:bottom w:val="single" w:color="000000"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2160" w:type="dxa"/>
            <w:gridSpan w:val="2"/>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年度资金总额　</w:t>
            </w:r>
          </w:p>
        </w:tc>
        <w:tc>
          <w:tcPr>
            <w:tcW w:w="122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val="en-US" w:eastAsia="zh-CN"/>
              </w:rPr>
              <w:t>60</w:t>
            </w:r>
          </w:p>
        </w:tc>
        <w:tc>
          <w:tcPr>
            <w:tcW w:w="113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val="en-US" w:eastAsia="zh-CN"/>
              </w:rPr>
              <w:t>57.55</w:t>
            </w:r>
          </w:p>
        </w:tc>
        <w:tc>
          <w:tcPr>
            <w:tcW w:w="113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val="en-US" w:eastAsia="zh-CN"/>
              </w:rPr>
              <w:t>57.55</w:t>
            </w:r>
          </w:p>
        </w:tc>
        <w:tc>
          <w:tcPr>
            <w:tcW w:w="828"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10</w:t>
            </w:r>
          </w:p>
        </w:tc>
        <w:tc>
          <w:tcPr>
            <w:tcW w:w="873"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val="en-US" w:eastAsia="zh-CN"/>
              </w:rPr>
              <w:t>95.92%</w:t>
            </w:r>
          </w:p>
        </w:tc>
        <w:tc>
          <w:tcPr>
            <w:tcW w:w="1418"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lang w:val="en-US" w:eastAsia="zh-CN"/>
              </w:rPr>
              <w:t>9.5</w:t>
            </w:r>
          </w:p>
        </w:tc>
      </w:tr>
      <w:tr>
        <w:tblPrEx>
          <w:tblCellMar>
            <w:top w:w="0" w:type="dxa"/>
            <w:left w:w="108" w:type="dxa"/>
            <w:bottom w:w="0" w:type="dxa"/>
            <w:right w:w="108" w:type="dxa"/>
          </w:tblCellMar>
        </w:tblPrEx>
        <w:trPr>
          <w:jc w:val="center"/>
        </w:trPr>
        <w:tc>
          <w:tcPr>
            <w:tcW w:w="1080" w:type="dxa"/>
            <w:vMerge w:val="continue"/>
            <w:tcBorders>
              <w:top w:val="nil"/>
              <w:left w:val="single" w:color="auto" w:sz="4" w:space="0"/>
              <w:bottom w:val="single" w:color="000000"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2160" w:type="dxa"/>
            <w:gridSpan w:val="2"/>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其中：当年财政拨款　</w:t>
            </w:r>
          </w:p>
        </w:tc>
        <w:tc>
          <w:tcPr>
            <w:tcW w:w="122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val="en-US" w:eastAsia="zh-CN"/>
              </w:rPr>
              <w:t>60</w:t>
            </w:r>
          </w:p>
        </w:tc>
        <w:tc>
          <w:tcPr>
            <w:tcW w:w="113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13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828"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873"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418"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r>
      <w:tr>
        <w:tblPrEx>
          <w:tblCellMar>
            <w:top w:w="0" w:type="dxa"/>
            <w:left w:w="108" w:type="dxa"/>
            <w:bottom w:w="0" w:type="dxa"/>
            <w:right w:w="108" w:type="dxa"/>
          </w:tblCellMar>
        </w:tblPrEx>
        <w:trPr>
          <w:jc w:val="center"/>
        </w:trPr>
        <w:tc>
          <w:tcPr>
            <w:tcW w:w="1080" w:type="dxa"/>
            <w:vMerge w:val="continue"/>
            <w:tcBorders>
              <w:top w:val="nil"/>
              <w:left w:val="single" w:color="auto" w:sz="4" w:space="0"/>
              <w:bottom w:val="single" w:color="000000"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2160" w:type="dxa"/>
            <w:gridSpan w:val="2"/>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ind w:firstLine="600" w:firstLineChars="300"/>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上年结转资金　</w:t>
            </w:r>
          </w:p>
        </w:tc>
        <w:tc>
          <w:tcPr>
            <w:tcW w:w="122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13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13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828"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873"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418"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r>
      <w:tr>
        <w:tblPrEx>
          <w:tblCellMar>
            <w:top w:w="0" w:type="dxa"/>
            <w:left w:w="108" w:type="dxa"/>
            <w:bottom w:w="0" w:type="dxa"/>
            <w:right w:w="108" w:type="dxa"/>
          </w:tblCellMar>
        </w:tblPrEx>
        <w:trPr>
          <w:jc w:val="center"/>
        </w:trPr>
        <w:tc>
          <w:tcPr>
            <w:tcW w:w="1080" w:type="dxa"/>
            <w:vMerge w:val="continue"/>
            <w:tcBorders>
              <w:top w:val="nil"/>
              <w:left w:val="single" w:color="auto" w:sz="4" w:space="0"/>
              <w:bottom w:val="single" w:color="000000"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2160" w:type="dxa"/>
            <w:gridSpan w:val="2"/>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ind w:firstLine="600" w:firstLineChars="300"/>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其他资金</w:t>
            </w:r>
          </w:p>
        </w:tc>
        <w:tc>
          <w:tcPr>
            <w:tcW w:w="122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13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13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828"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873"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418"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r>
      <w:tr>
        <w:tblPrEx>
          <w:tblCellMar>
            <w:top w:w="0" w:type="dxa"/>
            <w:left w:w="108" w:type="dxa"/>
            <w:bottom w:w="0" w:type="dxa"/>
            <w:right w:w="108" w:type="dxa"/>
          </w:tblCellMar>
        </w:tblPrEx>
        <w:trPr>
          <w:jc w:val="center"/>
        </w:trPr>
        <w:tc>
          <w:tcPr>
            <w:tcW w:w="1080" w:type="dxa"/>
            <w:vMerge w:val="restart"/>
            <w:tcBorders>
              <w:top w:val="nil"/>
              <w:left w:val="single" w:color="auto" w:sz="4" w:space="0"/>
              <w:bottom w:val="single" w:color="000000"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年度总体目标</w:t>
            </w:r>
          </w:p>
        </w:tc>
        <w:tc>
          <w:tcPr>
            <w:tcW w:w="4518" w:type="dxa"/>
            <w:gridSpan w:val="4"/>
            <w:tcBorders>
              <w:top w:val="single" w:color="auto" w:sz="4" w:space="0"/>
              <w:left w:val="nil"/>
              <w:bottom w:val="single" w:color="auto" w:sz="4" w:space="0"/>
              <w:right w:val="single" w:color="000000"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预期目标</w:t>
            </w:r>
          </w:p>
        </w:tc>
        <w:tc>
          <w:tcPr>
            <w:tcW w:w="4253" w:type="dxa"/>
            <w:gridSpan w:val="4"/>
            <w:tcBorders>
              <w:top w:val="single" w:color="auto" w:sz="4" w:space="0"/>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实际完成情况　</w:t>
            </w:r>
          </w:p>
        </w:tc>
      </w:tr>
      <w:tr>
        <w:tblPrEx>
          <w:tblCellMar>
            <w:top w:w="0" w:type="dxa"/>
            <w:left w:w="108" w:type="dxa"/>
            <w:bottom w:w="0" w:type="dxa"/>
            <w:right w:w="108" w:type="dxa"/>
          </w:tblCellMar>
        </w:tblPrEx>
        <w:trPr>
          <w:jc w:val="center"/>
        </w:trPr>
        <w:tc>
          <w:tcPr>
            <w:tcW w:w="1080" w:type="dxa"/>
            <w:vMerge w:val="continue"/>
            <w:tcBorders>
              <w:top w:val="nil"/>
              <w:left w:val="single" w:color="auto" w:sz="4" w:space="0"/>
              <w:bottom w:val="single" w:color="000000"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4518" w:type="dxa"/>
            <w:gridSpan w:val="4"/>
            <w:tcBorders>
              <w:top w:val="single" w:color="auto" w:sz="4" w:space="0"/>
              <w:left w:val="nil"/>
              <w:bottom w:val="single" w:color="auto" w:sz="4" w:space="0"/>
              <w:right w:val="single" w:color="000000"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通过开展食品及食用农产品，进一步提高食品市场风险隐患排查能力，加强食品安全监管，提高食品安全监管工作效率。　　</w:t>
            </w:r>
          </w:p>
        </w:tc>
        <w:tc>
          <w:tcPr>
            <w:tcW w:w="4253" w:type="dxa"/>
            <w:gridSpan w:val="4"/>
            <w:tcBorders>
              <w:top w:val="single" w:color="auto" w:sz="4" w:space="0"/>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通过开展食品及食用农产品，进一步提高食品市场风险隐患排查能力，加强食品安全监管，提高食品安全监管工作效率。</w:t>
            </w:r>
          </w:p>
        </w:tc>
      </w:tr>
      <w:tr>
        <w:tblPrEx>
          <w:tblCellMar>
            <w:top w:w="0" w:type="dxa"/>
            <w:left w:w="108" w:type="dxa"/>
            <w:bottom w:w="0" w:type="dxa"/>
            <w:right w:w="108" w:type="dxa"/>
          </w:tblCellMar>
        </w:tblPrEx>
        <w:trPr>
          <w:jc w:val="center"/>
        </w:trPr>
        <w:tc>
          <w:tcPr>
            <w:tcW w:w="1080" w:type="dxa"/>
            <w:vMerge w:val="restart"/>
            <w:tcBorders>
              <w:top w:val="nil"/>
              <w:left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绩</w:t>
            </w:r>
          </w:p>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效</w:t>
            </w:r>
          </w:p>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指</w:t>
            </w:r>
          </w:p>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标</w:t>
            </w:r>
          </w:p>
        </w:tc>
        <w:tc>
          <w:tcPr>
            <w:tcW w:w="1080"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一级指标</w:t>
            </w:r>
          </w:p>
        </w:tc>
        <w:tc>
          <w:tcPr>
            <w:tcW w:w="1080"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二级指标</w:t>
            </w:r>
          </w:p>
        </w:tc>
        <w:tc>
          <w:tcPr>
            <w:tcW w:w="122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三级指标</w:t>
            </w:r>
          </w:p>
        </w:tc>
        <w:tc>
          <w:tcPr>
            <w:tcW w:w="113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年度</w:t>
            </w:r>
          </w:p>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指标值</w:t>
            </w:r>
          </w:p>
        </w:tc>
        <w:tc>
          <w:tcPr>
            <w:tcW w:w="113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实际</w:t>
            </w:r>
          </w:p>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完成值</w:t>
            </w:r>
          </w:p>
        </w:tc>
        <w:tc>
          <w:tcPr>
            <w:tcW w:w="828"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分值</w:t>
            </w:r>
          </w:p>
        </w:tc>
        <w:tc>
          <w:tcPr>
            <w:tcW w:w="873"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得分</w:t>
            </w:r>
          </w:p>
        </w:tc>
        <w:tc>
          <w:tcPr>
            <w:tcW w:w="1418"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both"/>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偏差原因分析及改进措施</w:t>
            </w:r>
          </w:p>
        </w:tc>
      </w:tr>
      <w:tr>
        <w:tblPrEx>
          <w:tblCellMar>
            <w:top w:w="0" w:type="dxa"/>
            <w:left w:w="108" w:type="dxa"/>
            <w:bottom w:w="0" w:type="dxa"/>
            <w:right w:w="108" w:type="dxa"/>
          </w:tblCellMar>
        </w:tblPrEx>
        <w:trPr>
          <w:jc w:val="center"/>
        </w:trPr>
        <w:tc>
          <w:tcPr>
            <w:tcW w:w="1080" w:type="dxa"/>
            <w:vMerge w:val="continue"/>
            <w:tcBorders>
              <w:left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p>
        </w:tc>
        <w:tc>
          <w:tcPr>
            <w:tcW w:w="1080" w:type="dxa"/>
            <w:vMerge w:val="restart"/>
            <w:tcBorders>
              <w:top w:val="nil"/>
              <w:left w:val="nil"/>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产出指标</w:t>
            </w:r>
          </w:p>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p>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(50分)</w:t>
            </w:r>
          </w:p>
        </w:tc>
        <w:tc>
          <w:tcPr>
            <w:tcW w:w="1080" w:type="dxa"/>
            <w:tcBorders>
              <w:top w:val="nil"/>
              <w:left w:val="nil"/>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数量指标</w:t>
            </w:r>
          </w:p>
        </w:tc>
        <w:tc>
          <w:tcPr>
            <w:tcW w:w="122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抽检批次</w:t>
            </w:r>
          </w:p>
        </w:tc>
        <w:tc>
          <w:tcPr>
            <w:tcW w:w="113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rPr>
              <w:t>≥</w:t>
            </w:r>
            <w:r>
              <w:rPr>
                <w:rFonts w:hint="eastAsia" w:ascii="仿宋_GB2312" w:hAnsi="仿宋_GB2312" w:eastAsia="仿宋_GB2312" w:cs="仿宋_GB2312"/>
                <w:color w:val="000000"/>
                <w:sz w:val="20"/>
                <w:szCs w:val="20"/>
                <w:highlight w:val="none"/>
                <w:lang w:val="en-US" w:eastAsia="zh-CN"/>
              </w:rPr>
              <w:t>800</w:t>
            </w:r>
          </w:p>
        </w:tc>
        <w:tc>
          <w:tcPr>
            <w:tcW w:w="113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lang w:val="en-US" w:eastAsia="zh-CN"/>
              </w:rPr>
              <w:t>930</w:t>
            </w:r>
          </w:p>
        </w:tc>
        <w:tc>
          <w:tcPr>
            <w:tcW w:w="828"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lang w:val="en-US" w:eastAsia="zh-CN"/>
              </w:rPr>
              <w:t>15</w:t>
            </w:r>
          </w:p>
        </w:tc>
        <w:tc>
          <w:tcPr>
            <w:tcW w:w="873"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lang w:val="en-US" w:eastAsia="zh-CN"/>
              </w:rPr>
              <w:t>15</w:t>
            </w:r>
          </w:p>
        </w:tc>
        <w:tc>
          <w:tcPr>
            <w:tcW w:w="1418"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r>
      <w:tr>
        <w:tblPrEx>
          <w:tblCellMar>
            <w:top w:w="0" w:type="dxa"/>
            <w:left w:w="108" w:type="dxa"/>
            <w:bottom w:w="0" w:type="dxa"/>
            <w:right w:w="108" w:type="dxa"/>
          </w:tblCellMar>
        </w:tblPrEx>
        <w:trPr>
          <w:jc w:val="center"/>
        </w:trPr>
        <w:tc>
          <w:tcPr>
            <w:tcW w:w="1080" w:type="dxa"/>
            <w:vMerge w:val="continue"/>
            <w:tcBorders>
              <w:left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p>
        </w:tc>
        <w:tc>
          <w:tcPr>
            <w:tcW w:w="1080" w:type="dxa"/>
            <w:vMerge w:val="continue"/>
            <w:tcBorders>
              <w:left w:val="nil"/>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p>
        </w:tc>
        <w:tc>
          <w:tcPr>
            <w:tcW w:w="1080" w:type="dxa"/>
            <w:tcBorders>
              <w:top w:val="nil"/>
              <w:left w:val="nil"/>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质量指标</w:t>
            </w:r>
          </w:p>
        </w:tc>
        <w:tc>
          <w:tcPr>
            <w:tcW w:w="122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不合格食品处置率</w:t>
            </w:r>
          </w:p>
        </w:tc>
        <w:tc>
          <w:tcPr>
            <w:tcW w:w="113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lang w:val="en-US" w:eastAsia="zh-CN"/>
              </w:rPr>
              <w:t>100%</w:t>
            </w:r>
          </w:p>
        </w:tc>
        <w:tc>
          <w:tcPr>
            <w:tcW w:w="113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lang w:val="en-US" w:eastAsia="zh-CN"/>
              </w:rPr>
              <w:t>100%</w:t>
            </w:r>
          </w:p>
        </w:tc>
        <w:tc>
          <w:tcPr>
            <w:tcW w:w="828"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lang w:val="en-US" w:eastAsia="zh-CN"/>
              </w:rPr>
              <w:t>15</w:t>
            </w:r>
          </w:p>
        </w:tc>
        <w:tc>
          <w:tcPr>
            <w:tcW w:w="873"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lang w:val="en-US" w:eastAsia="zh-CN"/>
              </w:rPr>
              <w:t>15</w:t>
            </w:r>
          </w:p>
        </w:tc>
        <w:tc>
          <w:tcPr>
            <w:tcW w:w="1418"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r>
      <w:tr>
        <w:tblPrEx>
          <w:tblCellMar>
            <w:top w:w="0" w:type="dxa"/>
            <w:left w:w="108" w:type="dxa"/>
            <w:bottom w:w="0" w:type="dxa"/>
            <w:right w:w="108" w:type="dxa"/>
          </w:tblCellMar>
        </w:tblPrEx>
        <w:trPr>
          <w:jc w:val="center"/>
        </w:trPr>
        <w:tc>
          <w:tcPr>
            <w:tcW w:w="1080" w:type="dxa"/>
            <w:vMerge w:val="continue"/>
            <w:tcBorders>
              <w:left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p>
        </w:tc>
        <w:tc>
          <w:tcPr>
            <w:tcW w:w="1080" w:type="dxa"/>
            <w:vMerge w:val="continue"/>
            <w:tcBorders>
              <w:left w:val="nil"/>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p>
        </w:tc>
        <w:tc>
          <w:tcPr>
            <w:tcW w:w="1080" w:type="dxa"/>
            <w:tcBorders>
              <w:top w:val="nil"/>
              <w:left w:val="nil"/>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时效指标</w:t>
            </w:r>
          </w:p>
        </w:tc>
        <w:tc>
          <w:tcPr>
            <w:tcW w:w="122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抽检及时率</w:t>
            </w:r>
          </w:p>
        </w:tc>
        <w:tc>
          <w:tcPr>
            <w:tcW w:w="113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kern w:val="0"/>
                <w:sz w:val="20"/>
                <w:szCs w:val="20"/>
                <w:highlight w:val="none"/>
                <w:lang w:val="en-US" w:eastAsia="zh-CN" w:bidi="ar-SA"/>
              </w:rPr>
            </w:pPr>
            <w:r>
              <w:rPr>
                <w:rFonts w:hint="eastAsia" w:ascii="仿宋_GB2312" w:hAnsi="仿宋_GB2312" w:eastAsia="仿宋_GB2312" w:cs="仿宋_GB2312"/>
                <w:color w:val="000000"/>
                <w:sz w:val="20"/>
                <w:szCs w:val="20"/>
                <w:highlight w:val="none"/>
                <w:lang w:val="en-US" w:eastAsia="zh-CN"/>
              </w:rPr>
              <w:t>100%</w:t>
            </w:r>
          </w:p>
        </w:tc>
        <w:tc>
          <w:tcPr>
            <w:tcW w:w="113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kern w:val="0"/>
                <w:sz w:val="20"/>
                <w:szCs w:val="20"/>
                <w:highlight w:val="none"/>
                <w:lang w:val="en-US" w:eastAsia="zh-CN" w:bidi="ar-SA"/>
              </w:rPr>
            </w:pPr>
            <w:r>
              <w:rPr>
                <w:rFonts w:hint="eastAsia" w:ascii="仿宋_GB2312" w:hAnsi="仿宋_GB2312" w:eastAsia="仿宋_GB2312" w:cs="仿宋_GB2312"/>
                <w:color w:val="000000"/>
                <w:sz w:val="20"/>
                <w:szCs w:val="20"/>
                <w:highlight w:val="none"/>
                <w:lang w:val="en-US" w:eastAsia="zh-CN"/>
              </w:rPr>
              <w:t>100%</w:t>
            </w:r>
          </w:p>
        </w:tc>
        <w:tc>
          <w:tcPr>
            <w:tcW w:w="828"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kern w:val="0"/>
                <w:sz w:val="20"/>
                <w:szCs w:val="20"/>
                <w:highlight w:val="none"/>
                <w:lang w:val="en-US" w:eastAsia="zh-CN" w:bidi="ar-SA"/>
              </w:rPr>
            </w:pPr>
            <w:r>
              <w:rPr>
                <w:rFonts w:hint="eastAsia" w:ascii="仿宋_GB2312" w:hAnsi="仿宋_GB2312" w:eastAsia="仿宋_GB2312" w:cs="仿宋_GB2312"/>
                <w:color w:val="000000"/>
                <w:sz w:val="20"/>
                <w:szCs w:val="20"/>
                <w:highlight w:val="none"/>
                <w:lang w:val="en-US" w:eastAsia="zh-CN"/>
              </w:rPr>
              <w:t>15</w:t>
            </w:r>
          </w:p>
        </w:tc>
        <w:tc>
          <w:tcPr>
            <w:tcW w:w="873"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kern w:val="0"/>
                <w:sz w:val="20"/>
                <w:szCs w:val="20"/>
                <w:highlight w:val="none"/>
                <w:lang w:val="en-US" w:eastAsia="zh-CN" w:bidi="ar-SA"/>
              </w:rPr>
            </w:pPr>
            <w:r>
              <w:rPr>
                <w:rFonts w:hint="eastAsia" w:ascii="仿宋_GB2312" w:hAnsi="仿宋_GB2312" w:eastAsia="仿宋_GB2312" w:cs="仿宋_GB2312"/>
                <w:color w:val="000000"/>
                <w:sz w:val="20"/>
                <w:szCs w:val="20"/>
                <w:highlight w:val="none"/>
                <w:lang w:val="en-US" w:eastAsia="zh-CN"/>
              </w:rPr>
              <w:t>15</w:t>
            </w:r>
          </w:p>
        </w:tc>
        <w:tc>
          <w:tcPr>
            <w:tcW w:w="1418"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r>
      <w:tr>
        <w:tblPrEx>
          <w:tblCellMar>
            <w:top w:w="0" w:type="dxa"/>
            <w:left w:w="108" w:type="dxa"/>
            <w:bottom w:w="0" w:type="dxa"/>
            <w:right w:w="108" w:type="dxa"/>
          </w:tblCellMar>
        </w:tblPrEx>
        <w:trPr>
          <w:jc w:val="center"/>
        </w:trPr>
        <w:tc>
          <w:tcPr>
            <w:tcW w:w="1080" w:type="dxa"/>
            <w:vMerge w:val="continue"/>
            <w:tcBorders>
              <w:left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p>
        </w:tc>
        <w:tc>
          <w:tcPr>
            <w:tcW w:w="1080" w:type="dxa"/>
            <w:vMerge w:val="continue"/>
            <w:tcBorders>
              <w:left w:val="nil"/>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p>
        </w:tc>
        <w:tc>
          <w:tcPr>
            <w:tcW w:w="1080" w:type="dxa"/>
            <w:vMerge w:val="restart"/>
            <w:tcBorders>
              <w:top w:val="nil"/>
              <w:left w:val="nil"/>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成本指标</w:t>
            </w:r>
          </w:p>
        </w:tc>
        <w:tc>
          <w:tcPr>
            <w:tcW w:w="122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食品抽检控制成本</w:t>
            </w:r>
          </w:p>
        </w:tc>
        <w:tc>
          <w:tcPr>
            <w:tcW w:w="113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lang w:val="en-US" w:eastAsia="zh-CN"/>
              </w:rPr>
              <w:t>600元/批次</w:t>
            </w:r>
          </w:p>
        </w:tc>
        <w:tc>
          <w:tcPr>
            <w:tcW w:w="113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lang w:val="en-US" w:eastAsia="zh-CN"/>
              </w:rPr>
              <w:t>540元/批次</w:t>
            </w:r>
          </w:p>
        </w:tc>
        <w:tc>
          <w:tcPr>
            <w:tcW w:w="828"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lang w:val="en-US" w:eastAsia="zh-CN"/>
              </w:rPr>
              <w:t>10</w:t>
            </w:r>
          </w:p>
        </w:tc>
        <w:tc>
          <w:tcPr>
            <w:tcW w:w="873"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lang w:val="en-US" w:eastAsia="zh-CN"/>
              </w:rPr>
              <w:t>10</w:t>
            </w:r>
          </w:p>
        </w:tc>
        <w:tc>
          <w:tcPr>
            <w:tcW w:w="1418"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eastAsia="zh-CN"/>
              </w:rPr>
              <w:t>其中全检</w:t>
            </w:r>
            <w:r>
              <w:rPr>
                <w:rFonts w:hint="eastAsia" w:ascii="仿宋_GB2312" w:hAnsi="仿宋_GB2312" w:eastAsia="仿宋_GB2312" w:cs="仿宋_GB2312"/>
                <w:color w:val="000000"/>
                <w:sz w:val="20"/>
                <w:szCs w:val="20"/>
                <w:highlight w:val="none"/>
                <w:lang w:val="en-US" w:eastAsia="zh-CN"/>
              </w:rPr>
              <w:t>30批次，3000元/批次。</w:t>
            </w:r>
          </w:p>
        </w:tc>
      </w:tr>
      <w:tr>
        <w:tblPrEx>
          <w:tblCellMar>
            <w:top w:w="0" w:type="dxa"/>
            <w:left w:w="108" w:type="dxa"/>
            <w:bottom w:w="0" w:type="dxa"/>
            <w:right w:w="108" w:type="dxa"/>
          </w:tblCellMar>
        </w:tblPrEx>
        <w:trPr>
          <w:jc w:val="center"/>
        </w:trPr>
        <w:tc>
          <w:tcPr>
            <w:tcW w:w="1080" w:type="dxa"/>
            <w:vMerge w:val="continue"/>
            <w:tcBorders>
              <w:left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p>
        </w:tc>
        <w:tc>
          <w:tcPr>
            <w:tcW w:w="1080" w:type="dxa"/>
            <w:vMerge w:val="continue"/>
            <w:tcBorders>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p>
        </w:tc>
        <w:tc>
          <w:tcPr>
            <w:tcW w:w="1080" w:type="dxa"/>
            <w:vMerge w:val="continue"/>
            <w:tcBorders>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p>
        </w:tc>
        <w:tc>
          <w:tcPr>
            <w:tcW w:w="122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w:t>
            </w:r>
          </w:p>
        </w:tc>
        <w:tc>
          <w:tcPr>
            <w:tcW w:w="113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p>
        </w:tc>
        <w:tc>
          <w:tcPr>
            <w:tcW w:w="113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p>
        </w:tc>
        <w:tc>
          <w:tcPr>
            <w:tcW w:w="828"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p>
        </w:tc>
        <w:tc>
          <w:tcPr>
            <w:tcW w:w="873"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p>
        </w:tc>
        <w:tc>
          <w:tcPr>
            <w:tcW w:w="1418"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r>
      <w:tr>
        <w:tblPrEx>
          <w:tblCellMar>
            <w:top w:w="0" w:type="dxa"/>
            <w:left w:w="108" w:type="dxa"/>
            <w:bottom w:w="0" w:type="dxa"/>
            <w:right w:w="108" w:type="dxa"/>
          </w:tblCellMar>
        </w:tblPrEx>
        <w:trPr>
          <w:jc w:val="center"/>
        </w:trPr>
        <w:tc>
          <w:tcPr>
            <w:tcW w:w="1080" w:type="dxa"/>
            <w:vMerge w:val="continue"/>
            <w:tcBorders>
              <w:left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p>
        </w:tc>
        <w:tc>
          <w:tcPr>
            <w:tcW w:w="1080" w:type="dxa"/>
            <w:vMerge w:val="restart"/>
            <w:tcBorders>
              <w:top w:val="nil"/>
              <w:left w:val="nil"/>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效益指标</w:t>
            </w:r>
          </w:p>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p>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（30分）</w:t>
            </w:r>
          </w:p>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p>
        </w:tc>
        <w:tc>
          <w:tcPr>
            <w:tcW w:w="1080" w:type="dxa"/>
            <w:vMerge w:val="restart"/>
            <w:tcBorders>
              <w:top w:val="nil"/>
              <w:left w:val="nil"/>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经济效</w:t>
            </w:r>
          </w:p>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益指标</w:t>
            </w:r>
          </w:p>
        </w:tc>
        <w:tc>
          <w:tcPr>
            <w:tcW w:w="122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p>
        </w:tc>
        <w:tc>
          <w:tcPr>
            <w:tcW w:w="113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p>
        </w:tc>
        <w:tc>
          <w:tcPr>
            <w:tcW w:w="113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p>
        </w:tc>
        <w:tc>
          <w:tcPr>
            <w:tcW w:w="828"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p>
        </w:tc>
        <w:tc>
          <w:tcPr>
            <w:tcW w:w="873"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p>
        </w:tc>
        <w:tc>
          <w:tcPr>
            <w:tcW w:w="1418"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r>
      <w:tr>
        <w:tblPrEx>
          <w:tblCellMar>
            <w:top w:w="0" w:type="dxa"/>
            <w:left w:w="108" w:type="dxa"/>
            <w:bottom w:w="0" w:type="dxa"/>
            <w:right w:w="108" w:type="dxa"/>
          </w:tblCellMar>
        </w:tblPrEx>
        <w:trPr>
          <w:jc w:val="center"/>
        </w:trPr>
        <w:tc>
          <w:tcPr>
            <w:tcW w:w="1080" w:type="dxa"/>
            <w:vMerge w:val="continue"/>
            <w:tcBorders>
              <w:left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p>
        </w:tc>
        <w:tc>
          <w:tcPr>
            <w:tcW w:w="1080" w:type="dxa"/>
            <w:vMerge w:val="continue"/>
            <w:tcBorders>
              <w:left w:val="nil"/>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p>
        </w:tc>
        <w:tc>
          <w:tcPr>
            <w:tcW w:w="1080" w:type="dxa"/>
            <w:vMerge w:val="continue"/>
            <w:tcBorders>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p>
        </w:tc>
        <w:tc>
          <w:tcPr>
            <w:tcW w:w="122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w:t>
            </w:r>
          </w:p>
        </w:tc>
        <w:tc>
          <w:tcPr>
            <w:tcW w:w="113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p>
        </w:tc>
        <w:tc>
          <w:tcPr>
            <w:tcW w:w="113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p>
        </w:tc>
        <w:tc>
          <w:tcPr>
            <w:tcW w:w="828"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p>
        </w:tc>
        <w:tc>
          <w:tcPr>
            <w:tcW w:w="873"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p>
        </w:tc>
        <w:tc>
          <w:tcPr>
            <w:tcW w:w="1418"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r>
      <w:tr>
        <w:tblPrEx>
          <w:tblCellMar>
            <w:top w:w="0" w:type="dxa"/>
            <w:left w:w="108" w:type="dxa"/>
            <w:bottom w:w="0" w:type="dxa"/>
            <w:right w:w="108" w:type="dxa"/>
          </w:tblCellMar>
        </w:tblPrEx>
        <w:trPr>
          <w:jc w:val="center"/>
        </w:trPr>
        <w:tc>
          <w:tcPr>
            <w:tcW w:w="1080" w:type="dxa"/>
            <w:vMerge w:val="continue"/>
            <w:tcBorders>
              <w:left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p>
        </w:tc>
        <w:tc>
          <w:tcPr>
            <w:tcW w:w="1080" w:type="dxa"/>
            <w:vMerge w:val="continue"/>
            <w:tcBorders>
              <w:left w:val="nil"/>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p>
        </w:tc>
        <w:tc>
          <w:tcPr>
            <w:tcW w:w="1080" w:type="dxa"/>
            <w:vMerge w:val="restart"/>
            <w:tcBorders>
              <w:top w:val="nil"/>
              <w:left w:val="nil"/>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社会效</w:t>
            </w:r>
          </w:p>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益指标</w:t>
            </w:r>
          </w:p>
        </w:tc>
        <w:tc>
          <w:tcPr>
            <w:tcW w:w="122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食品抽检合格率</w:t>
            </w:r>
          </w:p>
        </w:tc>
        <w:tc>
          <w:tcPr>
            <w:tcW w:w="113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rPr>
              <w:t>≥</w:t>
            </w:r>
            <w:r>
              <w:rPr>
                <w:rFonts w:hint="eastAsia" w:ascii="仿宋_GB2312" w:hAnsi="仿宋_GB2312" w:eastAsia="仿宋_GB2312" w:cs="仿宋_GB2312"/>
                <w:color w:val="000000"/>
                <w:sz w:val="20"/>
                <w:szCs w:val="20"/>
                <w:highlight w:val="none"/>
                <w:lang w:val="en-US" w:eastAsia="zh-CN"/>
              </w:rPr>
              <w:t>95%</w:t>
            </w:r>
          </w:p>
        </w:tc>
        <w:tc>
          <w:tcPr>
            <w:tcW w:w="113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kern w:val="0"/>
                <w:sz w:val="20"/>
                <w:szCs w:val="20"/>
                <w:highlight w:val="none"/>
                <w:lang w:val="en-US" w:eastAsia="zh-CN" w:bidi="ar-SA"/>
              </w:rPr>
            </w:pPr>
            <w:r>
              <w:rPr>
                <w:rFonts w:hint="eastAsia" w:ascii="仿宋_GB2312" w:hAnsi="仿宋_GB2312" w:eastAsia="仿宋_GB2312" w:cs="仿宋_GB2312"/>
                <w:color w:val="000000"/>
                <w:sz w:val="20"/>
                <w:szCs w:val="20"/>
                <w:highlight w:val="none"/>
              </w:rPr>
              <w:t>≥</w:t>
            </w:r>
            <w:r>
              <w:rPr>
                <w:rFonts w:hint="eastAsia" w:ascii="仿宋_GB2312" w:hAnsi="仿宋_GB2312" w:eastAsia="仿宋_GB2312" w:cs="仿宋_GB2312"/>
                <w:color w:val="000000"/>
                <w:sz w:val="20"/>
                <w:szCs w:val="20"/>
                <w:highlight w:val="none"/>
                <w:lang w:val="en-US" w:eastAsia="zh-CN"/>
              </w:rPr>
              <w:t>95%</w:t>
            </w:r>
          </w:p>
        </w:tc>
        <w:tc>
          <w:tcPr>
            <w:tcW w:w="828"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lang w:val="en-US" w:eastAsia="zh-CN"/>
              </w:rPr>
              <w:t>10</w:t>
            </w:r>
          </w:p>
        </w:tc>
        <w:tc>
          <w:tcPr>
            <w:tcW w:w="873"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lang w:val="en-US" w:eastAsia="zh-CN"/>
              </w:rPr>
              <w:t>10</w:t>
            </w:r>
          </w:p>
        </w:tc>
        <w:tc>
          <w:tcPr>
            <w:tcW w:w="1418"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r>
      <w:tr>
        <w:tblPrEx>
          <w:tblCellMar>
            <w:top w:w="0" w:type="dxa"/>
            <w:left w:w="108" w:type="dxa"/>
            <w:bottom w:w="0" w:type="dxa"/>
            <w:right w:w="108" w:type="dxa"/>
          </w:tblCellMar>
        </w:tblPrEx>
        <w:trPr>
          <w:jc w:val="center"/>
        </w:trPr>
        <w:tc>
          <w:tcPr>
            <w:tcW w:w="1080" w:type="dxa"/>
            <w:vMerge w:val="continue"/>
            <w:tcBorders>
              <w:left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p>
        </w:tc>
        <w:tc>
          <w:tcPr>
            <w:tcW w:w="1080" w:type="dxa"/>
            <w:vMerge w:val="continue"/>
            <w:tcBorders>
              <w:left w:val="nil"/>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p>
        </w:tc>
        <w:tc>
          <w:tcPr>
            <w:tcW w:w="1080" w:type="dxa"/>
            <w:vMerge w:val="continue"/>
            <w:tcBorders>
              <w:left w:val="nil"/>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p>
        </w:tc>
        <w:tc>
          <w:tcPr>
            <w:tcW w:w="122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食品市场风险隐患</w:t>
            </w:r>
          </w:p>
        </w:tc>
        <w:tc>
          <w:tcPr>
            <w:tcW w:w="113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lang w:eastAsia="zh-CN"/>
              </w:rPr>
            </w:pPr>
            <w:r>
              <w:rPr>
                <w:rFonts w:hint="eastAsia" w:ascii="仿宋_GB2312" w:hAnsi="仿宋_GB2312" w:eastAsia="仿宋_GB2312" w:cs="仿宋_GB2312"/>
                <w:color w:val="000000"/>
                <w:sz w:val="20"/>
                <w:szCs w:val="20"/>
                <w:highlight w:val="none"/>
                <w:lang w:eastAsia="zh-CN"/>
              </w:rPr>
              <w:t>减少</w:t>
            </w:r>
          </w:p>
        </w:tc>
        <w:tc>
          <w:tcPr>
            <w:tcW w:w="113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kern w:val="0"/>
                <w:sz w:val="20"/>
                <w:szCs w:val="20"/>
                <w:highlight w:val="none"/>
                <w:lang w:val="en-US" w:eastAsia="zh-CN" w:bidi="ar-SA"/>
              </w:rPr>
            </w:pPr>
            <w:r>
              <w:rPr>
                <w:rFonts w:hint="eastAsia" w:ascii="仿宋_GB2312" w:hAnsi="仿宋_GB2312" w:eastAsia="仿宋_GB2312" w:cs="仿宋_GB2312"/>
                <w:color w:val="000000"/>
                <w:sz w:val="20"/>
                <w:szCs w:val="20"/>
                <w:highlight w:val="none"/>
                <w:lang w:eastAsia="zh-CN"/>
              </w:rPr>
              <w:t>减少</w:t>
            </w:r>
          </w:p>
        </w:tc>
        <w:tc>
          <w:tcPr>
            <w:tcW w:w="828"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lang w:val="en-US" w:eastAsia="zh-CN"/>
              </w:rPr>
              <w:t>10</w:t>
            </w:r>
          </w:p>
        </w:tc>
        <w:tc>
          <w:tcPr>
            <w:tcW w:w="873"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lang w:val="en-US" w:eastAsia="zh-CN"/>
              </w:rPr>
              <w:t>10</w:t>
            </w:r>
          </w:p>
        </w:tc>
        <w:tc>
          <w:tcPr>
            <w:tcW w:w="1418"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r>
      <w:tr>
        <w:tblPrEx>
          <w:tblCellMar>
            <w:top w:w="0" w:type="dxa"/>
            <w:left w:w="108" w:type="dxa"/>
            <w:bottom w:w="0" w:type="dxa"/>
            <w:right w:w="108" w:type="dxa"/>
          </w:tblCellMar>
        </w:tblPrEx>
        <w:trPr>
          <w:jc w:val="center"/>
        </w:trPr>
        <w:tc>
          <w:tcPr>
            <w:tcW w:w="1080" w:type="dxa"/>
            <w:vMerge w:val="continue"/>
            <w:tcBorders>
              <w:left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p>
        </w:tc>
        <w:tc>
          <w:tcPr>
            <w:tcW w:w="1080" w:type="dxa"/>
            <w:vMerge w:val="continue"/>
            <w:tcBorders>
              <w:left w:val="nil"/>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p>
        </w:tc>
        <w:tc>
          <w:tcPr>
            <w:tcW w:w="1080" w:type="dxa"/>
            <w:vMerge w:val="continue"/>
            <w:tcBorders>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p>
        </w:tc>
        <w:tc>
          <w:tcPr>
            <w:tcW w:w="122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w:t>
            </w:r>
          </w:p>
        </w:tc>
        <w:tc>
          <w:tcPr>
            <w:tcW w:w="113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p>
        </w:tc>
        <w:tc>
          <w:tcPr>
            <w:tcW w:w="113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kern w:val="0"/>
                <w:sz w:val="20"/>
                <w:szCs w:val="20"/>
                <w:highlight w:val="none"/>
                <w:lang w:val="en-US" w:eastAsia="zh-CN" w:bidi="ar-SA"/>
              </w:rPr>
            </w:pPr>
          </w:p>
        </w:tc>
        <w:tc>
          <w:tcPr>
            <w:tcW w:w="828"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p>
        </w:tc>
        <w:tc>
          <w:tcPr>
            <w:tcW w:w="873"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p>
        </w:tc>
        <w:tc>
          <w:tcPr>
            <w:tcW w:w="1418"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r>
      <w:tr>
        <w:tblPrEx>
          <w:tblCellMar>
            <w:top w:w="0" w:type="dxa"/>
            <w:left w:w="108" w:type="dxa"/>
            <w:bottom w:w="0" w:type="dxa"/>
            <w:right w:w="108" w:type="dxa"/>
          </w:tblCellMar>
        </w:tblPrEx>
        <w:trPr>
          <w:jc w:val="center"/>
        </w:trPr>
        <w:tc>
          <w:tcPr>
            <w:tcW w:w="1080" w:type="dxa"/>
            <w:vMerge w:val="continue"/>
            <w:tcBorders>
              <w:left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p>
        </w:tc>
        <w:tc>
          <w:tcPr>
            <w:tcW w:w="1080" w:type="dxa"/>
            <w:vMerge w:val="continue"/>
            <w:tcBorders>
              <w:left w:val="nil"/>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p>
        </w:tc>
        <w:tc>
          <w:tcPr>
            <w:tcW w:w="1080" w:type="dxa"/>
            <w:vMerge w:val="restart"/>
            <w:tcBorders>
              <w:top w:val="nil"/>
              <w:left w:val="nil"/>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生态效</w:t>
            </w:r>
          </w:p>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益指标</w:t>
            </w:r>
          </w:p>
        </w:tc>
        <w:tc>
          <w:tcPr>
            <w:tcW w:w="122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p>
        </w:tc>
        <w:tc>
          <w:tcPr>
            <w:tcW w:w="113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p>
        </w:tc>
        <w:tc>
          <w:tcPr>
            <w:tcW w:w="113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kern w:val="0"/>
                <w:sz w:val="20"/>
                <w:szCs w:val="20"/>
                <w:highlight w:val="none"/>
                <w:lang w:val="en-US" w:eastAsia="zh-CN" w:bidi="ar-SA"/>
              </w:rPr>
            </w:pPr>
          </w:p>
        </w:tc>
        <w:tc>
          <w:tcPr>
            <w:tcW w:w="828"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p>
        </w:tc>
        <w:tc>
          <w:tcPr>
            <w:tcW w:w="873"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p>
        </w:tc>
        <w:tc>
          <w:tcPr>
            <w:tcW w:w="1418"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r>
      <w:tr>
        <w:tblPrEx>
          <w:tblCellMar>
            <w:top w:w="0" w:type="dxa"/>
            <w:left w:w="108" w:type="dxa"/>
            <w:bottom w:w="0" w:type="dxa"/>
            <w:right w:w="108" w:type="dxa"/>
          </w:tblCellMar>
        </w:tblPrEx>
        <w:trPr>
          <w:jc w:val="center"/>
        </w:trPr>
        <w:tc>
          <w:tcPr>
            <w:tcW w:w="1080" w:type="dxa"/>
            <w:vMerge w:val="continue"/>
            <w:tcBorders>
              <w:left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p>
        </w:tc>
        <w:tc>
          <w:tcPr>
            <w:tcW w:w="1080" w:type="dxa"/>
            <w:vMerge w:val="continue"/>
            <w:tcBorders>
              <w:left w:val="nil"/>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p>
        </w:tc>
        <w:tc>
          <w:tcPr>
            <w:tcW w:w="1080" w:type="dxa"/>
            <w:vMerge w:val="continue"/>
            <w:tcBorders>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p>
        </w:tc>
        <w:tc>
          <w:tcPr>
            <w:tcW w:w="122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w:t>
            </w:r>
          </w:p>
        </w:tc>
        <w:tc>
          <w:tcPr>
            <w:tcW w:w="113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p>
        </w:tc>
        <w:tc>
          <w:tcPr>
            <w:tcW w:w="113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kern w:val="0"/>
                <w:sz w:val="20"/>
                <w:szCs w:val="20"/>
                <w:highlight w:val="none"/>
                <w:lang w:val="en-US" w:eastAsia="zh-CN" w:bidi="ar-SA"/>
              </w:rPr>
            </w:pPr>
          </w:p>
        </w:tc>
        <w:tc>
          <w:tcPr>
            <w:tcW w:w="828"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p>
        </w:tc>
        <w:tc>
          <w:tcPr>
            <w:tcW w:w="873"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p>
        </w:tc>
        <w:tc>
          <w:tcPr>
            <w:tcW w:w="1418"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r>
      <w:tr>
        <w:tblPrEx>
          <w:tblCellMar>
            <w:top w:w="0" w:type="dxa"/>
            <w:left w:w="108" w:type="dxa"/>
            <w:bottom w:w="0" w:type="dxa"/>
            <w:right w:w="108" w:type="dxa"/>
          </w:tblCellMar>
        </w:tblPrEx>
        <w:trPr>
          <w:jc w:val="center"/>
        </w:trPr>
        <w:tc>
          <w:tcPr>
            <w:tcW w:w="1080" w:type="dxa"/>
            <w:vMerge w:val="continue"/>
            <w:tcBorders>
              <w:left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p>
        </w:tc>
        <w:tc>
          <w:tcPr>
            <w:tcW w:w="1080" w:type="dxa"/>
            <w:vMerge w:val="continue"/>
            <w:tcBorders>
              <w:left w:val="nil"/>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p>
        </w:tc>
        <w:tc>
          <w:tcPr>
            <w:tcW w:w="1080" w:type="dxa"/>
            <w:vMerge w:val="restart"/>
            <w:tcBorders>
              <w:top w:val="single" w:color="auto" w:sz="4" w:space="0"/>
              <w:left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可持续影响指标</w:t>
            </w:r>
          </w:p>
        </w:tc>
        <w:tc>
          <w:tcPr>
            <w:tcW w:w="1224"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食品抽检工作机制</w:t>
            </w:r>
          </w:p>
        </w:tc>
        <w:tc>
          <w:tcPr>
            <w:tcW w:w="1134"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lang w:eastAsia="zh-CN"/>
              </w:rPr>
            </w:pPr>
            <w:r>
              <w:rPr>
                <w:rFonts w:hint="eastAsia" w:ascii="仿宋_GB2312" w:hAnsi="仿宋_GB2312" w:eastAsia="仿宋_GB2312" w:cs="仿宋_GB2312"/>
                <w:color w:val="000000"/>
                <w:sz w:val="20"/>
                <w:szCs w:val="20"/>
                <w:highlight w:val="none"/>
                <w:lang w:eastAsia="zh-CN"/>
              </w:rPr>
              <w:t>长期</w:t>
            </w:r>
          </w:p>
        </w:tc>
        <w:tc>
          <w:tcPr>
            <w:tcW w:w="1134"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kern w:val="0"/>
                <w:sz w:val="20"/>
                <w:szCs w:val="20"/>
                <w:highlight w:val="none"/>
                <w:lang w:val="en-US" w:eastAsia="zh-CN" w:bidi="ar-SA"/>
              </w:rPr>
            </w:pPr>
            <w:r>
              <w:rPr>
                <w:rFonts w:hint="eastAsia" w:ascii="仿宋_GB2312" w:hAnsi="仿宋_GB2312" w:eastAsia="仿宋_GB2312" w:cs="仿宋_GB2312"/>
                <w:color w:val="000000"/>
                <w:sz w:val="20"/>
                <w:szCs w:val="20"/>
                <w:highlight w:val="none"/>
                <w:lang w:eastAsia="zh-CN"/>
              </w:rPr>
              <w:t>长期</w:t>
            </w:r>
          </w:p>
        </w:tc>
        <w:tc>
          <w:tcPr>
            <w:tcW w:w="828"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kern w:val="0"/>
                <w:sz w:val="20"/>
                <w:szCs w:val="20"/>
                <w:highlight w:val="none"/>
                <w:lang w:val="en-US" w:eastAsia="zh-CN" w:bidi="ar-SA"/>
              </w:rPr>
            </w:pPr>
            <w:r>
              <w:rPr>
                <w:rFonts w:hint="eastAsia" w:ascii="仿宋_GB2312" w:hAnsi="仿宋_GB2312" w:eastAsia="仿宋_GB2312" w:cs="仿宋_GB2312"/>
                <w:color w:val="000000"/>
                <w:sz w:val="20"/>
                <w:szCs w:val="20"/>
                <w:highlight w:val="none"/>
                <w:lang w:val="en-US" w:eastAsia="zh-CN"/>
              </w:rPr>
              <w:t>10</w:t>
            </w:r>
          </w:p>
        </w:tc>
        <w:tc>
          <w:tcPr>
            <w:tcW w:w="873"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kern w:val="0"/>
                <w:sz w:val="20"/>
                <w:szCs w:val="20"/>
                <w:highlight w:val="none"/>
                <w:lang w:val="en-US" w:eastAsia="zh-CN" w:bidi="ar-SA"/>
              </w:rPr>
            </w:pPr>
            <w:r>
              <w:rPr>
                <w:rFonts w:hint="eastAsia" w:ascii="仿宋_GB2312" w:hAnsi="仿宋_GB2312" w:eastAsia="仿宋_GB2312" w:cs="仿宋_GB2312"/>
                <w:color w:val="000000"/>
                <w:sz w:val="20"/>
                <w:szCs w:val="20"/>
                <w:highlight w:val="none"/>
                <w:lang w:val="en-US" w:eastAsia="zh-CN"/>
              </w:rPr>
              <w:t>10</w:t>
            </w:r>
          </w:p>
        </w:tc>
        <w:tc>
          <w:tcPr>
            <w:tcW w:w="1418"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r>
      <w:tr>
        <w:tblPrEx>
          <w:tblCellMar>
            <w:top w:w="0" w:type="dxa"/>
            <w:left w:w="108" w:type="dxa"/>
            <w:bottom w:w="0" w:type="dxa"/>
            <w:right w:w="108" w:type="dxa"/>
          </w:tblCellMar>
        </w:tblPrEx>
        <w:trPr>
          <w:jc w:val="center"/>
        </w:trPr>
        <w:tc>
          <w:tcPr>
            <w:tcW w:w="1080" w:type="dxa"/>
            <w:vMerge w:val="continue"/>
            <w:tcBorders>
              <w:left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p>
        </w:tc>
        <w:tc>
          <w:tcPr>
            <w:tcW w:w="1080" w:type="dxa"/>
            <w:vMerge w:val="continue"/>
            <w:tcBorders>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p>
        </w:tc>
        <w:tc>
          <w:tcPr>
            <w:tcW w:w="1080" w:type="dxa"/>
            <w:vMerge w:val="continue"/>
            <w:tcBorders>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p>
        </w:tc>
        <w:tc>
          <w:tcPr>
            <w:tcW w:w="122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w:t>
            </w:r>
          </w:p>
        </w:tc>
        <w:tc>
          <w:tcPr>
            <w:tcW w:w="113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p>
        </w:tc>
        <w:tc>
          <w:tcPr>
            <w:tcW w:w="113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p>
        </w:tc>
        <w:tc>
          <w:tcPr>
            <w:tcW w:w="828"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p>
        </w:tc>
        <w:tc>
          <w:tcPr>
            <w:tcW w:w="873"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p>
        </w:tc>
        <w:tc>
          <w:tcPr>
            <w:tcW w:w="1418"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r>
      <w:tr>
        <w:tblPrEx>
          <w:tblCellMar>
            <w:top w:w="0" w:type="dxa"/>
            <w:left w:w="108" w:type="dxa"/>
            <w:bottom w:w="0" w:type="dxa"/>
            <w:right w:w="108" w:type="dxa"/>
          </w:tblCellMar>
        </w:tblPrEx>
        <w:trPr>
          <w:jc w:val="center"/>
        </w:trPr>
        <w:tc>
          <w:tcPr>
            <w:tcW w:w="1080" w:type="dxa"/>
            <w:vMerge w:val="continue"/>
            <w:tcBorders>
              <w:left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p>
        </w:tc>
        <w:tc>
          <w:tcPr>
            <w:tcW w:w="1080" w:type="dxa"/>
            <w:vMerge w:val="restart"/>
            <w:tcBorders>
              <w:top w:val="nil"/>
              <w:left w:val="nil"/>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满意度</w:t>
            </w:r>
          </w:p>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指标</w:t>
            </w:r>
          </w:p>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（10分）</w:t>
            </w:r>
          </w:p>
        </w:tc>
        <w:tc>
          <w:tcPr>
            <w:tcW w:w="1080" w:type="dxa"/>
            <w:vMerge w:val="restart"/>
            <w:tcBorders>
              <w:top w:val="nil"/>
              <w:left w:val="nil"/>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服务对象满意度指标</w:t>
            </w:r>
          </w:p>
        </w:tc>
        <w:tc>
          <w:tcPr>
            <w:tcW w:w="122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抽检工作满意度</w:t>
            </w:r>
          </w:p>
        </w:tc>
        <w:tc>
          <w:tcPr>
            <w:tcW w:w="113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w:t>
            </w:r>
            <w:r>
              <w:rPr>
                <w:rFonts w:hint="eastAsia" w:ascii="仿宋_GB2312" w:hAnsi="仿宋_GB2312" w:eastAsia="仿宋_GB2312" w:cs="仿宋_GB2312"/>
                <w:color w:val="000000"/>
                <w:sz w:val="20"/>
                <w:szCs w:val="20"/>
                <w:highlight w:val="none"/>
                <w:lang w:val="en-US" w:eastAsia="zh-CN"/>
              </w:rPr>
              <w:t>90%</w:t>
            </w:r>
          </w:p>
        </w:tc>
        <w:tc>
          <w:tcPr>
            <w:tcW w:w="113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p>
        </w:tc>
        <w:tc>
          <w:tcPr>
            <w:tcW w:w="828"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lang w:val="en-US" w:eastAsia="zh-CN"/>
              </w:rPr>
              <w:t>15</w:t>
            </w:r>
          </w:p>
        </w:tc>
        <w:tc>
          <w:tcPr>
            <w:tcW w:w="873"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lang w:val="en-US" w:eastAsia="zh-CN"/>
              </w:rPr>
              <w:t>15</w:t>
            </w:r>
          </w:p>
        </w:tc>
        <w:tc>
          <w:tcPr>
            <w:tcW w:w="1418"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r>
      <w:tr>
        <w:tblPrEx>
          <w:tblCellMar>
            <w:top w:w="0" w:type="dxa"/>
            <w:left w:w="108" w:type="dxa"/>
            <w:bottom w:w="0" w:type="dxa"/>
            <w:right w:w="108" w:type="dxa"/>
          </w:tblCellMar>
        </w:tblPrEx>
        <w:trPr>
          <w:jc w:val="center"/>
        </w:trPr>
        <w:tc>
          <w:tcPr>
            <w:tcW w:w="1080" w:type="dxa"/>
            <w:vMerge w:val="continue"/>
            <w:tcBorders>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p>
        </w:tc>
        <w:tc>
          <w:tcPr>
            <w:tcW w:w="1080" w:type="dxa"/>
            <w:vMerge w:val="continue"/>
            <w:tcBorders>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p>
        </w:tc>
        <w:tc>
          <w:tcPr>
            <w:tcW w:w="1080" w:type="dxa"/>
            <w:vMerge w:val="continue"/>
            <w:tcBorders>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p>
        </w:tc>
        <w:tc>
          <w:tcPr>
            <w:tcW w:w="122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w:t>
            </w:r>
          </w:p>
        </w:tc>
        <w:tc>
          <w:tcPr>
            <w:tcW w:w="113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p>
        </w:tc>
        <w:tc>
          <w:tcPr>
            <w:tcW w:w="113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p>
        </w:tc>
        <w:tc>
          <w:tcPr>
            <w:tcW w:w="828"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p>
        </w:tc>
        <w:tc>
          <w:tcPr>
            <w:tcW w:w="873"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p>
        </w:tc>
        <w:tc>
          <w:tcPr>
            <w:tcW w:w="1418"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r>
      <w:tr>
        <w:tblPrEx>
          <w:tblCellMar>
            <w:top w:w="0" w:type="dxa"/>
            <w:left w:w="108" w:type="dxa"/>
            <w:bottom w:w="0" w:type="dxa"/>
            <w:right w:w="108" w:type="dxa"/>
          </w:tblCellMar>
        </w:tblPrEx>
        <w:trPr>
          <w:jc w:val="center"/>
        </w:trPr>
        <w:tc>
          <w:tcPr>
            <w:tcW w:w="6732" w:type="dxa"/>
            <w:gridSpan w:val="6"/>
            <w:tcBorders>
              <w:top w:val="single" w:color="auto" w:sz="4" w:space="0"/>
              <w:left w:val="single" w:color="auto" w:sz="4" w:space="0"/>
              <w:bottom w:val="single" w:color="auto" w:sz="4" w:space="0"/>
              <w:right w:val="single" w:color="000000"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总分</w:t>
            </w:r>
          </w:p>
        </w:tc>
        <w:tc>
          <w:tcPr>
            <w:tcW w:w="828"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100</w:t>
            </w:r>
          </w:p>
        </w:tc>
        <w:tc>
          <w:tcPr>
            <w:tcW w:w="873"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val="en-US" w:eastAsia="zh-CN"/>
              </w:rPr>
              <w:t>95.5</w:t>
            </w:r>
          </w:p>
        </w:tc>
        <w:tc>
          <w:tcPr>
            <w:tcW w:w="1418"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r>
    </w:tbl>
    <w:p>
      <w:pPr>
        <w:rPr>
          <w:rFonts w:hint="default" w:ascii="Times New Roman" w:hAnsi="Times New Roman" w:eastAsia="仿宋_GB2312" w:cs="Times New Roman"/>
          <w:sz w:val="18"/>
          <w:szCs w:val="18"/>
          <w:highlight w:val="none"/>
        </w:rPr>
      </w:pPr>
    </w:p>
    <w:p>
      <w:pPr>
        <w:rPr>
          <w:rFonts w:hint="default" w:ascii="Times New Roman" w:hAnsi="Times New Roman" w:eastAsia="仿宋_GB2312" w:cs="Times New Roman"/>
          <w:szCs w:val="21"/>
          <w:highlight w:val="none"/>
        </w:rPr>
      </w:pPr>
      <w:r>
        <w:rPr>
          <w:rFonts w:hint="default" w:ascii="Times New Roman" w:hAnsi="Times New Roman" w:eastAsia="仿宋_GB2312" w:cs="Times New Roman"/>
          <w:sz w:val="18"/>
          <w:szCs w:val="18"/>
          <w:highlight w:val="none"/>
        </w:rPr>
        <w:t>备注：一个一级项目支出一张表。</w:t>
      </w:r>
      <w:r>
        <w:rPr>
          <w:rFonts w:hint="eastAsia" w:ascii="Times New Roman" w:hAnsi="Times New Roman" w:eastAsia="仿宋_GB2312" w:cs="Times New Roman"/>
          <w:sz w:val="18"/>
          <w:szCs w:val="18"/>
          <w:highlight w:val="none"/>
          <w:lang w:eastAsia="zh-CN"/>
        </w:rPr>
        <w:t>如，</w:t>
      </w:r>
      <w:r>
        <w:rPr>
          <w:rFonts w:hint="default" w:ascii="Times New Roman" w:hAnsi="Times New Roman" w:eastAsia="仿宋_GB2312" w:cs="Times New Roman"/>
          <w:sz w:val="18"/>
          <w:szCs w:val="18"/>
          <w:highlight w:val="none"/>
        </w:rPr>
        <w:t>业务工作经费</w:t>
      </w:r>
      <w:r>
        <w:rPr>
          <w:rFonts w:hint="eastAsia" w:ascii="Times New Roman" w:hAnsi="Times New Roman" w:eastAsia="仿宋_GB2312" w:cs="Times New Roman"/>
          <w:sz w:val="18"/>
          <w:szCs w:val="18"/>
          <w:highlight w:val="none"/>
          <w:lang w:eastAsia="zh-CN"/>
        </w:rPr>
        <w:t>，</w:t>
      </w:r>
      <w:r>
        <w:rPr>
          <w:rFonts w:hint="default" w:ascii="Times New Roman" w:hAnsi="Times New Roman" w:eastAsia="仿宋_GB2312" w:cs="Times New Roman"/>
          <w:sz w:val="18"/>
          <w:szCs w:val="18"/>
          <w:highlight w:val="none"/>
        </w:rPr>
        <w:t>运行维护经费</w:t>
      </w:r>
      <w:r>
        <w:rPr>
          <w:rFonts w:hint="eastAsia" w:ascii="Times New Roman" w:hAnsi="Times New Roman" w:eastAsia="仿宋_GB2312" w:cs="Times New Roman"/>
          <w:sz w:val="18"/>
          <w:szCs w:val="18"/>
          <w:highlight w:val="none"/>
          <w:lang w:eastAsia="zh-CN"/>
        </w:rPr>
        <w:t>，其他事业发展类资金…各一张表。</w:t>
      </w:r>
    </w:p>
    <w:p>
      <w:pPr>
        <w:widowControl/>
        <w:spacing w:after="0" w:afterLines="0" w:line="400" w:lineRule="exact"/>
        <w:jc w:val="left"/>
        <w:rPr>
          <w:rFonts w:hint="eastAsia" w:ascii="Times New Roman" w:hAnsi="Times New Roman" w:eastAsia="仿宋_GB2312" w:cs="Times New Roman"/>
          <w:sz w:val="22"/>
          <w:highlight w:val="none"/>
          <w:lang w:val="en-US" w:eastAsia="zh-CN"/>
        </w:rPr>
      </w:pPr>
      <w:r>
        <w:rPr>
          <w:rFonts w:hint="default" w:ascii="Times New Roman" w:hAnsi="Times New Roman" w:eastAsia="仿宋_GB2312" w:cs="Times New Roman"/>
          <w:sz w:val="22"/>
          <w:highlight w:val="none"/>
        </w:rPr>
        <w:t>填表人：</w:t>
      </w:r>
      <w:r>
        <w:rPr>
          <w:rFonts w:hint="eastAsia" w:ascii="Times New Roman" w:hAnsi="Times New Roman" w:eastAsia="仿宋_GB2312" w:cs="Times New Roman"/>
          <w:sz w:val="22"/>
          <w:highlight w:val="none"/>
          <w:lang w:eastAsia="zh-CN"/>
        </w:rPr>
        <w:t>万小会</w:t>
      </w:r>
      <w:r>
        <w:rPr>
          <w:rFonts w:hint="default" w:ascii="Times New Roman" w:hAnsi="Times New Roman" w:eastAsia="仿宋_GB2312" w:cs="Times New Roman"/>
          <w:sz w:val="22"/>
          <w:highlight w:val="none"/>
        </w:rPr>
        <w:t xml:space="preserve">  </w:t>
      </w:r>
      <w:r>
        <w:rPr>
          <w:rFonts w:hint="eastAsia" w:ascii="Times New Roman" w:hAnsi="Times New Roman" w:eastAsia="仿宋_GB2312" w:cs="Times New Roman"/>
          <w:sz w:val="22"/>
          <w:highlight w:val="none"/>
          <w:lang w:val="en-US" w:eastAsia="zh-CN"/>
        </w:rPr>
        <w:t xml:space="preserve">       </w:t>
      </w:r>
      <w:r>
        <w:rPr>
          <w:rFonts w:hint="default" w:ascii="Times New Roman" w:hAnsi="Times New Roman" w:eastAsia="仿宋_GB2312" w:cs="Times New Roman"/>
          <w:sz w:val="22"/>
          <w:highlight w:val="none"/>
        </w:rPr>
        <w:t>填报日期：</w:t>
      </w:r>
      <w:r>
        <w:rPr>
          <w:rFonts w:hint="eastAsia" w:ascii="Times New Roman" w:hAnsi="Times New Roman" w:eastAsia="仿宋_GB2312" w:cs="Times New Roman"/>
          <w:sz w:val="22"/>
          <w:highlight w:val="none"/>
          <w:lang w:val="en-US" w:eastAsia="zh-CN"/>
        </w:rPr>
        <w:t>2024年6月20日</w:t>
      </w:r>
      <w:r>
        <w:rPr>
          <w:rFonts w:hint="default" w:ascii="Times New Roman" w:hAnsi="Times New Roman" w:eastAsia="仿宋_GB2312" w:cs="Times New Roman"/>
          <w:sz w:val="22"/>
          <w:highlight w:val="none"/>
        </w:rPr>
        <w:t xml:space="preserve"> </w:t>
      </w:r>
      <w:r>
        <w:rPr>
          <w:rFonts w:hint="eastAsia" w:ascii="Times New Roman" w:hAnsi="Times New Roman" w:eastAsia="仿宋_GB2312" w:cs="Times New Roman"/>
          <w:sz w:val="22"/>
          <w:highlight w:val="none"/>
          <w:lang w:val="en-US" w:eastAsia="zh-CN"/>
        </w:rPr>
        <w:t xml:space="preserve">      </w:t>
      </w:r>
      <w:r>
        <w:rPr>
          <w:rFonts w:hint="default" w:ascii="Times New Roman" w:hAnsi="Times New Roman" w:eastAsia="仿宋_GB2312" w:cs="Times New Roman"/>
          <w:sz w:val="22"/>
          <w:highlight w:val="none"/>
        </w:rPr>
        <w:t>联系电话：</w:t>
      </w:r>
      <w:r>
        <w:rPr>
          <w:rFonts w:hint="eastAsia" w:ascii="Times New Roman" w:hAnsi="Times New Roman" w:eastAsia="仿宋_GB2312" w:cs="Times New Roman"/>
          <w:sz w:val="22"/>
          <w:highlight w:val="none"/>
          <w:lang w:val="en-US" w:eastAsia="zh-CN"/>
        </w:rPr>
        <w:t>13975096846</w:t>
      </w:r>
    </w:p>
    <w:p>
      <w:pPr>
        <w:rPr>
          <w:rFonts w:hint="eastAsia" w:ascii="黑体" w:hAnsi="黑体" w:eastAsia="黑体" w:cs="黑体"/>
          <w:sz w:val="32"/>
          <w:szCs w:val="32"/>
          <w:highlight w:val="none"/>
          <w:lang w:val="en-US" w:eastAsia="zh-CN"/>
        </w:rPr>
      </w:pPr>
      <w:r>
        <w:rPr>
          <w:rFonts w:hint="default" w:ascii="Times New Roman" w:hAnsi="Times New Roman" w:eastAsia="仿宋_GB2312" w:cs="Times New Roman"/>
          <w:sz w:val="22"/>
          <w:highlight w:val="none"/>
        </w:rPr>
        <w:t>单位负责人签字：</w:t>
      </w:r>
      <w:r>
        <w:rPr>
          <w:rFonts w:hint="default" w:ascii="Times New Roman" w:hAnsi="Times New Roman" w:eastAsia="仿宋_GB2312" w:cs="Times New Roman"/>
          <w:sz w:val="22"/>
          <w:highlight w:val="none"/>
        </w:rPr>
        <w:br w:type="page"/>
      </w:r>
      <w:r>
        <w:rPr>
          <w:rFonts w:hint="eastAsia" w:ascii="黑体" w:hAnsi="黑体" w:eastAsia="黑体" w:cs="黑体"/>
          <w:sz w:val="32"/>
          <w:szCs w:val="32"/>
          <w:highlight w:val="none"/>
        </w:rPr>
        <w:t>附件</w:t>
      </w:r>
      <w:r>
        <w:rPr>
          <w:rFonts w:hint="eastAsia" w:ascii="黑体" w:hAnsi="黑体" w:eastAsia="黑体" w:cs="黑体"/>
          <w:sz w:val="32"/>
          <w:szCs w:val="32"/>
          <w:highlight w:val="none"/>
          <w:lang w:val="en-US" w:eastAsia="zh-CN"/>
        </w:rPr>
        <w:t>4</w:t>
      </w:r>
    </w:p>
    <w:p>
      <w:pPr>
        <w:jc w:val="center"/>
        <w:rPr>
          <w:rFonts w:hint="default" w:ascii="Times New Roman" w:hAnsi="Times New Roman" w:eastAsia="方正小标宋_GBK" w:cs="Times New Roman"/>
          <w:sz w:val="52"/>
          <w:szCs w:val="52"/>
          <w:highlight w:val="none"/>
        </w:rPr>
      </w:pPr>
    </w:p>
    <w:p>
      <w:pPr>
        <w:jc w:val="center"/>
        <w:rPr>
          <w:rFonts w:hint="eastAsia" w:ascii="方正小标宋简体" w:hAnsi="方正小标宋简体" w:eastAsia="方正小标宋简体" w:cs="方正小标宋简体"/>
          <w:sz w:val="44"/>
          <w:szCs w:val="44"/>
          <w:highlight w:val="none"/>
          <w:lang w:eastAsia="zh-CN"/>
        </w:rPr>
      </w:pPr>
      <w:r>
        <w:rPr>
          <w:rFonts w:hint="eastAsia" w:ascii="方正小标宋简体" w:hAnsi="方正小标宋简体" w:eastAsia="方正小标宋简体" w:cs="方正小标宋简体"/>
          <w:sz w:val="44"/>
          <w:szCs w:val="44"/>
          <w:highlight w:val="none"/>
        </w:rPr>
        <w:t>202</w:t>
      </w:r>
      <w:r>
        <w:rPr>
          <w:rFonts w:hint="eastAsia" w:ascii="方正小标宋简体" w:hAnsi="方正小标宋简体" w:eastAsia="方正小标宋简体" w:cs="方正小标宋简体"/>
          <w:sz w:val="44"/>
          <w:szCs w:val="44"/>
          <w:highlight w:val="none"/>
          <w:lang w:val="en-US" w:eastAsia="zh-CN"/>
        </w:rPr>
        <w:t>3</w:t>
      </w:r>
      <w:r>
        <w:rPr>
          <w:rFonts w:hint="eastAsia" w:ascii="方正小标宋简体" w:hAnsi="方正小标宋简体" w:eastAsia="方正小标宋简体" w:cs="方正小标宋简体"/>
          <w:sz w:val="44"/>
          <w:szCs w:val="44"/>
          <w:highlight w:val="none"/>
        </w:rPr>
        <w:t>年度</w:t>
      </w:r>
      <w:r>
        <w:rPr>
          <w:rFonts w:hint="eastAsia" w:ascii="方正小标宋简体" w:hAnsi="方正小标宋简体" w:eastAsia="方正小标宋简体" w:cs="方正小标宋简体"/>
          <w:sz w:val="44"/>
          <w:szCs w:val="44"/>
          <w:highlight w:val="none"/>
          <w:lang w:eastAsia="zh-CN"/>
        </w:rPr>
        <w:t>岳阳市君山区市场监督管理局</w:t>
      </w:r>
    </w:p>
    <w:p>
      <w:pPr>
        <w:jc w:val="center"/>
        <w:rPr>
          <w:rFonts w:hint="eastAsia" w:ascii="方正小标宋简体" w:hAnsi="方正小标宋简体" w:eastAsia="方正小标宋简体" w:cs="方正小标宋简体"/>
          <w:sz w:val="44"/>
          <w:szCs w:val="44"/>
          <w:highlight w:val="none"/>
        </w:rPr>
      </w:pPr>
      <w:r>
        <w:rPr>
          <w:rFonts w:hint="eastAsia" w:ascii="方正小标宋简体" w:hAnsi="方正小标宋简体" w:eastAsia="方正小标宋简体" w:cs="方正小标宋简体"/>
          <w:sz w:val="44"/>
          <w:szCs w:val="44"/>
          <w:highlight w:val="none"/>
        </w:rPr>
        <w:t>整体支出绩效自评报告</w:t>
      </w:r>
    </w:p>
    <w:p>
      <w:pPr>
        <w:jc w:val="center"/>
        <w:rPr>
          <w:rFonts w:hint="default" w:ascii="Times New Roman" w:hAnsi="Times New Roman" w:eastAsia="方正小标宋_GBK" w:cs="Times New Roman"/>
          <w:b/>
          <w:sz w:val="52"/>
          <w:szCs w:val="52"/>
          <w:highlight w:val="none"/>
        </w:rPr>
      </w:pPr>
    </w:p>
    <w:p>
      <w:pPr>
        <w:jc w:val="center"/>
        <w:rPr>
          <w:rFonts w:hint="default" w:ascii="Times New Roman" w:hAnsi="Times New Roman" w:eastAsia="楷体_GB2312" w:cs="Times New Roman"/>
          <w:b/>
          <w:sz w:val="32"/>
          <w:szCs w:val="32"/>
          <w:highlight w:val="none"/>
        </w:rPr>
      </w:pPr>
    </w:p>
    <w:p>
      <w:pPr>
        <w:jc w:val="center"/>
        <w:rPr>
          <w:rFonts w:hint="default" w:ascii="Times New Roman" w:hAnsi="Times New Roman" w:eastAsia="楷体_GB2312" w:cs="Times New Roman"/>
          <w:b/>
          <w:sz w:val="32"/>
          <w:szCs w:val="32"/>
          <w:highlight w:val="none"/>
        </w:rPr>
      </w:pPr>
    </w:p>
    <w:p>
      <w:pPr>
        <w:jc w:val="center"/>
        <w:rPr>
          <w:rFonts w:hint="default" w:ascii="Times New Roman" w:hAnsi="Times New Roman" w:eastAsia="楷体_GB2312" w:cs="Times New Roman"/>
          <w:b/>
          <w:sz w:val="32"/>
          <w:szCs w:val="32"/>
          <w:highlight w:val="none"/>
        </w:rPr>
      </w:pPr>
    </w:p>
    <w:p>
      <w:pPr>
        <w:jc w:val="center"/>
        <w:rPr>
          <w:rFonts w:hint="default" w:ascii="Times New Roman" w:hAnsi="Times New Roman" w:eastAsia="楷体_GB2312" w:cs="Times New Roman"/>
          <w:b/>
          <w:sz w:val="32"/>
          <w:szCs w:val="32"/>
          <w:highlight w:val="none"/>
        </w:rPr>
      </w:pPr>
    </w:p>
    <w:p>
      <w:pPr>
        <w:jc w:val="center"/>
        <w:rPr>
          <w:rFonts w:hint="default" w:ascii="Times New Roman" w:hAnsi="Times New Roman" w:eastAsia="楷体_GB2312" w:cs="Times New Roman"/>
          <w:b/>
          <w:sz w:val="32"/>
          <w:szCs w:val="32"/>
          <w:highlight w:val="none"/>
        </w:rPr>
      </w:pPr>
    </w:p>
    <w:p>
      <w:pPr>
        <w:jc w:val="center"/>
        <w:rPr>
          <w:rFonts w:hint="default" w:ascii="Times New Roman" w:hAnsi="Times New Roman" w:eastAsia="楷体_GB2312" w:cs="Times New Roman"/>
          <w:b/>
          <w:sz w:val="32"/>
          <w:szCs w:val="32"/>
          <w:highlight w:val="none"/>
        </w:rPr>
      </w:pPr>
    </w:p>
    <w:p>
      <w:pPr>
        <w:jc w:val="center"/>
        <w:rPr>
          <w:rFonts w:hint="default" w:ascii="Times New Roman" w:hAnsi="Times New Roman" w:eastAsia="黑体" w:cs="Times New Roman"/>
          <w:sz w:val="32"/>
          <w:szCs w:val="32"/>
          <w:highlight w:val="none"/>
        </w:rPr>
      </w:pPr>
    </w:p>
    <w:p>
      <w:pPr>
        <w:jc w:val="center"/>
        <w:rPr>
          <w:rFonts w:hint="default" w:ascii="Times New Roman" w:hAnsi="Times New Roman" w:eastAsia="黑体" w:cs="Times New Roman"/>
          <w:sz w:val="32"/>
          <w:szCs w:val="32"/>
          <w:highlight w:val="none"/>
        </w:rPr>
      </w:pPr>
    </w:p>
    <w:p>
      <w:pPr>
        <w:jc w:val="center"/>
        <w:rPr>
          <w:rFonts w:hint="default" w:ascii="Times New Roman" w:hAnsi="Times New Roman" w:eastAsia="黑体" w:cs="Times New Roman"/>
          <w:sz w:val="32"/>
          <w:szCs w:val="32"/>
          <w:highlight w:val="none"/>
        </w:rPr>
      </w:pPr>
    </w:p>
    <w:p>
      <w:pPr>
        <w:jc w:val="both"/>
        <w:rPr>
          <w:rFonts w:hint="default" w:ascii="Times New Roman" w:hAnsi="Times New Roman" w:eastAsia="黑体" w:cs="Times New Roman"/>
          <w:sz w:val="32"/>
          <w:szCs w:val="32"/>
          <w:highlight w:val="none"/>
        </w:rPr>
      </w:pPr>
    </w:p>
    <w:p>
      <w:pPr>
        <w:jc w:val="center"/>
        <w:rPr>
          <w:rFonts w:hint="default" w:ascii="Times New Roman" w:hAnsi="Times New Roman" w:eastAsia="黑体" w:cs="Times New Roman"/>
          <w:sz w:val="32"/>
          <w:szCs w:val="32"/>
          <w:highlight w:val="none"/>
        </w:rPr>
      </w:pPr>
    </w:p>
    <w:p>
      <w:pPr>
        <w:jc w:val="center"/>
        <w:rPr>
          <w:rFonts w:hint="default" w:ascii="Times New Roman" w:hAnsi="Times New Roman" w:eastAsia="黑体" w:cs="Times New Roman"/>
          <w:sz w:val="32"/>
          <w:szCs w:val="32"/>
          <w:highlight w:val="none"/>
        </w:rPr>
      </w:pPr>
    </w:p>
    <w:p>
      <w:pPr>
        <w:jc w:val="center"/>
        <w:rPr>
          <w:rFonts w:hint="default" w:ascii="Times New Roman" w:hAnsi="Times New Roman" w:eastAsia="黑体" w:cs="Times New Roman"/>
          <w:sz w:val="32"/>
          <w:szCs w:val="32"/>
          <w:highlight w:val="none"/>
        </w:rPr>
      </w:pPr>
    </w:p>
    <w:p>
      <w:pPr>
        <w:spacing w:line="600" w:lineRule="exact"/>
        <w:jc w:val="center"/>
        <w:rPr>
          <w:rFonts w:hint="default" w:ascii="Times New Roman" w:hAnsi="Times New Roman" w:eastAsia="仿宋_GB2312" w:cs="Times New Roman"/>
          <w:sz w:val="32"/>
          <w:szCs w:val="32"/>
          <w:highlight w:val="none"/>
          <w:u w:val="single"/>
        </w:rPr>
      </w:pPr>
      <w:r>
        <w:rPr>
          <w:rFonts w:hint="default" w:ascii="Times New Roman" w:hAnsi="Times New Roman" w:eastAsia="仿宋_GB2312" w:cs="Times New Roman"/>
          <w:sz w:val="32"/>
          <w:szCs w:val="32"/>
          <w:highlight w:val="none"/>
        </w:rPr>
        <w:t>部门（单位）名称：</w:t>
      </w:r>
      <w:r>
        <w:rPr>
          <w:rFonts w:hint="default" w:ascii="Times New Roman" w:hAnsi="Times New Roman" w:eastAsia="仿宋_GB2312" w:cs="Times New Roman"/>
          <w:sz w:val="32"/>
          <w:szCs w:val="32"/>
          <w:highlight w:val="none"/>
          <w:u w:val="single"/>
        </w:rPr>
        <w:t>（盖章）</w:t>
      </w:r>
    </w:p>
    <w:p>
      <w:pPr>
        <w:spacing w:line="600" w:lineRule="exact"/>
        <w:jc w:val="center"/>
        <w:rPr>
          <w:rFonts w:hint="default" w:ascii="Times New Roman" w:hAnsi="Times New Roman" w:eastAsia="楷体_GB2312" w:cs="Times New Roman"/>
          <w:sz w:val="32"/>
          <w:szCs w:val="32"/>
          <w:highlight w:val="none"/>
        </w:rPr>
      </w:pPr>
      <w:r>
        <w:rPr>
          <w:rFonts w:hint="eastAsia" w:ascii="Times New Roman" w:hAnsi="Times New Roman" w:eastAsia="楷体_GB2312" w:cs="Times New Roman"/>
          <w:sz w:val="32"/>
          <w:szCs w:val="32"/>
          <w:highlight w:val="none"/>
          <w:lang w:val="en-US" w:eastAsia="zh-CN"/>
        </w:rPr>
        <w:t>2024</w:t>
      </w:r>
      <w:r>
        <w:rPr>
          <w:rFonts w:hint="default" w:ascii="Times New Roman" w:hAnsi="Times New Roman" w:eastAsia="楷体_GB2312" w:cs="Times New Roman"/>
          <w:sz w:val="32"/>
          <w:szCs w:val="32"/>
          <w:highlight w:val="none"/>
        </w:rPr>
        <w:t>年</w:t>
      </w:r>
      <w:r>
        <w:rPr>
          <w:rFonts w:hint="eastAsia" w:ascii="Times New Roman" w:hAnsi="Times New Roman" w:eastAsia="楷体_GB2312" w:cs="Times New Roman"/>
          <w:sz w:val="32"/>
          <w:szCs w:val="32"/>
          <w:highlight w:val="none"/>
          <w:lang w:val="en-US" w:eastAsia="zh-CN"/>
        </w:rPr>
        <w:t>6</w:t>
      </w:r>
      <w:r>
        <w:rPr>
          <w:rFonts w:hint="default" w:ascii="Times New Roman" w:hAnsi="Times New Roman" w:eastAsia="楷体_GB2312" w:cs="Times New Roman"/>
          <w:sz w:val="32"/>
          <w:szCs w:val="32"/>
          <w:highlight w:val="none"/>
        </w:rPr>
        <w:t>月</w:t>
      </w:r>
      <w:r>
        <w:rPr>
          <w:rFonts w:hint="eastAsia" w:ascii="Times New Roman" w:hAnsi="Times New Roman" w:eastAsia="楷体_GB2312" w:cs="Times New Roman"/>
          <w:sz w:val="32"/>
          <w:szCs w:val="32"/>
          <w:highlight w:val="none"/>
          <w:lang w:val="en-US" w:eastAsia="zh-CN"/>
        </w:rPr>
        <w:t>24</w:t>
      </w:r>
      <w:r>
        <w:rPr>
          <w:rFonts w:hint="default" w:ascii="Times New Roman" w:hAnsi="Times New Roman" w:eastAsia="楷体_GB2312" w:cs="Times New Roman"/>
          <w:sz w:val="32"/>
          <w:szCs w:val="32"/>
          <w:highlight w:val="none"/>
        </w:rPr>
        <w:t>日</w:t>
      </w:r>
    </w:p>
    <w:p>
      <w:pPr>
        <w:jc w:val="center"/>
        <w:rPr>
          <w:rFonts w:hint="default" w:ascii="Times New Roman" w:hAnsi="Times New Roman" w:eastAsia="仿宋_GB2312" w:cs="Times New Roman"/>
          <w:sz w:val="32"/>
          <w:szCs w:val="32"/>
          <w:highlight w:val="none"/>
        </w:rPr>
      </w:pPr>
      <w:r>
        <w:rPr>
          <w:rFonts w:hint="default" w:ascii="Times New Roman" w:hAnsi="Times New Roman" w:eastAsia="仿宋_GB2312" w:cs="Times New Roman"/>
          <w:sz w:val="32"/>
          <w:szCs w:val="32"/>
          <w:highlight w:val="none"/>
        </w:rPr>
        <w:t>（此页为封面）</w:t>
      </w:r>
    </w:p>
    <w:p>
      <w:pPr>
        <w:jc w:val="center"/>
        <w:rPr>
          <w:rFonts w:hint="eastAsia" w:ascii="方正小标宋简体" w:hAnsi="方正小标宋简体" w:eastAsia="方正小标宋简体" w:cs="方正小标宋简体"/>
          <w:sz w:val="36"/>
          <w:szCs w:val="36"/>
          <w:highlight w:val="none"/>
        </w:rPr>
      </w:pPr>
      <w:r>
        <w:rPr>
          <w:rFonts w:hint="default" w:ascii="Times New Roman" w:hAnsi="Times New Roman" w:eastAsia="仿宋_GB2312" w:cs="Times New Roman"/>
          <w:sz w:val="32"/>
          <w:szCs w:val="32"/>
          <w:highlight w:val="none"/>
        </w:rPr>
        <w:br w:type="page"/>
      </w:r>
      <w:r>
        <w:rPr>
          <w:rFonts w:hint="eastAsia" w:ascii="方正小标宋简体" w:hAnsi="方正小标宋简体" w:eastAsia="方正小标宋简体" w:cs="方正小标宋简体"/>
          <w:sz w:val="36"/>
          <w:szCs w:val="36"/>
          <w:highlight w:val="none"/>
        </w:rPr>
        <w:t>202</w:t>
      </w:r>
      <w:r>
        <w:rPr>
          <w:rFonts w:hint="eastAsia" w:ascii="方正小标宋简体" w:hAnsi="方正小标宋简体" w:eastAsia="方正小标宋简体" w:cs="方正小标宋简体"/>
          <w:sz w:val="36"/>
          <w:szCs w:val="36"/>
          <w:highlight w:val="none"/>
          <w:lang w:val="en-US" w:eastAsia="zh-CN"/>
        </w:rPr>
        <w:t>3</w:t>
      </w:r>
      <w:r>
        <w:rPr>
          <w:rFonts w:hint="eastAsia" w:ascii="方正小标宋简体" w:hAnsi="方正小标宋简体" w:eastAsia="方正小标宋简体" w:cs="方正小标宋简体"/>
          <w:sz w:val="36"/>
          <w:szCs w:val="36"/>
          <w:highlight w:val="none"/>
        </w:rPr>
        <w:t>年度</w:t>
      </w:r>
      <w:r>
        <w:rPr>
          <w:rFonts w:hint="eastAsia" w:ascii="方正小标宋简体" w:hAnsi="方正小标宋简体" w:eastAsia="方正小标宋简体" w:cs="方正小标宋简体"/>
          <w:sz w:val="36"/>
          <w:szCs w:val="36"/>
          <w:highlight w:val="none"/>
          <w:lang w:eastAsia="zh-CN"/>
        </w:rPr>
        <w:t>岳阳市君山区市场监督管理局</w:t>
      </w:r>
      <w:r>
        <w:rPr>
          <w:rFonts w:hint="eastAsia" w:ascii="方正小标宋简体" w:hAnsi="方正小标宋简体" w:eastAsia="方正小标宋简体" w:cs="方正小标宋简体"/>
          <w:sz w:val="36"/>
          <w:szCs w:val="36"/>
          <w:highlight w:val="none"/>
        </w:rPr>
        <w:t>整体支出绩效自评报告</w:t>
      </w:r>
    </w:p>
    <w:p>
      <w:pPr>
        <w:keepNext w:val="0"/>
        <w:keepLines w:val="0"/>
        <w:pageBreakBefore w:val="0"/>
        <w:kinsoku/>
        <w:wordWrap/>
        <w:overflowPunct/>
        <w:topLinePunct w:val="0"/>
        <w:autoSpaceDE/>
        <w:autoSpaceDN/>
        <w:bidi w:val="0"/>
        <w:adjustRightInd/>
        <w:snapToGrid/>
        <w:spacing w:line="640" w:lineRule="exact"/>
        <w:ind w:firstLine="640" w:firstLineChars="200"/>
        <w:jc w:val="both"/>
        <w:textAlignment w:val="auto"/>
        <w:rPr>
          <w:rFonts w:hint="default" w:ascii="Times New Roman" w:hAnsi="Times New Roman" w:eastAsia="仿宋_GB2312" w:cs="Times New Roman"/>
          <w:sz w:val="32"/>
          <w:szCs w:val="32"/>
          <w:highlight w:val="none"/>
        </w:rPr>
      </w:pPr>
    </w:p>
    <w:p>
      <w:pPr>
        <w:keepNext w:val="0"/>
        <w:keepLines w:val="0"/>
        <w:pageBreakBefore w:val="0"/>
        <w:numPr>
          <w:ilvl w:val="0"/>
          <w:numId w:val="1"/>
        </w:numPr>
        <w:kinsoku/>
        <w:wordWrap/>
        <w:overflowPunct/>
        <w:topLinePunct w:val="0"/>
        <w:autoSpaceDE/>
        <w:autoSpaceDN/>
        <w:bidi w:val="0"/>
        <w:adjustRightInd/>
        <w:snapToGrid/>
        <w:spacing w:line="640" w:lineRule="exact"/>
        <w:ind w:firstLine="640" w:firstLineChars="200"/>
        <w:jc w:val="both"/>
        <w:textAlignment w:val="auto"/>
        <w:rPr>
          <w:rFonts w:hint="default" w:ascii="Times New Roman" w:hAnsi="Times New Roman" w:eastAsia="黑体" w:cs="Times New Roman"/>
          <w:sz w:val="32"/>
          <w:szCs w:val="32"/>
          <w:highlight w:val="none"/>
        </w:rPr>
      </w:pPr>
      <w:r>
        <w:rPr>
          <w:rFonts w:hint="default" w:ascii="Times New Roman" w:hAnsi="Times New Roman" w:eastAsia="黑体" w:cs="Times New Roman"/>
          <w:sz w:val="32"/>
          <w:szCs w:val="32"/>
          <w:highlight w:val="none"/>
        </w:rPr>
        <w:t>部门（单位）基本情况</w:t>
      </w:r>
    </w:p>
    <w:p>
      <w:pPr>
        <w:keepNext w:val="0"/>
        <w:keepLines w:val="0"/>
        <w:pageBreakBefore w:val="0"/>
        <w:numPr>
          <w:ilvl w:val="0"/>
          <w:numId w:val="0"/>
        </w:numPr>
        <w:kinsoku/>
        <w:wordWrap/>
        <w:overflowPunct/>
        <w:topLinePunct w:val="0"/>
        <w:autoSpaceDE/>
        <w:autoSpaceDN/>
        <w:bidi w:val="0"/>
        <w:adjustRightInd/>
        <w:snapToGrid/>
        <w:spacing w:line="640" w:lineRule="exact"/>
        <w:ind w:firstLine="640"/>
        <w:jc w:val="both"/>
        <w:textAlignment w:val="auto"/>
        <w:rPr>
          <w:rFonts w:hint="eastAsia" w:ascii="仿宋" w:hAnsi="仿宋" w:eastAsia="仿宋" w:cs="仿宋"/>
          <w:kern w:val="0"/>
          <w:sz w:val="32"/>
          <w:szCs w:val="32"/>
          <w:lang w:val="en-US" w:eastAsia="zh-CN" w:bidi="ar-SA"/>
        </w:rPr>
      </w:pPr>
      <w:r>
        <w:rPr>
          <w:rFonts w:hint="eastAsia" w:ascii="仿宋" w:hAnsi="仿宋" w:eastAsia="仿宋" w:cs="仿宋"/>
          <w:kern w:val="0"/>
          <w:sz w:val="32"/>
          <w:szCs w:val="32"/>
          <w:lang w:val="en-US" w:eastAsia="zh-CN" w:bidi="ar-SA"/>
        </w:rPr>
        <w:t>根据《中共湖南省委办公厅湖南省人民政府办公厅&lt;关于印发岳阳市县市区机构改革方案&gt;的通知（湘办[2019]13号），原岳阳市工商行政管理局君山分局和原君山区食品药品监督管理局组建岳阳市君山区市场监督管理局。负责全区市场综合监督管理局，负责负责全区食品、药品、医疗器械、化妆品监督管理；负责权限内食品、药品、医疗器械行政许可；组织实施食品、药品、医疗器械、化妆品监督管理，组织查处重大食品药品违法行为；承担区食安委日常工作等。</w:t>
      </w:r>
    </w:p>
    <w:p>
      <w:pPr>
        <w:pStyle w:val="5"/>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3" w:lineRule="atLeast"/>
        <w:ind w:left="0" w:right="0" w:firstLine="640" w:firstLineChars="200"/>
        <w:jc w:val="both"/>
        <w:rPr>
          <w:rFonts w:hint="default"/>
          <w:lang w:val="en-US" w:eastAsia="zh-CN"/>
        </w:rPr>
      </w:pPr>
      <w:r>
        <w:rPr>
          <w:rFonts w:hint="eastAsia" w:ascii="仿宋" w:hAnsi="仿宋" w:eastAsia="仿宋" w:cs="仿宋"/>
          <w:kern w:val="0"/>
          <w:sz w:val="32"/>
          <w:szCs w:val="32"/>
          <w:lang w:val="en-US" w:eastAsia="zh-CN" w:bidi="ar-SA"/>
        </w:rPr>
        <w:t>2023年岳阳市君山区市场监督管理局共设有14个内设股室、1个执法大队及5个市场监管所。单位内设机构包括：办公室、政策法规股、登记注册股、食品安全协调和特殊食品监管股、食品生产经营安全监督管理股、餐饮食品安全监管和抽检监测管理股、药品医疗器械监督管理股、特种设备安全监察股、质量监督标准计量股、市场规范管理股、知识产权股、消费者权益保护股、财务股、人事股。</w:t>
      </w:r>
    </w:p>
    <w:p>
      <w:pPr>
        <w:pStyle w:val="10"/>
        <w:keepNext w:val="0"/>
        <w:keepLines w:val="0"/>
        <w:pageBreakBefore w:val="0"/>
        <w:widowControl/>
        <w:kinsoku/>
        <w:wordWrap/>
        <w:overflowPunct/>
        <w:topLinePunct w:val="0"/>
        <w:autoSpaceDE/>
        <w:autoSpaceDN/>
        <w:bidi w:val="0"/>
        <w:adjustRightInd/>
        <w:snapToGrid/>
        <w:spacing w:line="640" w:lineRule="exact"/>
        <w:ind w:firstLine="640" w:firstLineChars="200"/>
        <w:jc w:val="both"/>
        <w:textAlignment w:val="auto"/>
        <w:rPr>
          <w:rFonts w:hint="default" w:ascii="Times New Roman" w:hAnsi="Times New Roman" w:eastAsia="黑体" w:cs="Times New Roman"/>
          <w:sz w:val="32"/>
          <w:szCs w:val="32"/>
          <w:highlight w:val="none"/>
        </w:rPr>
      </w:pPr>
      <w:r>
        <w:rPr>
          <w:rFonts w:hint="default" w:ascii="Times New Roman" w:hAnsi="Times New Roman" w:eastAsia="黑体" w:cs="Times New Roman"/>
          <w:sz w:val="32"/>
          <w:szCs w:val="32"/>
          <w:highlight w:val="none"/>
        </w:rPr>
        <w:t>二、一般公共预算支出情况</w:t>
      </w:r>
    </w:p>
    <w:p>
      <w:pPr>
        <w:pStyle w:val="10"/>
        <w:keepNext w:val="0"/>
        <w:keepLines w:val="0"/>
        <w:pageBreakBefore w:val="0"/>
        <w:widowControl/>
        <w:kinsoku/>
        <w:wordWrap/>
        <w:overflowPunct/>
        <w:topLinePunct w:val="0"/>
        <w:autoSpaceDE/>
        <w:autoSpaceDN/>
        <w:bidi w:val="0"/>
        <w:adjustRightInd/>
        <w:snapToGrid/>
        <w:spacing w:line="640" w:lineRule="exact"/>
        <w:ind w:firstLine="643" w:firstLineChars="200"/>
        <w:jc w:val="both"/>
        <w:textAlignment w:val="auto"/>
        <w:rPr>
          <w:rFonts w:hint="default" w:ascii="Times New Roman" w:hAnsi="Times New Roman" w:eastAsia="楷体_GB2312" w:cs="Times New Roman"/>
          <w:b/>
          <w:sz w:val="32"/>
          <w:szCs w:val="32"/>
          <w:highlight w:val="none"/>
        </w:rPr>
      </w:pPr>
      <w:r>
        <w:rPr>
          <w:rFonts w:hint="default" w:ascii="Times New Roman" w:hAnsi="Times New Roman" w:eastAsia="楷体_GB2312" w:cs="Times New Roman"/>
          <w:b/>
          <w:sz w:val="32"/>
          <w:szCs w:val="32"/>
          <w:highlight w:val="none"/>
        </w:rPr>
        <w:t>（一）基本支出情况</w:t>
      </w:r>
    </w:p>
    <w:p>
      <w:pPr>
        <w:pStyle w:val="10"/>
        <w:keepNext w:val="0"/>
        <w:keepLines w:val="0"/>
        <w:pageBreakBefore w:val="0"/>
        <w:widowControl/>
        <w:kinsoku/>
        <w:wordWrap/>
        <w:overflowPunct/>
        <w:topLinePunct w:val="0"/>
        <w:autoSpaceDE/>
        <w:autoSpaceDN/>
        <w:bidi w:val="0"/>
        <w:adjustRightInd/>
        <w:snapToGrid/>
        <w:spacing w:line="560" w:lineRule="exact"/>
        <w:ind w:firstLine="640" w:firstLineChars="200"/>
        <w:jc w:val="both"/>
        <w:textAlignment w:val="auto"/>
        <w:rPr>
          <w:rFonts w:hint="eastAsia" w:ascii="仿宋" w:hAnsi="仿宋" w:eastAsia="仿宋" w:cs="仿宋"/>
          <w:sz w:val="32"/>
          <w:szCs w:val="32"/>
          <w:lang w:val="en-US" w:eastAsia="zh-CN"/>
        </w:rPr>
      </w:pPr>
      <w:r>
        <w:rPr>
          <w:rFonts w:hint="eastAsia" w:ascii="仿宋" w:hAnsi="仿宋" w:eastAsia="仿宋" w:cs="仿宋"/>
          <w:sz w:val="32"/>
          <w:szCs w:val="32"/>
          <w:lang w:eastAsia="zh-CN"/>
        </w:rPr>
        <w:t>2023</w:t>
      </w:r>
      <w:r>
        <w:rPr>
          <w:rFonts w:hint="eastAsia" w:ascii="仿宋" w:hAnsi="仿宋" w:eastAsia="仿宋" w:cs="仿宋"/>
          <w:sz w:val="32"/>
          <w:szCs w:val="32"/>
        </w:rPr>
        <w:t>年本部门</w:t>
      </w:r>
      <w:r>
        <w:rPr>
          <w:rFonts w:hint="eastAsia" w:ascii="仿宋" w:hAnsi="仿宋" w:eastAsia="仿宋" w:cs="仿宋"/>
          <w:sz w:val="32"/>
          <w:szCs w:val="32"/>
          <w:lang w:eastAsia="zh-CN"/>
        </w:rPr>
        <w:t>基本支出</w:t>
      </w:r>
      <w:r>
        <w:rPr>
          <w:rFonts w:hint="eastAsia" w:ascii="仿宋" w:hAnsi="仿宋" w:eastAsia="仿宋" w:cs="仿宋"/>
          <w:sz w:val="32"/>
          <w:szCs w:val="32"/>
        </w:rPr>
        <w:t>预算</w:t>
      </w:r>
      <w:r>
        <w:rPr>
          <w:rFonts w:hint="eastAsia" w:ascii="仿宋" w:hAnsi="仿宋" w:eastAsia="仿宋" w:cs="仿宋"/>
          <w:sz w:val="32"/>
          <w:szCs w:val="32"/>
          <w:lang w:val="en-US" w:eastAsia="zh-CN"/>
        </w:rPr>
        <w:t>1269.79万元：</w:t>
      </w:r>
      <w:r>
        <w:rPr>
          <w:rFonts w:hint="eastAsia" w:ascii="仿宋" w:hAnsi="仿宋" w:eastAsia="仿宋" w:cs="仿宋"/>
          <w:sz w:val="32"/>
          <w:szCs w:val="32"/>
        </w:rPr>
        <w:t>人员经费</w:t>
      </w:r>
      <w:r>
        <w:rPr>
          <w:rFonts w:hint="eastAsia" w:ascii="仿宋" w:hAnsi="仿宋" w:eastAsia="仿宋" w:cs="仿宋"/>
          <w:sz w:val="32"/>
          <w:szCs w:val="32"/>
          <w:lang w:val="en-US" w:eastAsia="zh-CN"/>
        </w:rPr>
        <w:t>1171.39</w:t>
      </w:r>
      <w:r>
        <w:rPr>
          <w:rFonts w:hint="eastAsia" w:ascii="仿宋" w:hAnsi="仿宋" w:eastAsia="仿宋" w:cs="仿宋"/>
          <w:sz w:val="32"/>
          <w:szCs w:val="32"/>
        </w:rPr>
        <w:t>万元</w:t>
      </w:r>
      <w:r>
        <w:rPr>
          <w:rFonts w:hint="eastAsia" w:ascii="仿宋" w:hAnsi="仿宋" w:eastAsia="仿宋" w:cs="仿宋"/>
          <w:sz w:val="32"/>
          <w:szCs w:val="32"/>
          <w:lang w:eastAsia="zh-CN"/>
        </w:rPr>
        <w:t>，</w:t>
      </w:r>
      <w:r>
        <w:rPr>
          <w:rFonts w:hint="eastAsia" w:ascii="仿宋" w:hAnsi="仿宋" w:eastAsia="仿宋" w:cs="仿宋"/>
          <w:sz w:val="32"/>
          <w:szCs w:val="32"/>
        </w:rPr>
        <w:t>公用经费</w:t>
      </w:r>
      <w:r>
        <w:rPr>
          <w:rFonts w:hint="eastAsia" w:ascii="仿宋" w:hAnsi="仿宋" w:eastAsia="仿宋" w:cs="仿宋"/>
          <w:sz w:val="32"/>
          <w:szCs w:val="32"/>
          <w:lang w:val="en-US" w:eastAsia="zh-CN"/>
        </w:rPr>
        <w:t>98.4</w:t>
      </w:r>
      <w:r>
        <w:rPr>
          <w:rFonts w:hint="eastAsia" w:ascii="仿宋" w:hAnsi="仿宋" w:eastAsia="仿宋" w:cs="仿宋"/>
          <w:sz w:val="32"/>
          <w:szCs w:val="32"/>
        </w:rPr>
        <w:t>万元</w:t>
      </w:r>
      <w:r>
        <w:rPr>
          <w:rFonts w:hint="eastAsia" w:ascii="仿宋" w:hAnsi="仿宋" w:eastAsia="仿宋" w:cs="仿宋"/>
          <w:sz w:val="32"/>
          <w:szCs w:val="32"/>
          <w:lang w:eastAsia="zh-CN"/>
        </w:rPr>
        <w:t>。全年预算数为</w:t>
      </w:r>
      <w:r>
        <w:rPr>
          <w:rFonts w:hint="eastAsia" w:ascii="仿宋" w:hAnsi="仿宋" w:eastAsia="仿宋" w:cs="仿宋"/>
          <w:sz w:val="32"/>
          <w:szCs w:val="32"/>
          <w:lang w:val="en-US" w:eastAsia="zh-CN"/>
        </w:rPr>
        <w:t>1834.78万元，决算数为1834.78万元，其中：人员经</w:t>
      </w:r>
      <w:r>
        <w:rPr>
          <w:rFonts w:hint="eastAsia" w:ascii="仿宋" w:hAnsi="仿宋" w:eastAsia="仿宋" w:cs="仿宋"/>
          <w:sz w:val="32"/>
          <w:szCs w:val="32"/>
          <w:lang w:eastAsia="zh-CN"/>
        </w:rPr>
        <w:t>费</w:t>
      </w:r>
      <w:r>
        <w:rPr>
          <w:rFonts w:hint="eastAsia" w:ascii="仿宋" w:hAnsi="仿宋" w:eastAsia="仿宋" w:cs="仿宋"/>
          <w:sz w:val="32"/>
          <w:szCs w:val="32"/>
          <w:lang w:val="en-US" w:eastAsia="zh-CN"/>
        </w:rPr>
        <w:t>1411.78万元，主要包括：基本工资、津贴补贴、奖金、绩效工资、伙食补助费、机关事业单位基本养老保险缴费、职工基本医疗保险缴费、其他社会保障缴费、住房公积金、离休费、退休费、其他对个人和家庭的补助；公用经费423万元，主要包括：办公费、水费、电费、邮电费、物业管理费、工会经费、其他交通费用、其他商品和服务支出。</w:t>
      </w:r>
    </w:p>
    <w:p>
      <w:pPr>
        <w:pStyle w:val="10"/>
        <w:keepNext w:val="0"/>
        <w:keepLines w:val="0"/>
        <w:pageBreakBefore w:val="0"/>
        <w:widowControl/>
        <w:numPr>
          <w:ilvl w:val="0"/>
          <w:numId w:val="2"/>
        </w:numPr>
        <w:kinsoku/>
        <w:wordWrap/>
        <w:overflowPunct/>
        <w:topLinePunct w:val="0"/>
        <w:autoSpaceDE/>
        <w:autoSpaceDN/>
        <w:bidi w:val="0"/>
        <w:adjustRightInd/>
        <w:snapToGrid/>
        <w:spacing w:line="640" w:lineRule="exact"/>
        <w:ind w:firstLine="643" w:firstLineChars="200"/>
        <w:jc w:val="both"/>
        <w:textAlignment w:val="auto"/>
        <w:rPr>
          <w:rFonts w:hint="default" w:ascii="Times New Roman" w:hAnsi="Times New Roman" w:eastAsia="楷体_GB2312" w:cs="Times New Roman"/>
          <w:b/>
          <w:sz w:val="32"/>
          <w:szCs w:val="32"/>
          <w:highlight w:val="none"/>
        </w:rPr>
      </w:pPr>
      <w:r>
        <w:rPr>
          <w:rFonts w:hint="default" w:ascii="Times New Roman" w:hAnsi="Times New Roman" w:eastAsia="楷体_GB2312" w:cs="Times New Roman"/>
          <w:b/>
          <w:sz w:val="32"/>
          <w:szCs w:val="32"/>
          <w:highlight w:val="none"/>
        </w:rPr>
        <w:t>项目支出情况</w:t>
      </w:r>
    </w:p>
    <w:p>
      <w:pPr>
        <w:pStyle w:val="10"/>
        <w:keepNext w:val="0"/>
        <w:keepLines w:val="0"/>
        <w:pageBreakBefore w:val="0"/>
        <w:widowControl/>
        <w:numPr>
          <w:ilvl w:val="0"/>
          <w:numId w:val="0"/>
        </w:numPr>
        <w:kinsoku/>
        <w:wordWrap/>
        <w:overflowPunct/>
        <w:topLinePunct w:val="0"/>
        <w:autoSpaceDE/>
        <w:autoSpaceDN/>
        <w:bidi w:val="0"/>
        <w:adjustRightInd/>
        <w:snapToGrid/>
        <w:spacing w:line="640" w:lineRule="exact"/>
        <w:jc w:val="both"/>
        <w:textAlignment w:val="auto"/>
        <w:rPr>
          <w:rFonts w:hint="default" w:ascii="Times New Roman" w:hAnsi="Times New Roman" w:eastAsia="楷体_GB2312" w:cs="Times New Roman"/>
          <w:b/>
          <w:sz w:val="32"/>
          <w:szCs w:val="32"/>
          <w:highlight w:val="none"/>
          <w:lang w:val="en-US" w:eastAsia="zh-CN"/>
        </w:rPr>
      </w:pPr>
      <w:r>
        <w:rPr>
          <w:rFonts w:hint="eastAsia" w:ascii="Times New Roman" w:hAnsi="Times New Roman" w:eastAsia="楷体_GB2312" w:cs="Times New Roman"/>
          <w:b/>
          <w:sz w:val="32"/>
          <w:szCs w:val="32"/>
          <w:highlight w:val="none"/>
          <w:lang w:val="en-US" w:eastAsia="zh-CN"/>
        </w:rPr>
        <w:t xml:space="preserve">     </w:t>
      </w:r>
      <w:r>
        <w:rPr>
          <w:rFonts w:hint="eastAsia" w:eastAsia="仿宋_GB2312"/>
          <w:sz w:val="32"/>
          <w:szCs w:val="32"/>
          <w:lang w:eastAsia="zh-CN"/>
        </w:rPr>
        <w:t>2023</w:t>
      </w:r>
      <w:r>
        <w:rPr>
          <w:rFonts w:eastAsia="仿宋_GB2312"/>
          <w:sz w:val="32"/>
          <w:szCs w:val="32"/>
        </w:rPr>
        <w:t>年本部门</w:t>
      </w:r>
      <w:r>
        <w:rPr>
          <w:rFonts w:hint="eastAsia" w:eastAsia="仿宋_GB2312"/>
          <w:sz w:val="32"/>
          <w:szCs w:val="32"/>
          <w:lang w:eastAsia="zh-CN"/>
        </w:rPr>
        <w:t>项目支出</w:t>
      </w:r>
      <w:r>
        <w:rPr>
          <w:rFonts w:hint="eastAsia" w:eastAsia="仿宋_GB2312"/>
          <w:sz w:val="32"/>
          <w:szCs w:val="32"/>
        </w:rPr>
        <w:t>预算</w:t>
      </w:r>
      <w:r>
        <w:rPr>
          <w:rFonts w:hint="eastAsia" w:eastAsia="仿宋_GB2312"/>
          <w:sz w:val="32"/>
          <w:szCs w:val="32"/>
          <w:lang w:val="en-US" w:eastAsia="zh-CN"/>
        </w:rPr>
        <w:t>361</w:t>
      </w:r>
      <w:r>
        <w:rPr>
          <w:rFonts w:hint="eastAsia" w:eastAsia="仿宋_GB2312"/>
          <w:sz w:val="32"/>
          <w:szCs w:val="32"/>
        </w:rPr>
        <w:t>万元</w:t>
      </w:r>
      <w:r>
        <w:rPr>
          <w:rFonts w:hint="eastAsia" w:eastAsia="仿宋_GB2312"/>
          <w:sz w:val="32"/>
          <w:szCs w:val="32"/>
          <w:lang w:eastAsia="zh-CN"/>
        </w:rPr>
        <w:t>，</w:t>
      </w:r>
      <w:r>
        <w:rPr>
          <w:rFonts w:hint="eastAsia" w:ascii="仿宋" w:hAnsi="仿宋" w:eastAsia="仿宋" w:cs="仿宋"/>
          <w:sz w:val="32"/>
          <w:szCs w:val="32"/>
          <w:lang w:eastAsia="zh-CN"/>
        </w:rPr>
        <w:t>全年预算数为</w:t>
      </w:r>
      <w:r>
        <w:rPr>
          <w:rFonts w:hint="eastAsia" w:ascii="仿宋" w:hAnsi="仿宋" w:eastAsia="仿宋" w:cs="仿宋"/>
          <w:sz w:val="32"/>
          <w:szCs w:val="32"/>
          <w:lang w:val="en-US" w:eastAsia="zh-CN"/>
        </w:rPr>
        <w:t>262.55万元，决算数为262.55万元，</w:t>
      </w:r>
      <w:r>
        <w:rPr>
          <w:rFonts w:hint="eastAsia" w:eastAsia="仿宋_GB2312"/>
          <w:sz w:val="32"/>
          <w:szCs w:val="32"/>
        </w:rPr>
        <w:t>主要是部门为完成特定行政工作任务或事业发展目标而发生的支出，包括</w:t>
      </w:r>
      <w:r>
        <w:rPr>
          <w:rFonts w:hint="eastAsia" w:eastAsia="仿宋_GB2312"/>
          <w:sz w:val="32"/>
          <w:szCs w:val="32"/>
          <w:lang w:eastAsia="zh-CN"/>
        </w:rPr>
        <w:t>业务工作经费支出、运行维护经费、特定项目（食品及食用农产品抽检及食品安全责任保险）支出。</w:t>
      </w:r>
    </w:p>
    <w:p>
      <w:pPr>
        <w:pStyle w:val="10"/>
        <w:keepNext w:val="0"/>
        <w:keepLines w:val="0"/>
        <w:pageBreakBefore w:val="0"/>
        <w:widowControl/>
        <w:numPr>
          <w:ilvl w:val="0"/>
          <w:numId w:val="1"/>
        </w:numPr>
        <w:kinsoku/>
        <w:wordWrap/>
        <w:overflowPunct/>
        <w:topLinePunct w:val="0"/>
        <w:autoSpaceDE/>
        <w:autoSpaceDN/>
        <w:bidi w:val="0"/>
        <w:adjustRightInd/>
        <w:snapToGrid/>
        <w:spacing w:line="640" w:lineRule="exact"/>
        <w:ind w:left="0" w:leftChars="0" w:firstLine="640" w:firstLineChars="200"/>
        <w:jc w:val="both"/>
        <w:textAlignment w:val="auto"/>
        <w:rPr>
          <w:rFonts w:hint="default" w:ascii="Times New Roman" w:hAnsi="Times New Roman" w:eastAsia="黑体" w:cs="Times New Roman"/>
          <w:sz w:val="32"/>
          <w:szCs w:val="32"/>
          <w:highlight w:val="none"/>
          <w:lang w:val="en-US" w:eastAsia="zh-CN"/>
        </w:rPr>
      </w:pPr>
      <w:r>
        <w:rPr>
          <w:rFonts w:hint="default" w:ascii="Times New Roman" w:hAnsi="Times New Roman" w:eastAsia="黑体" w:cs="Times New Roman"/>
          <w:sz w:val="32"/>
          <w:szCs w:val="32"/>
          <w:highlight w:val="none"/>
        </w:rPr>
        <w:t>政府性基金预算支出情况</w:t>
      </w:r>
      <w:r>
        <w:rPr>
          <w:rFonts w:hint="eastAsia" w:ascii="Times New Roman" w:hAnsi="Times New Roman" w:eastAsia="黑体" w:cs="Times New Roman"/>
          <w:sz w:val="32"/>
          <w:szCs w:val="32"/>
          <w:highlight w:val="none"/>
          <w:lang w:val="en-US" w:eastAsia="zh-CN"/>
        </w:rPr>
        <w:t xml:space="preserve">        无</w:t>
      </w:r>
    </w:p>
    <w:p>
      <w:pPr>
        <w:pStyle w:val="10"/>
        <w:keepNext w:val="0"/>
        <w:keepLines w:val="0"/>
        <w:pageBreakBefore w:val="0"/>
        <w:widowControl/>
        <w:numPr>
          <w:ilvl w:val="0"/>
          <w:numId w:val="1"/>
        </w:numPr>
        <w:kinsoku/>
        <w:wordWrap/>
        <w:overflowPunct/>
        <w:topLinePunct w:val="0"/>
        <w:autoSpaceDE/>
        <w:autoSpaceDN/>
        <w:bidi w:val="0"/>
        <w:adjustRightInd/>
        <w:snapToGrid/>
        <w:spacing w:line="640" w:lineRule="exact"/>
        <w:ind w:left="0" w:leftChars="0" w:firstLine="640" w:firstLineChars="200"/>
        <w:jc w:val="both"/>
        <w:textAlignment w:val="auto"/>
        <w:rPr>
          <w:rFonts w:hint="eastAsia" w:ascii="Times New Roman" w:hAnsi="Times New Roman" w:eastAsia="黑体" w:cs="Times New Roman"/>
          <w:sz w:val="32"/>
          <w:szCs w:val="32"/>
          <w:highlight w:val="none"/>
          <w:lang w:eastAsia="zh-CN"/>
        </w:rPr>
      </w:pPr>
      <w:r>
        <w:rPr>
          <w:rFonts w:hint="default" w:ascii="Times New Roman" w:hAnsi="Times New Roman" w:eastAsia="黑体" w:cs="Times New Roman"/>
          <w:sz w:val="32"/>
          <w:szCs w:val="32"/>
          <w:highlight w:val="none"/>
        </w:rPr>
        <w:t>国有资本经营预算支出情况</w:t>
      </w:r>
      <w:r>
        <w:rPr>
          <w:rFonts w:hint="eastAsia" w:ascii="Times New Roman" w:hAnsi="Times New Roman" w:eastAsia="黑体" w:cs="Times New Roman"/>
          <w:sz w:val="32"/>
          <w:szCs w:val="32"/>
          <w:highlight w:val="none"/>
          <w:lang w:val="en-US" w:eastAsia="zh-CN"/>
        </w:rPr>
        <w:t xml:space="preserve">      </w:t>
      </w:r>
      <w:r>
        <w:rPr>
          <w:rFonts w:hint="eastAsia" w:ascii="Times New Roman" w:hAnsi="Times New Roman" w:eastAsia="黑体" w:cs="Times New Roman"/>
          <w:sz w:val="32"/>
          <w:szCs w:val="32"/>
          <w:highlight w:val="none"/>
          <w:lang w:eastAsia="zh-CN"/>
        </w:rPr>
        <w:t>无</w:t>
      </w:r>
    </w:p>
    <w:p>
      <w:pPr>
        <w:pStyle w:val="10"/>
        <w:keepNext w:val="0"/>
        <w:keepLines w:val="0"/>
        <w:pageBreakBefore w:val="0"/>
        <w:widowControl/>
        <w:numPr>
          <w:ilvl w:val="0"/>
          <w:numId w:val="1"/>
        </w:numPr>
        <w:kinsoku/>
        <w:wordWrap/>
        <w:overflowPunct/>
        <w:topLinePunct w:val="0"/>
        <w:autoSpaceDE/>
        <w:autoSpaceDN/>
        <w:bidi w:val="0"/>
        <w:adjustRightInd/>
        <w:snapToGrid/>
        <w:spacing w:line="640" w:lineRule="exact"/>
        <w:ind w:left="0" w:leftChars="0" w:firstLine="640" w:firstLineChars="200"/>
        <w:jc w:val="both"/>
        <w:textAlignment w:val="auto"/>
        <w:rPr>
          <w:rFonts w:hint="eastAsia" w:ascii="Times New Roman" w:hAnsi="Times New Roman" w:eastAsia="黑体" w:cs="Times New Roman"/>
          <w:sz w:val="32"/>
          <w:szCs w:val="32"/>
          <w:highlight w:val="none"/>
          <w:lang w:eastAsia="zh-CN"/>
        </w:rPr>
      </w:pPr>
      <w:r>
        <w:rPr>
          <w:rFonts w:hint="default" w:ascii="Times New Roman" w:hAnsi="Times New Roman" w:eastAsia="黑体" w:cs="Times New Roman"/>
          <w:sz w:val="32"/>
          <w:szCs w:val="32"/>
          <w:highlight w:val="none"/>
        </w:rPr>
        <w:t>社会保险基金预算支出情况</w:t>
      </w:r>
      <w:r>
        <w:rPr>
          <w:rFonts w:hint="eastAsia" w:ascii="Times New Roman" w:hAnsi="Times New Roman" w:eastAsia="黑体" w:cs="Times New Roman"/>
          <w:sz w:val="32"/>
          <w:szCs w:val="32"/>
          <w:highlight w:val="none"/>
          <w:lang w:val="en-US" w:eastAsia="zh-CN"/>
        </w:rPr>
        <w:t xml:space="preserve">      </w:t>
      </w:r>
      <w:r>
        <w:rPr>
          <w:rFonts w:hint="eastAsia" w:ascii="Times New Roman" w:hAnsi="Times New Roman" w:eastAsia="黑体" w:cs="Times New Roman"/>
          <w:sz w:val="32"/>
          <w:szCs w:val="32"/>
          <w:highlight w:val="none"/>
          <w:lang w:eastAsia="zh-CN"/>
        </w:rPr>
        <w:t>无</w:t>
      </w:r>
    </w:p>
    <w:p>
      <w:pPr>
        <w:keepNext w:val="0"/>
        <w:keepLines w:val="0"/>
        <w:pageBreakBefore w:val="0"/>
        <w:widowControl/>
        <w:numPr>
          <w:ilvl w:val="0"/>
          <w:numId w:val="1"/>
        </w:numPr>
        <w:kinsoku/>
        <w:wordWrap/>
        <w:overflowPunct/>
        <w:topLinePunct w:val="0"/>
        <w:autoSpaceDE/>
        <w:autoSpaceDN/>
        <w:bidi w:val="0"/>
        <w:adjustRightInd/>
        <w:snapToGrid/>
        <w:spacing w:line="640" w:lineRule="exact"/>
        <w:ind w:left="0" w:leftChars="0" w:firstLine="640" w:firstLineChars="200"/>
        <w:jc w:val="both"/>
        <w:textAlignment w:val="auto"/>
        <w:rPr>
          <w:rFonts w:hint="default" w:ascii="Times New Roman" w:hAnsi="Times New Roman" w:eastAsia="黑体" w:cs="Times New Roman"/>
          <w:sz w:val="32"/>
          <w:szCs w:val="32"/>
          <w:highlight w:val="none"/>
        </w:rPr>
      </w:pPr>
      <w:r>
        <w:rPr>
          <w:rFonts w:hint="default" w:ascii="Times New Roman" w:hAnsi="Times New Roman" w:eastAsia="黑体" w:cs="Times New Roman"/>
          <w:sz w:val="32"/>
          <w:szCs w:val="32"/>
          <w:highlight w:val="none"/>
        </w:rPr>
        <w:t>部门整体支出绩效情况</w:t>
      </w:r>
    </w:p>
    <w:p>
      <w:pPr>
        <w:pStyle w:val="10"/>
        <w:keepNext w:val="0"/>
        <w:keepLines w:val="0"/>
        <w:pageBreakBefore w:val="0"/>
        <w:widowControl/>
        <w:kinsoku/>
        <w:wordWrap/>
        <w:overflowPunct/>
        <w:topLinePunct w:val="0"/>
        <w:autoSpaceDE/>
        <w:autoSpaceDN/>
        <w:bidi w:val="0"/>
        <w:adjustRightInd/>
        <w:snapToGrid/>
        <w:spacing w:line="560" w:lineRule="exact"/>
        <w:ind w:firstLine="640" w:firstLineChars="200"/>
        <w:jc w:val="both"/>
        <w:textAlignment w:val="auto"/>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（一）支出预算执行情况。资金下达时本单位制定了实</w:t>
      </w:r>
    </w:p>
    <w:p>
      <w:pPr>
        <w:pStyle w:val="10"/>
        <w:keepNext w:val="0"/>
        <w:keepLines w:val="0"/>
        <w:pageBreakBefore w:val="0"/>
        <w:widowControl/>
        <w:kinsoku/>
        <w:wordWrap/>
        <w:overflowPunct/>
        <w:topLinePunct w:val="0"/>
        <w:autoSpaceDE/>
        <w:autoSpaceDN/>
        <w:bidi w:val="0"/>
        <w:adjustRightInd/>
        <w:snapToGrid/>
        <w:spacing w:line="560" w:lineRule="exact"/>
        <w:ind w:firstLine="640" w:firstLineChars="200"/>
        <w:jc w:val="both"/>
        <w:textAlignment w:val="auto"/>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施方案，在项目实施过程中，加强对专项资金使用的管理，并按照项目资金专项检查的要求进行管理。君山区市场监督管理局积累了丰富的项目实施经验，并建立了完善的管理制度，严格按规定组织人力物力实施项目，从各方面有效保证了2023年市场监管专项资金项目的进度、质量，取得良好的经济和社会效益。</w:t>
      </w:r>
    </w:p>
    <w:p>
      <w:pPr>
        <w:pStyle w:val="10"/>
        <w:keepNext w:val="0"/>
        <w:keepLines w:val="0"/>
        <w:pageBreakBefore w:val="0"/>
        <w:widowControl/>
        <w:kinsoku/>
        <w:wordWrap/>
        <w:overflowPunct/>
        <w:topLinePunct w:val="0"/>
        <w:autoSpaceDE/>
        <w:autoSpaceDN/>
        <w:bidi w:val="0"/>
        <w:adjustRightInd/>
        <w:snapToGrid/>
        <w:spacing w:line="560" w:lineRule="exact"/>
        <w:ind w:firstLine="640" w:firstLineChars="200"/>
        <w:jc w:val="both"/>
        <w:textAlignment w:val="auto"/>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二）支出绩效目标完成情况。项目绩效共性指标按区财政局文件规定分解确定，个性指标按照项目实际按相关性、重要性、必要性、可操作性原则确定。关于数量与资金方面情况，按年初设定的资金总额口径分析主要指标如下：</w:t>
      </w:r>
    </w:p>
    <w:p>
      <w:pPr>
        <w:pStyle w:val="10"/>
        <w:keepNext w:val="0"/>
        <w:keepLines w:val="0"/>
        <w:pageBreakBefore w:val="0"/>
        <w:widowControl/>
        <w:kinsoku/>
        <w:wordWrap/>
        <w:overflowPunct/>
        <w:topLinePunct w:val="0"/>
        <w:autoSpaceDE/>
        <w:autoSpaceDN/>
        <w:bidi w:val="0"/>
        <w:adjustRightInd/>
        <w:snapToGrid/>
        <w:spacing w:line="560" w:lineRule="exact"/>
        <w:ind w:firstLine="640" w:firstLineChars="200"/>
        <w:jc w:val="both"/>
        <w:textAlignment w:val="auto"/>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1、任务完成率100%。君山区市场监管局根据区委、区</w:t>
      </w:r>
    </w:p>
    <w:p>
      <w:pPr>
        <w:pStyle w:val="10"/>
        <w:keepNext w:val="0"/>
        <w:keepLines w:val="0"/>
        <w:pageBreakBefore w:val="0"/>
        <w:widowControl/>
        <w:kinsoku/>
        <w:wordWrap/>
        <w:overflowPunct/>
        <w:topLinePunct w:val="0"/>
        <w:autoSpaceDE/>
        <w:autoSpaceDN/>
        <w:bidi w:val="0"/>
        <w:adjustRightInd/>
        <w:snapToGrid/>
        <w:spacing w:line="560" w:lineRule="exact"/>
        <w:ind w:left="0" w:leftChars="0" w:firstLine="0" w:firstLineChars="0"/>
        <w:jc w:val="both"/>
        <w:textAlignment w:val="auto"/>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政府下达的工作任务以及我区市场监管面临的形势、监管队伍建设情况的特点，资金主要安排用于市场执法监管、食品药品和医疗器械生产流通监管、稽查打假、监管队伍能力建设和市场监管科普等方面，以确保全区市场监管环境持续稳定、监管人员工作能力提升。</w:t>
      </w:r>
    </w:p>
    <w:p>
      <w:pPr>
        <w:pStyle w:val="10"/>
        <w:keepNext w:val="0"/>
        <w:keepLines w:val="0"/>
        <w:pageBreakBefore w:val="0"/>
        <w:widowControl/>
        <w:kinsoku/>
        <w:wordWrap/>
        <w:overflowPunct/>
        <w:topLinePunct w:val="0"/>
        <w:autoSpaceDE/>
        <w:autoSpaceDN/>
        <w:bidi w:val="0"/>
        <w:adjustRightInd/>
        <w:snapToGrid/>
        <w:spacing w:line="560" w:lineRule="exact"/>
        <w:ind w:firstLine="640" w:firstLineChars="200"/>
        <w:jc w:val="both"/>
        <w:textAlignment w:val="auto"/>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2、成本节约率0。通过招标或政府采购的项目合同金额都合理控制在预算范围内，未有超标现象，并按时完成目标。</w:t>
      </w:r>
    </w:p>
    <w:p>
      <w:pPr>
        <w:pStyle w:val="10"/>
        <w:keepNext w:val="0"/>
        <w:keepLines w:val="0"/>
        <w:pageBreakBefore w:val="0"/>
        <w:widowControl/>
        <w:kinsoku/>
        <w:wordWrap/>
        <w:overflowPunct/>
        <w:topLinePunct w:val="0"/>
        <w:autoSpaceDE/>
        <w:autoSpaceDN/>
        <w:bidi w:val="0"/>
        <w:adjustRightInd/>
        <w:snapToGrid/>
        <w:spacing w:line="560" w:lineRule="exact"/>
        <w:ind w:firstLine="640" w:firstLineChars="200"/>
        <w:jc w:val="both"/>
        <w:textAlignment w:val="auto"/>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3、关于完成时间方面情况。2023年度项目资金于2023年度完成。</w:t>
      </w:r>
    </w:p>
    <w:p>
      <w:pPr>
        <w:pStyle w:val="10"/>
        <w:keepNext w:val="0"/>
        <w:keepLines w:val="0"/>
        <w:pageBreakBefore w:val="0"/>
        <w:widowControl/>
        <w:kinsoku/>
        <w:wordWrap/>
        <w:overflowPunct/>
        <w:topLinePunct w:val="0"/>
        <w:autoSpaceDE/>
        <w:autoSpaceDN/>
        <w:bidi w:val="0"/>
        <w:adjustRightInd/>
        <w:snapToGrid/>
        <w:spacing w:line="560" w:lineRule="exact"/>
        <w:ind w:firstLine="640" w:firstLineChars="200"/>
        <w:jc w:val="both"/>
        <w:textAlignment w:val="auto"/>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（三）整体支出绩效情况</w:t>
      </w:r>
    </w:p>
    <w:p>
      <w:pPr>
        <w:pStyle w:val="10"/>
        <w:keepNext w:val="0"/>
        <w:keepLines w:val="0"/>
        <w:pageBreakBefore w:val="0"/>
        <w:widowControl/>
        <w:kinsoku/>
        <w:wordWrap/>
        <w:overflowPunct/>
        <w:topLinePunct w:val="0"/>
        <w:autoSpaceDE/>
        <w:autoSpaceDN/>
        <w:bidi w:val="0"/>
        <w:adjustRightInd/>
        <w:snapToGrid/>
        <w:spacing w:line="560" w:lineRule="exact"/>
        <w:ind w:firstLine="640" w:firstLineChars="200"/>
        <w:jc w:val="both"/>
        <w:textAlignment w:val="auto"/>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本年度资金项目具有明确的目标，项目实施过程中严格按照省、市有关项目管理和经费管理规定执行，资金到位及时，使用得当。单位高度负责，认真精心组织，取得了良好的社会效益，保证了资金的有效运行。</w:t>
      </w:r>
    </w:p>
    <w:p>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600" w:lineRule="exact"/>
        <w:ind w:left="0" w:right="0" w:firstLine="643" w:firstLineChars="200"/>
        <w:textAlignment w:val="auto"/>
        <w:rPr>
          <w:rFonts w:hint="eastAsia" w:ascii="仿宋" w:hAnsi="仿宋" w:eastAsia="仿宋" w:cs="仿宋"/>
          <w:b/>
          <w:bCs/>
          <w:sz w:val="32"/>
          <w:szCs w:val="32"/>
          <w:lang w:eastAsia="zh-CN"/>
        </w:rPr>
      </w:pPr>
      <w:r>
        <w:rPr>
          <w:rFonts w:hint="eastAsia" w:ascii="仿宋" w:hAnsi="仿宋" w:eastAsia="仿宋" w:cs="仿宋"/>
          <w:b/>
          <w:bCs/>
          <w:sz w:val="32"/>
          <w:szCs w:val="32"/>
          <w:lang w:eastAsia="zh-CN"/>
        </w:rPr>
        <w:t>（</w:t>
      </w:r>
      <w:r>
        <w:rPr>
          <w:rFonts w:hint="eastAsia" w:ascii="仿宋" w:hAnsi="仿宋" w:eastAsia="仿宋" w:cs="仿宋"/>
          <w:b/>
          <w:bCs/>
          <w:sz w:val="32"/>
          <w:szCs w:val="32"/>
          <w:lang w:val="en-US" w:eastAsia="zh-CN"/>
        </w:rPr>
        <w:t>一</w:t>
      </w:r>
      <w:r>
        <w:rPr>
          <w:rFonts w:hint="eastAsia" w:ascii="仿宋" w:hAnsi="仿宋" w:eastAsia="仿宋" w:cs="仿宋"/>
          <w:b/>
          <w:bCs/>
          <w:sz w:val="32"/>
          <w:szCs w:val="32"/>
          <w:lang w:eastAsia="zh-CN"/>
        </w:rPr>
        <w:t>）食品安全工作成效显著。</w:t>
      </w:r>
    </w:p>
    <w:p>
      <w:pPr>
        <w:keepNext w:val="0"/>
        <w:keepLines w:val="0"/>
        <w:pageBreakBefore w:val="0"/>
        <w:widowControl w:val="0"/>
        <w:numPr>
          <w:ilvl w:val="0"/>
          <w:numId w:val="0"/>
        </w:numPr>
        <w:kinsoku/>
        <w:wordWrap/>
        <w:overflowPunct/>
        <w:topLinePunct w:val="0"/>
        <w:autoSpaceDE/>
        <w:autoSpaceDN/>
        <w:bidi w:val="0"/>
        <w:adjustRightInd/>
        <w:snapToGrid/>
        <w:spacing w:line="600" w:lineRule="exact"/>
        <w:ind w:firstLine="643" w:firstLineChars="200"/>
        <w:textAlignment w:val="auto"/>
        <w:rPr>
          <w:rFonts w:hint="eastAsia" w:ascii="仿宋" w:hAnsi="仿宋" w:eastAsia="仿宋" w:cs="仿宋"/>
          <w:sz w:val="32"/>
          <w:szCs w:val="32"/>
          <w:lang w:val="en-US" w:eastAsia="zh-CN"/>
        </w:rPr>
      </w:pPr>
      <w:r>
        <w:rPr>
          <w:rFonts w:hint="eastAsia" w:ascii="仿宋" w:hAnsi="仿宋" w:eastAsia="仿宋" w:cs="仿宋"/>
          <w:b/>
          <w:i w:val="0"/>
          <w:caps w:val="0"/>
          <w:color w:val="auto"/>
          <w:spacing w:val="0"/>
          <w:kern w:val="0"/>
          <w:sz w:val="32"/>
          <w:szCs w:val="32"/>
          <w:shd w:val="clear" w:color="auto" w:fill="FFFFFF"/>
          <w:lang w:val="en-US" w:eastAsia="zh-CN" w:bidi="ar"/>
        </w:rPr>
        <w:t>一是食品安全“两个责任”全市领先。</w:t>
      </w:r>
      <w:r>
        <w:rPr>
          <w:rFonts w:hint="eastAsia" w:ascii="仿宋" w:hAnsi="仿宋" w:eastAsia="仿宋" w:cs="仿宋"/>
          <w:sz w:val="32"/>
          <w:szCs w:val="32"/>
          <w:lang w:val="en-US" w:eastAsia="zh-CN"/>
        </w:rPr>
        <w:t>全区责任清单、承诺书100%上传。全年度食品安全“两个责任”督导覆盖率，B、C两级主体“日周月”覆盖率、执行率全市排名第一。</w:t>
      </w:r>
      <w:r>
        <w:rPr>
          <w:rFonts w:hint="eastAsia" w:ascii="仿宋" w:hAnsi="仿宋" w:eastAsia="仿宋" w:cs="仿宋"/>
          <w:b/>
          <w:i w:val="0"/>
          <w:caps w:val="0"/>
          <w:color w:val="auto"/>
          <w:spacing w:val="0"/>
          <w:kern w:val="0"/>
          <w:sz w:val="32"/>
          <w:szCs w:val="32"/>
          <w:shd w:val="clear" w:color="auto" w:fill="FFFFFF"/>
          <w:lang w:val="en-US" w:eastAsia="zh-CN" w:bidi="ar"/>
        </w:rPr>
        <w:t>二是非现场监管成效显著。</w:t>
      </w:r>
      <w:r>
        <w:rPr>
          <w:rFonts w:hint="eastAsia" w:ascii="仿宋" w:hAnsi="仿宋" w:eastAsia="仿宋" w:cs="仿宋"/>
          <w:sz w:val="32"/>
          <w:szCs w:val="32"/>
          <w:lang w:val="en-US" w:eastAsia="zh-CN"/>
        </w:rPr>
        <w:t>区政府投入120万元，建成君山区食品安全智慧监管平台，</w:t>
      </w:r>
      <w:r>
        <w:rPr>
          <w:rFonts w:hint="eastAsia" w:ascii="仿宋" w:hAnsi="仿宋" w:eastAsia="仿宋" w:cs="仿宋"/>
          <w:b w:val="0"/>
          <w:bCs w:val="0"/>
          <w:color w:val="000000"/>
          <w:sz w:val="32"/>
          <w:szCs w:val="32"/>
          <w:lang w:val="en-US" w:eastAsia="zh-CN"/>
        </w:rPr>
        <w:t>已接入96家主体，其中</w:t>
      </w:r>
      <w:r>
        <w:rPr>
          <w:rFonts w:hint="eastAsia" w:ascii="仿宋" w:hAnsi="仿宋" w:eastAsia="仿宋" w:cs="仿宋"/>
          <w:sz w:val="32"/>
          <w:szCs w:val="32"/>
          <w:lang w:val="en-US" w:eastAsia="zh-CN"/>
        </w:rPr>
        <w:t>A、B级主体20家已全部接入平台，C级</w:t>
      </w:r>
      <w:r>
        <w:rPr>
          <w:rFonts w:hint="eastAsia" w:ascii="仿宋" w:hAnsi="仿宋" w:eastAsia="仿宋" w:cs="仿宋"/>
          <w:b w:val="0"/>
          <w:bCs w:val="0"/>
          <w:color w:val="000000"/>
          <w:sz w:val="32"/>
          <w:szCs w:val="32"/>
          <w:lang w:val="en-US" w:eastAsia="zh-CN"/>
        </w:rPr>
        <w:t>主体</w:t>
      </w:r>
      <w:r>
        <w:rPr>
          <w:rFonts w:hint="eastAsia" w:ascii="仿宋" w:hAnsi="仿宋" w:eastAsia="仿宋" w:cs="仿宋"/>
          <w:sz w:val="32"/>
          <w:szCs w:val="32"/>
          <w:lang w:val="en-US" w:eastAsia="zh-CN"/>
        </w:rPr>
        <w:t>12月30日前全面完成接入。</w:t>
      </w:r>
      <w:r>
        <w:rPr>
          <w:rFonts w:hint="eastAsia" w:ascii="仿宋" w:hAnsi="仿宋" w:eastAsia="仿宋" w:cs="仿宋"/>
          <w:b/>
          <w:i w:val="0"/>
          <w:caps w:val="0"/>
          <w:color w:val="auto"/>
          <w:spacing w:val="0"/>
          <w:kern w:val="0"/>
          <w:sz w:val="32"/>
          <w:szCs w:val="32"/>
          <w:shd w:val="clear" w:color="auto" w:fill="FFFFFF"/>
          <w:lang w:val="en-US" w:eastAsia="zh-CN" w:bidi="ar"/>
        </w:rPr>
        <w:t>三是食品安全责任保险强力推进。</w:t>
      </w:r>
      <w:r>
        <w:rPr>
          <w:rFonts w:hint="eastAsia" w:ascii="仿宋" w:hAnsi="仿宋" w:eastAsia="仿宋" w:cs="仿宋"/>
          <w:sz w:val="32"/>
          <w:szCs w:val="32"/>
          <w:lang w:val="en-US" w:eastAsia="zh-CN"/>
        </w:rPr>
        <w:t>2021年起区政府每年安排专项资金20万元用于农村集体聚餐食品安全责任保险，今年增加10万元用于补助食品生产经营单位购买食品安全责任保险，提升经营主体参保主动性。</w:t>
      </w:r>
    </w:p>
    <w:p>
      <w:pPr>
        <w:keepNext w:val="0"/>
        <w:keepLines w:val="0"/>
        <w:pageBreakBefore w:val="0"/>
        <w:widowControl w:val="0"/>
        <w:numPr>
          <w:ilvl w:val="0"/>
          <w:numId w:val="0"/>
        </w:numPr>
        <w:kinsoku/>
        <w:wordWrap/>
        <w:overflowPunct/>
        <w:topLinePunct w:val="0"/>
        <w:autoSpaceDE/>
        <w:autoSpaceDN/>
        <w:bidi w:val="0"/>
        <w:adjustRightInd/>
        <w:snapToGrid/>
        <w:spacing w:line="600" w:lineRule="exact"/>
        <w:ind w:firstLine="643" w:firstLineChars="200"/>
        <w:textAlignment w:val="auto"/>
        <w:rPr>
          <w:rFonts w:hint="eastAsia" w:ascii="仿宋" w:hAnsi="仿宋" w:eastAsia="仿宋" w:cs="仿宋"/>
          <w:b w:val="0"/>
          <w:bCs w:val="0"/>
          <w:sz w:val="32"/>
          <w:szCs w:val="32"/>
          <w:lang w:eastAsia="zh-CN"/>
        </w:rPr>
      </w:pPr>
      <w:r>
        <w:rPr>
          <w:rFonts w:hint="eastAsia" w:ascii="仿宋" w:hAnsi="仿宋" w:eastAsia="仿宋" w:cs="仿宋"/>
          <w:b/>
          <w:bCs/>
          <w:sz w:val="32"/>
          <w:szCs w:val="32"/>
          <w:lang w:eastAsia="zh-CN"/>
        </w:rPr>
        <w:t>（</w:t>
      </w:r>
      <w:r>
        <w:rPr>
          <w:rFonts w:hint="eastAsia" w:ascii="仿宋" w:hAnsi="仿宋" w:eastAsia="仿宋" w:cs="仿宋"/>
          <w:b/>
          <w:bCs/>
          <w:sz w:val="32"/>
          <w:szCs w:val="32"/>
          <w:lang w:val="en-US" w:eastAsia="zh-CN"/>
        </w:rPr>
        <w:t>二</w:t>
      </w:r>
      <w:r>
        <w:rPr>
          <w:rFonts w:hint="eastAsia" w:ascii="仿宋" w:hAnsi="仿宋" w:eastAsia="仿宋" w:cs="仿宋"/>
          <w:b/>
          <w:bCs/>
          <w:sz w:val="32"/>
          <w:szCs w:val="32"/>
          <w:lang w:eastAsia="zh-CN"/>
        </w:rPr>
        <w:t>）知识产权</w:t>
      </w:r>
      <w:r>
        <w:rPr>
          <w:rFonts w:hint="eastAsia" w:ascii="仿宋" w:hAnsi="仿宋" w:eastAsia="仿宋" w:cs="仿宋"/>
          <w:b/>
          <w:bCs/>
          <w:sz w:val="32"/>
          <w:szCs w:val="32"/>
          <w:lang w:val="en-US" w:eastAsia="zh-CN"/>
        </w:rPr>
        <w:t>保护</w:t>
      </w:r>
      <w:r>
        <w:rPr>
          <w:rFonts w:hint="eastAsia" w:ascii="仿宋" w:hAnsi="仿宋" w:eastAsia="仿宋" w:cs="仿宋"/>
          <w:b/>
          <w:bCs/>
          <w:sz w:val="32"/>
          <w:szCs w:val="32"/>
          <w:lang w:eastAsia="zh-CN"/>
        </w:rPr>
        <w:t>运用</w:t>
      </w:r>
      <w:r>
        <w:rPr>
          <w:rFonts w:hint="eastAsia" w:ascii="仿宋" w:hAnsi="仿宋" w:eastAsia="仿宋" w:cs="仿宋"/>
          <w:b/>
          <w:bCs/>
          <w:sz w:val="32"/>
          <w:szCs w:val="32"/>
          <w:lang w:val="en-US" w:eastAsia="zh-CN"/>
        </w:rPr>
        <w:t>凸显</w:t>
      </w:r>
      <w:r>
        <w:rPr>
          <w:rFonts w:hint="eastAsia" w:ascii="仿宋" w:hAnsi="仿宋" w:eastAsia="仿宋" w:cs="仿宋"/>
          <w:b/>
          <w:bCs/>
          <w:sz w:val="32"/>
          <w:szCs w:val="32"/>
          <w:lang w:eastAsia="zh-CN"/>
        </w:rPr>
        <w:t>。</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eastAsia" w:ascii="仿宋" w:hAnsi="仿宋" w:eastAsia="仿宋" w:cs="仿宋"/>
          <w:sz w:val="32"/>
          <w:szCs w:val="32"/>
          <w:lang w:val="en-US" w:eastAsia="zh-CN"/>
        </w:rPr>
      </w:pPr>
      <w:r>
        <w:rPr>
          <w:rFonts w:hint="eastAsia" w:ascii="仿宋" w:hAnsi="仿宋" w:eastAsia="仿宋" w:cs="仿宋"/>
          <w:b w:val="0"/>
          <w:bCs w:val="0"/>
          <w:color w:val="auto"/>
          <w:sz w:val="32"/>
          <w:szCs w:val="32"/>
          <w:lang w:val="en-US" w:eastAsia="zh-CN"/>
        </w:rPr>
        <w:t>截至三季度，我区新增注册商标190件，有效商标总数2188件，同比增长10%。发明专利授权数9件，每万人有效发明专利拥有量达2.665件，同比增长12%。全区共有有效发明专利53件，其中马德里国际商标注册4件，PCT国际发明专利1件。授权许可28家企业使用5件地理标志证明商标，实现辖区地理标志证明商标专用标志许可使用全覆盖。2023年7月，与武汉硚口区、洪湖市签订跨区域知识产权联合保护合作协议，并开展知识产权跨区域保护联合执法行动。</w:t>
      </w:r>
    </w:p>
    <w:p>
      <w:pPr>
        <w:keepNext w:val="0"/>
        <w:keepLines w:val="0"/>
        <w:pageBreakBefore w:val="0"/>
        <w:widowControl w:val="0"/>
        <w:numPr>
          <w:ilvl w:val="0"/>
          <w:numId w:val="3"/>
        </w:numPr>
        <w:kinsoku/>
        <w:wordWrap/>
        <w:overflowPunct/>
        <w:topLinePunct w:val="0"/>
        <w:autoSpaceDE/>
        <w:autoSpaceDN/>
        <w:bidi w:val="0"/>
        <w:adjustRightInd/>
        <w:snapToGrid/>
        <w:spacing w:line="600" w:lineRule="exact"/>
        <w:ind w:firstLine="643" w:firstLineChars="200"/>
        <w:textAlignment w:val="auto"/>
        <w:rPr>
          <w:rFonts w:hint="eastAsia" w:ascii="仿宋" w:hAnsi="仿宋" w:eastAsia="仿宋" w:cs="仿宋"/>
          <w:b/>
          <w:bCs/>
          <w:sz w:val="32"/>
          <w:szCs w:val="32"/>
          <w:lang w:val="en-US" w:eastAsia="zh-CN"/>
        </w:rPr>
      </w:pPr>
      <w:r>
        <w:rPr>
          <w:rFonts w:hint="eastAsia" w:ascii="仿宋" w:hAnsi="仿宋" w:eastAsia="仿宋" w:cs="仿宋"/>
          <w:b/>
          <w:bCs/>
          <w:sz w:val="32"/>
          <w:szCs w:val="32"/>
          <w:lang w:val="en-US" w:eastAsia="zh-CN"/>
        </w:rPr>
        <w:t>经营主体培育增量可观。</w:t>
      </w:r>
    </w:p>
    <w:p>
      <w:pPr>
        <w:keepNext w:val="0"/>
        <w:keepLines w:val="0"/>
        <w:pageBreakBefore w:val="0"/>
        <w:widowControl w:val="0"/>
        <w:numPr>
          <w:ilvl w:val="0"/>
          <w:numId w:val="0"/>
        </w:numPr>
        <w:kinsoku/>
        <w:wordWrap/>
        <w:overflowPunct/>
        <w:topLinePunct w:val="0"/>
        <w:autoSpaceDE/>
        <w:autoSpaceDN/>
        <w:bidi w:val="0"/>
        <w:adjustRightInd/>
        <w:snapToGrid/>
        <w:spacing w:line="600" w:lineRule="exact"/>
        <w:ind w:firstLine="640" w:firstLineChars="200"/>
        <w:textAlignment w:val="auto"/>
        <w:rPr>
          <w:rFonts w:hint="eastAsia" w:ascii="仿宋" w:hAnsi="仿宋" w:eastAsia="仿宋" w:cs="仿宋"/>
          <w:sz w:val="32"/>
          <w:szCs w:val="32"/>
          <w:lang w:val="en-US" w:eastAsia="zh-CN"/>
        </w:rPr>
      </w:pPr>
      <w:r>
        <w:rPr>
          <w:rFonts w:hint="eastAsia" w:ascii="仿宋" w:hAnsi="仿宋" w:eastAsia="仿宋" w:cs="仿宋"/>
          <w:color w:val="auto"/>
          <w:sz w:val="32"/>
          <w:szCs w:val="32"/>
          <w:lang w:val="en-US" w:eastAsia="zh-CN"/>
        </w:rPr>
        <w:t>今年新增各类市场主体2036户（其中，新增各类企业1117户），完成市下达任务增长数的100.4%（其中，新增企业完成下达任务数的197%），新增“个转企”任务数40户，完成市下达任务100%。截至12月19日，全区共有各类市场主体18281户，同比增长17.3%，其中企业3648户，同比增长50.1%；个体户14633户，同比增长11.5%。</w:t>
      </w:r>
    </w:p>
    <w:p>
      <w:pPr>
        <w:pStyle w:val="10"/>
        <w:keepNext w:val="0"/>
        <w:keepLines w:val="0"/>
        <w:pageBreakBefore w:val="0"/>
        <w:widowControl/>
        <w:kinsoku/>
        <w:wordWrap/>
        <w:overflowPunct/>
        <w:topLinePunct w:val="0"/>
        <w:autoSpaceDE/>
        <w:autoSpaceDN/>
        <w:bidi w:val="0"/>
        <w:adjustRightInd/>
        <w:snapToGrid/>
        <w:spacing w:line="640" w:lineRule="exact"/>
        <w:ind w:firstLine="640" w:firstLineChars="200"/>
        <w:jc w:val="both"/>
        <w:textAlignment w:val="auto"/>
        <w:rPr>
          <w:rFonts w:hint="default" w:ascii="Times New Roman" w:hAnsi="Times New Roman" w:eastAsia="黑体" w:cs="Times New Roman"/>
          <w:sz w:val="32"/>
          <w:szCs w:val="32"/>
          <w:highlight w:val="none"/>
        </w:rPr>
      </w:pPr>
      <w:r>
        <w:rPr>
          <w:rFonts w:hint="default" w:ascii="Times New Roman" w:hAnsi="Times New Roman" w:eastAsia="黑体" w:cs="Times New Roman"/>
          <w:sz w:val="32"/>
          <w:szCs w:val="32"/>
          <w:highlight w:val="none"/>
        </w:rPr>
        <w:t>七、存在的问题及原因分析</w:t>
      </w:r>
    </w:p>
    <w:p>
      <w:pPr>
        <w:ind w:firstLine="640" w:firstLineChars="200"/>
        <w:rPr>
          <w:rFonts w:hint="eastAsia" w:ascii="仿宋" w:hAnsi="仿宋" w:eastAsia="仿宋" w:cs="仿宋"/>
          <w:kern w:val="0"/>
          <w:sz w:val="32"/>
          <w:szCs w:val="32"/>
          <w:lang w:val="en-US" w:eastAsia="zh-CN" w:bidi="ar-SA"/>
        </w:rPr>
      </w:pPr>
      <w:r>
        <w:rPr>
          <w:rFonts w:hint="eastAsia" w:ascii="仿宋" w:hAnsi="仿宋" w:eastAsia="仿宋" w:cs="仿宋"/>
          <w:kern w:val="0"/>
          <w:sz w:val="32"/>
          <w:szCs w:val="32"/>
          <w:lang w:val="en-US" w:eastAsia="zh-CN" w:bidi="ar-SA"/>
        </w:rPr>
        <w:t>1、运行维护经费开支预算与决算数存在一定差距，项目开支到基层所力度还有待加强，项目支付效益有待进一步加强。</w:t>
      </w:r>
      <w:r>
        <w:rPr>
          <w:rFonts w:hint="eastAsia" w:ascii="仿宋" w:hAnsi="仿宋" w:eastAsia="仿宋" w:cs="仿宋"/>
          <w:kern w:val="0"/>
          <w:sz w:val="32"/>
          <w:szCs w:val="32"/>
          <w:lang w:val="en-US" w:eastAsia="zh-CN" w:bidi="ar-SA"/>
        </w:rPr>
        <w:br w:type="textWrapping"/>
      </w:r>
      <w:r>
        <w:rPr>
          <w:rFonts w:hint="eastAsia" w:ascii="仿宋" w:hAnsi="仿宋" w:eastAsia="仿宋" w:cs="仿宋"/>
          <w:kern w:val="0"/>
          <w:sz w:val="32"/>
          <w:szCs w:val="32"/>
          <w:lang w:val="en-US" w:eastAsia="zh-CN" w:bidi="ar-SA"/>
        </w:rPr>
        <w:t xml:space="preserve">    2、基层财务人员业务能力有待提高。</w:t>
      </w:r>
    </w:p>
    <w:p>
      <w:pPr>
        <w:keepNext w:val="0"/>
        <w:keepLines w:val="0"/>
        <w:pageBreakBefore w:val="0"/>
        <w:widowControl/>
        <w:kinsoku/>
        <w:wordWrap/>
        <w:overflowPunct/>
        <w:topLinePunct w:val="0"/>
        <w:autoSpaceDE/>
        <w:autoSpaceDN/>
        <w:bidi w:val="0"/>
        <w:adjustRightInd/>
        <w:snapToGrid/>
        <w:spacing w:line="640" w:lineRule="exact"/>
        <w:ind w:firstLine="640" w:firstLineChars="200"/>
        <w:jc w:val="both"/>
        <w:textAlignment w:val="auto"/>
        <w:rPr>
          <w:rFonts w:hint="default" w:ascii="Times New Roman" w:hAnsi="Times New Roman" w:eastAsia="黑体" w:cs="Times New Roman"/>
          <w:sz w:val="32"/>
          <w:szCs w:val="32"/>
          <w:highlight w:val="none"/>
        </w:rPr>
      </w:pPr>
      <w:r>
        <w:rPr>
          <w:rFonts w:hint="default" w:ascii="Times New Roman" w:hAnsi="Times New Roman" w:eastAsia="黑体" w:cs="Times New Roman"/>
          <w:sz w:val="32"/>
          <w:szCs w:val="32"/>
          <w:highlight w:val="none"/>
        </w:rPr>
        <w:t>八、下一步改进措施</w:t>
      </w:r>
    </w:p>
    <w:p>
      <w:pPr>
        <w:ind w:firstLine="640" w:firstLineChars="200"/>
        <w:rPr>
          <w:rFonts w:hint="default" w:ascii="仿宋" w:hAnsi="仿宋" w:eastAsia="仿宋" w:cs="仿宋"/>
          <w:kern w:val="0"/>
          <w:sz w:val="32"/>
          <w:szCs w:val="32"/>
          <w:lang w:val="en-US" w:eastAsia="zh-CN" w:bidi="ar-SA"/>
        </w:rPr>
      </w:pPr>
      <w:r>
        <w:rPr>
          <w:rFonts w:hint="eastAsia" w:ascii="仿宋" w:hAnsi="仿宋" w:eastAsia="仿宋" w:cs="仿宋"/>
          <w:kern w:val="0"/>
          <w:sz w:val="32"/>
          <w:szCs w:val="32"/>
          <w:lang w:val="en-US" w:eastAsia="zh-CN" w:bidi="ar-SA"/>
        </w:rPr>
        <w:t>1、进一步加强项目支出的预算管理；增强财务预算执行情况的控制分析，进一步加强会计基础核算工作，为领导决策提供有用的决策信息。进一步加强财务日常监督工作，严格执行国家财经纪律，保证财务工作的真实、完整，维护全局整体利益。</w:t>
      </w:r>
      <w:r>
        <w:rPr>
          <w:rFonts w:hint="eastAsia" w:ascii="仿宋" w:hAnsi="仿宋" w:eastAsia="仿宋" w:cs="仿宋"/>
          <w:kern w:val="0"/>
          <w:sz w:val="32"/>
          <w:szCs w:val="32"/>
          <w:lang w:val="en-US" w:eastAsia="zh-CN" w:bidi="ar-SA"/>
        </w:rPr>
        <w:br w:type="textWrapping"/>
      </w:r>
      <w:r>
        <w:rPr>
          <w:rFonts w:hint="eastAsia" w:ascii="仿宋" w:hAnsi="仿宋" w:eastAsia="仿宋" w:cs="仿宋"/>
          <w:kern w:val="0"/>
          <w:sz w:val="32"/>
          <w:szCs w:val="32"/>
          <w:lang w:val="en-US" w:eastAsia="zh-CN" w:bidi="ar-SA"/>
        </w:rPr>
        <w:t xml:space="preserve">    2、按财政预算及拨付项目内容严格对项目资金使用进行管理和规范。</w:t>
      </w:r>
      <w:r>
        <w:rPr>
          <w:rFonts w:hint="eastAsia" w:ascii="仿宋" w:hAnsi="仿宋" w:eastAsia="仿宋" w:cs="仿宋"/>
          <w:kern w:val="0"/>
          <w:sz w:val="32"/>
          <w:szCs w:val="32"/>
          <w:lang w:val="en-US" w:eastAsia="zh-CN" w:bidi="ar-SA"/>
        </w:rPr>
        <w:br w:type="textWrapping"/>
      </w:r>
      <w:r>
        <w:rPr>
          <w:rFonts w:hint="eastAsia" w:ascii="仿宋" w:hAnsi="仿宋" w:eastAsia="仿宋" w:cs="仿宋"/>
          <w:kern w:val="0"/>
          <w:sz w:val="32"/>
          <w:szCs w:val="32"/>
          <w:lang w:val="en-US" w:eastAsia="zh-CN" w:bidi="ar-SA"/>
        </w:rPr>
        <w:t xml:space="preserve">    3、做好增收节支，合理、合法、科学、民主理财。</w:t>
      </w:r>
      <w:r>
        <w:rPr>
          <w:rFonts w:hint="eastAsia" w:ascii="仿宋" w:hAnsi="仿宋" w:eastAsia="仿宋" w:cs="仿宋"/>
          <w:kern w:val="0"/>
          <w:sz w:val="32"/>
          <w:szCs w:val="32"/>
          <w:lang w:val="en-US" w:eastAsia="zh-CN" w:bidi="ar-SA"/>
        </w:rPr>
        <w:br w:type="textWrapping"/>
      </w:r>
      <w:r>
        <w:rPr>
          <w:rFonts w:hint="eastAsia" w:ascii="仿宋" w:hAnsi="仿宋" w:eastAsia="仿宋" w:cs="仿宋"/>
          <w:kern w:val="0"/>
          <w:sz w:val="32"/>
          <w:szCs w:val="32"/>
          <w:lang w:val="en-US" w:eastAsia="zh-CN" w:bidi="ar-SA"/>
        </w:rPr>
        <w:t xml:space="preserve">    4、针对我局监管项目多，范围广，增加相应的专项资金，满足各项监管工作的资金需要。</w:t>
      </w:r>
    </w:p>
    <w:p>
      <w:pPr>
        <w:keepNext w:val="0"/>
        <w:keepLines w:val="0"/>
        <w:pageBreakBefore w:val="0"/>
        <w:widowControl/>
        <w:kinsoku/>
        <w:wordWrap/>
        <w:overflowPunct/>
        <w:topLinePunct w:val="0"/>
        <w:autoSpaceDE/>
        <w:autoSpaceDN/>
        <w:bidi w:val="0"/>
        <w:adjustRightInd/>
        <w:snapToGrid/>
        <w:spacing w:line="640" w:lineRule="exact"/>
        <w:ind w:firstLine="640" w:firstLineChars="200"/>
        <w:jc w:val="both"/>
        <w:textAlignment w:val="auto"/>
        <w:rPr>
          <w:rFonts w:hint="default" w:ascii="Times New Roman" w:hAnsi="Times New Roman" w:eastAsia="黑体" w:cs="Times New Roman"/>
          <w:sz w:val="32"/>
          <w:szCs w:val="32"/>
          <w:highlight w:val="none"/>
        </w:rPr>
      </w:pPr>
      <w:r>
        <w:rPr>
          <w:rFonts w:hint="default" w:ascii="Times New Roman" w:hAnsi="Times New Roman" w:eastAsia="黑体" w:cs="Times New Roman"/>
          <w:sz w:val="32"/>
          <w:szCs w:val="32"/>
          <w:highlight w:val="none"/>
        </w:rPr>
        <w:t>九、部门整体支出绩效自评结果拟应用和公开情况</w:t>
      </w:r>
    </w:p>
    <w:p>
      <w:pPr>
        <w:ind w:firstLine="640" w:firstLineChars="200"/>
        <w:rPr>
          <w:rFonts w:hint="default" w:ascii="仿宋" w:hAnsi="仿宋" w:eastAsia="仿宋" w:cs="仿宋"/>
          <w:kern w:val="0"/>
          <w:sz w:val="32"/>
          <w:szCs w:val="32"/>
          <w:lang w:val="en-US" w:eastAsia="zh-CN" w:bidi="ar-SA"/>
        </w:rPr>
      </w:pPr>
      <w:r>
        <w:rPr>
          <w:rFonts w:hint="eastAsia" w:ascii="仿宋" w:hAnsi="仿宋" w:eastAsia="仿宋" w:cs="仿宋"/>
          <w:kern w:val="0"/>
          <w:sz w:val="32"/>
          <w:szCs w:val="32"/>
          <w:lang w:val="en-US" w:eastAsia="zh-CN" w:bidi="ar-SA"/>
        </w:rPr>
        <w:t>根据区财政相关部门统一部署，我单位2023年部门整体支出绩效自评情况将在楼区政府门户网站公开，接受社会监督。对绩效自评工作中发现的问题及时整改，解决好绩效评价管理中存在的问题，提高工作效能。根据部门整体支出绩效评价指标及评分标准，2023年我单位部门整体绩效评价自评分为100分。</w:t>
      </w:r>
    </w:p>
    <w:p>
      <w:pPr>
        <w:keepNext w:val="0"/>
        <w:keepLines w:val="0"/>
        <w:pageBreakBefore w:val="0"/>
        <w:widowControl/>
        <w:kinsoku/>
        <w:wordWrap/>
        <w:overflowPunct/>
        <w:topLinePunct w:val="0"/>
        <w:autoSpaceDE/>
        <w:autoSpaceDN/>
        <w:bidi w:val="0"/>
        <w:adjustRightInd/>
        <w:snapToGrid/>
        <w:spacing w:line="640" w:lineRule="exact"/>
        <w:ind w:firstLine="640" w:firstLineChars="200"/>
        <w:jc w:val="both"/>
        <w:textAlignment w:val="auto"/>
        <w:rPr>
          <w:rFonts w:hint="default" w:ascii="Times New Roman" w:hAnsi="Times New Roman" w:eastAsia="黑体" w:cs="Times New Roman"/>
          <w:sz w:val="32"/>
          <w:szCs w:val="32"/>
          <w:highlight w:val="none"/>
        </w:rPr>
      </w:pPr>
      <w:r>
        <w:rPr>
          <w:rFonts w:hint="eastAsia" w:ascii="Times New Roman" w:hAnsi="Times New Roman" w:eastAsia="黑体" w:cs="Times New Roman"/>
          <w:sz w:val="32"/>
          <w:szCs w:val="32"/>
          <w:highlight w:val="none"/>
          <w:lang w:eastAsia="zh-CN"/>
        </w:rPr>
        <w:t>十、</w:t>
      </w:r>
      <w:r>
        <w:rPr>
          <w:rFonts w:hint="default" w:ascii="Times New Roman" w:hAnsi="Times New Roman" w:eastAsia="黑体" w:cs="Times New Roman"/>
          <w:sz w:val="32"/>
          <w:szCs w:val="32"/>
          <w:highlight w:val="none"/>
        </w:rPr>
        <w:t>其他需要说明的情况</w:t>
      </w:r>
    </w:p>
    <w:p>
      <w:pPr>
        <w:keepNext w:val="0"/>
        <w:keepLines w:val="0"/>
        <w:pageBreakBefore w:val="0"/>
        <w:widowControl/>
        <w:kinsoku/>
        <w:wordWrap/>
        <w:overflowPunct/>
        <w:topLinePunct w:val="0"/>
        <w:autoSpaceDE/>
        <w:autoSpaceDN/>
        <w:bidi w:val="0"/>
        <w:adjustRightInd/>
        <w:snapToGrid/>
        <w:spacing w:line="640" w:lineRule="exact"/>
        <w:ind w:firstLine="640" w:firstLineChars="200"/>
        <w:jc w:val="both"/>
        <w:textAlignment w:val="auto"/>
        <w:rPr>
          <w:rFonts w:hint="eastAsia" w:ascii="Times New Roman" w:hAnsi="Times New Roman" w:eastAsia="仿宋_GB2312" w:cs="Times New Roman"/>
          <w:sz w:val="32"/>
          <w:szCs w:val="32"/>
          <w:highlight w:val="none"/>
          <w:lang w:eastAsia="zh-CN"/>
        </w:rPr>
      </w:pPr>
      <w:r>
        <w:rPr>
          <w:rFonts w:hint="eastAsia" w:ascii="Times New Roman" w:hAnsi="Times New Roman" w:eastAsia="仿宋_GB2312" w:cs="Times New Roman"/>
          <w:sz w:val="32"/>
          <w:szCs w:val="32"/>
          <w:highlight w:val="none"/>
          <w:lang w:eastAsia="zh-CN"/>
        </w:rPr>
        <w:t>无</w:t>
      </w:r>
    </w:p>
    <w:p>
      <w:pPr>
        <w:keepNext w:val="0"/>
        <w:keepLines w:val="0"/>
        <w:pageBreakBefore w:val="0"/>
        <w:widowControl/>
        <w:kinsoku/>
        <w:wordWrap/>
        <w:overflowPunct/>
        <w:topLinePunct w:val="0"/>
        <w:autoSpaceDE/>
        <w:autoSpaceDN/>
        <w:bidi w:val="0"/>
        <w:adjustRightInd/>
        <w:snapToGrid/>
        <w:spacing w:line="640" w:lineRule="exact"/>
        <w:ind w:firstLine="640" w:firstLineChars="200"/>
        <w:jc w:val="both"/>
        <w:textAlignment w:val="auto"/>
        <w:rPr>
          <w:rFonts w:hint="eastAsia" w:ascii="Times New Roman" w:hAnsi="Times New Roman" w:eastAsia="仿宋_GB2312" w:cs="Times New Roman"/>
          <w:sz w:val="32"/>
          <w:szCs w:val="32"/>
          <w:highlight w:val="none"/>
          <w:lang w:eastAsia="zh-CN"/>
        </w:rPr>
      </w:pPr>
    </w:p>
    <w:p>
      <w:pPr>
        <w:keepNext w:val="0"/>
        <w:keepLines w:val="0"/>
        <w:pageBreakBefore w:val="0"/>
        <w:widowControl/>
        <w:kinsoku/>
        <w:wordWrap/>
        <w:overflowPunct/>
        <w:topLinePunct w:val="0"/>
        <w:autoSpaceDE/>
        <w:autoSpaceDN/>
        <w:bidi w:val="0"/>
        <w:adjustRightInd/>
        <w:snapToGrid/>
        <w:spacing w:line="640" w:lineRule="exact"/>
        <w:ind w:firstLine="640" w:firstLineChars="200"/>
        <w:jc w:val="both"/>
        <w:textAlignment w:val="auto"/>
        <w:rPr>
          <w:rFonts w:hint="eastAsia" w:ascii="仿宋_GB2312" w:hAnsi="仿宋_GB2312" w:eastAsia="仿宋_GB2312" w:cs="仿宋_GB2312"/>
          <w:sz w:val="32"/>
          <w:szCs w:val="32"/>
          <w:highlight w:val="none"/>
        </w:rPr>
      </w:pPr>
      <w:r>
        <w:rPr>
          <w:rFonts w:hint="eastAsia" w:ascii="仿宋_GB2312" w:hAnsi="仿宋_GB2312" w:eastAsia="仿宋_GB2312" w:cs="仿宋_GB2312"/>
          <w:sz w:val="32"/>
          <w:szCs w:val="32"/>
          <w:highlight w:val="none"/>
        </w:rPr>
        <w:t>报告需要以下附件：</w:t>
      </w:r>
    </w:p>
    <w:p>
      <w:pPr>
        <w:keepNext w:val="0"/>
        <w:keepLines w:val="0"/>
        <w:pageBreakBefore w:val="0"/>
        <w:widowControl/>
        <w:kinsoku/>
        <w:wordWrap/>
        <w:overflowPunct/>
        <w:topLinePunct w:val="0"/>
        <w:autoSpaceDE/>
        <w:autoSpaceDN/>
        <w:bidi w:val="0"/>
        <w:adjustRightInd/>
        <w:snapToGrid/>
        <w:spacing w:line="640" w:lineRule="exact"/>
        <w:ind w:firstLine="640" w:firstLineChars="200"/>
        <w:jc w:val="both"/>
        <w:textAlignment w:val="auto"/>
        <w:rPr>
          <w:rFonts w:hint="eastAsia" w:ascii="仿宋_GB2312" w:hAnsi="仿宋_GB2312" w:eastAsia="仿宋_GB2312" w:cs="仿宋_GB2312"/>
          <w:sz w:val="32"/>
          <w:szCs w:val="32"/>
          <w:highlight w:val="none"/>
        </w:rPr>
      </w:pPr>
      <w:r>
        <w:rPr>
          <w:rFonts w:hint="eastAsia" w:ascii="仿宋_GB2312" w:hAnsi="仿宋_GB2312" w:eastAsia="仿宋_GB2312" w:cs="仿宋_GB2312"/>
          <w:sz w:val="32"/>
          <w:szCs w:val="32"/>
          <w:highlight w:val="none"/>
        </w:rPr>
        <w:t>1</w:t>
      </w:r>
      <w:r>
        <w:rPr>
          <w:rFonts w:hint="eastAsia" w:ascii="仿宋_GB2312" w:hAnsi="仿宋_GB2312" w:eastAsia="仿宋_GB2312" w:cs="仿宋_GB2312"/>
          <w:sz w:val="32"/>
          <w:szCs w:val="32"/>
          <w:highlight w:val="none"/>
          <w:lang w:val="en-US" w:eastAsia="zh-CN"/>
        </w:rPr>
        <w:t>.</w:t>
      </w:r>
      <w:r>
        <w:rPr>
          <w:rFonts w:hint="eastAsia" w:ascii="仿宋_GB2312" w:hAnsi="仿宋_GB2312" w:eastAsia="仿宋_GB2312" w:cs="仿宋_GB2312"/>
          <w:sz w:val="32"/>
          <w:szCs w:val="32"/>
          <w:highlight w:val="none"/>
        </w:rPr>
        <w:t>部门整体支出绩效评价基础数据表</w:t>
      </w:r>
    </w:p>
    <w:p>
      <w:pPr>
        <w:keepNext w:val="0"/>
        <w:keepLines w:val="0"/>
        <w:pageBreakBefore w:val="0"/>
        <w:widowControl/>
        <w:kinsoku/>
        <w:wordWrap/>
        <w:overflowPunct/>
        <w:topLinePunct w:val="0"/>
        <w:autoSpaceDE/>
        <w:autoSpaceDN/>
        <w:bidi w:val="0"/>
        <w:adjustRightInd/>
        <w:snapToGrid/>
        <w:spacing w:line="640" w:lineRule="exact"/>
        <w:ind w:firstLine="640" w:firstLineChars="200"/>
        <w:jc w:val="both"/>
        <w:textAlignment w:val="auto"/>
        <w:rPr>
          <w:rFonts w:hint="eastAsia" w:ascii="仿宋_GB2312" w:hAnsi="仿宋_GB2312" w:eastAsia="仿宋_GB2312" w:cs="仿宋_GB2312"/>
          <w:sz w:val="32"/>
          <w:szCs w:val="32"/>
          <w:highlight w:val="none"/>
        </w:rPr>
      </w:pPr>
      <w:r>
        <w:rPr>
          <w:rFonts w:hint="eastAsia" w:ascii="仿宋_GB2312" w:hAnsi="仿宋_GB2312" w:eastAsia="仿宋_GB2312" w:cs="仿宋_GB2312"/>
          <w:sz w:val="32"/>
          <w:szCs w:val="32"/>
          <w:highlight w:val="none"/>
        </w:rPr>
        <w:t>2</w:t>
      </w:r>
      <w:r>
        <w:rPr>
          <w:rFonts w:hint="eastAsia" w:ascii="仿宋_GB2312" w:hAnsi="仿宋_GB2312" w:eastAsia="仿宋_GB2312" w:cs="仿宋_GB2312"/>
          <w:sz w:val="32"/>
          <w:szCs w:val="32"/>
          <w:highlight w:val="none"/>
          <w:lang w:val="en-US" w:eastAsia="zh-CN"/>
        </w:rPr>
        <w:t>.</w:t>
      </w:r>
      <w:r>
        <w:rPr>
          <w:rFonts w:hint="eastAsia" w:ascii="仿宋_GB2312" w:hAnsi="仿宋_GB2312" w:eastAsia="仿宋_GB2312" w:cs="仿宋_GB2312"/>
          <w:sz w:val="32"/>
          <w:szCs w:val="32"/>
          <w:highlight w:val="none"/>
        </w:rPr>
        <w:t>部门整体支出绩效自评表</w:t>
      </w:r>
    </w:p>
    <w:p>
      <w:pPr>
        <w:keepNext w:val="0"/>
        <w:keepLines w:val="0"/>
        <w:pageBreakBefore w:val="0"/>
        <w:widowControl/>
        <w:kinsoku/>
        <w:wordWrap/>
        <w:overflowPunct/>
        <w:topLinePunct w:val="0"/>
        <w:autoSpaceDE/>
        <w:autoSpaceDN/>
        <w:bidi w:val="0"/>
        <w:adjustRightInd/>
        <w:snapToGrid/>
        <w:spacing w:line="640" w:lineRule="exact"/>
        <w:ind w:firstLine="640" w:firstLineChars="200"/>
        <w:jc w:val="both"/>
        <w:textAlignment w:val="auto"/>
        <w:rPr>
          <w:rFonts w:hint="eastAsia" w:ascii="仿宋_GB2312" w:hAnsi="仿宋_GB2312" w:eastAsia="仿宋_GB2312" w:cs="仿宋_GB2312"/>
          <w:sz w:val="32"/>
          <w:szCs w:val="32"/>
          <w:highlight w:val="none"/>
        </w:rPr>
      </w:pPr>
      <w:r>
        <w:rPr>
          <w:rFonts w:hint="eastAsia" w:ascii="仿宋_GB2312" w:hAnsi="仿宋_GB2312" w:eastAsia="仿宋_GB2312" w:cs="仿宋_GB2312"/>
          <w:sz w:val="32"/>
          <w:szCs w:val="32"/>
          <w:highlight w:val="none"/>
        </w:rPr>
        <w:t>3</w:t>
      </w:r>
      <w:r>
        <w:rPr>
          <w:rFonts w:hint="eastAsia" w:ascii="仿宋_GB2312" w:hAnsi="仿宋_GB2312" w:eastAsia="仿宋_GB2312" w:cs="仿宋_GB2312"/>
          <w:sz w:val="32"/>
          <w:szCs w:val="32"/>
          <w:highlight w:val="none"/>
          <w:lang w:val="en-US" w:eastAsia="zh-CN"/>
        </w:rPr>
        <w:t>.</w:t>
      </w:r>
      <w:r>
        <w:rPr>
          <w:rFonts w:hint="eastAsia" w:ascii="仿宋_GB2312" w:hAnsi="仿宋_GB2312" w:eastAsia="仿宋_GB2312" w:cs="仿宋_GB2312"/>
          <w:sz w:val="32"/>
          <w:szCs w:val="32"/>
          <w:highlight w:val="none"/>
        </w:rPr>
        <w:t>项目支出绩效自评表（一个一级项目支出一张表）</w:t>
      </w:r>
    </w:p>
    <w:p>
      <w:pPr>
        <w:keepNext w:val="0"/>
        <w:keepLines w:val="0"/>
        <w:pageBreakBefore w:val="0"/>
        <w:widowControl/>
        <w:kinsoku/>
        <w:wordWrap/>
        <w:overflowPunct/>
        <w:topLinePunct w:val="0"/>
        <w:autoSpaceDE/>
        <w:autoSpaceDN/>
        <w:bidi w:val="0"/>
        <w:adjustRightInd/>
        <w:snapToGrid/>
        <w:spacing w:line="640" w:lineRule="exact"/>
        <w:ind w:firstLine="640" w:firstLineChars="200"/>
        <w:jc w:val="both"/>
        <w:textAlignment w:val="auto"/>
        <w:rPr>
          <w:rFonts w:hint="eastAsia" w:ascii="仿宋_GB2312" w:hAnsi="仿宋_GB2312" w:eastAsia="仿宋_GB2312" w:cs="仿宋_GB2312"/>
          <w:sz w:val="32"/>
          <w:szCs w:val="32"/>
          <w:highlight w:val="none"/>
        </w:rPr>
      </w:pPr>
      <w:r>
        <w:rPr>
          <w:rFonts w:hint="eastAsia" w:ascii="仿宋_GB2312" w:hAnsi="仿宋_GB2312" w:eastAsia="仿宋_GB2312" w:cs="仿宋_GB2312"/>
          <w:sz w:val="32"/>
          <w:szCs w:val="32"/>
          <w:highlight w:val="none"/>
        </w:rPr>
        <w:t>4</w:t>
      </w:r>
      <w:r>
        <w:rPr>
          <w:rFonts w:hint="eastAsia" w:ascii="仿宋_GB2312" w:hAnsi="仿宋_GB2312" w:eastAsia="仿宋_GB2312" w:cs="仿宋_GB2312"/>
          <w:sz w:val="32"/>
          <w:szCs w:val="32"/>
          <w:highlight w:val="none"/>
          <w:lang w:val="en-US" w:eastAsia="zh-CN"/>
        </w:rPr>
        <w:t>.</w:t>
      </w:r>
      <w:r>
        <w:rPr>
          <w:rFonts w:hint="eastAsia" w:ascii="仿宋_GB2312" w:hAnsi="仿宋_GB2312" w:eastAsia="仿宋_GB2312" w:cs="仿宋_GB2312"/>
          <w:sz w:val="32"/>
          <w:szCs w:val="32"/>
          <w:highlight w:val="none"/>
        </w:rPr>
        <w:t>政府性基金预算支出情况表</w:t>
      </w:r>
    </w:p>
    <w:p>
      <w:pPr>
        <w:keepNext w:val="0"/>
        <w:keepLines w:val="0"/>
        <w:pageBreakBefore w:val="0"/>
        <w:widowControl/>
        <w:kinsoku/>
        <w:wordWrap/>
        <w:overflowPunct/>
        <w:topLinePunct w:val="0"/>
        <w:autoSpaceDE/>
        <w:autoSpaceDN/>
        <w:bidi w:val="0"/>
        <w:adjustRightInd/>
        <w:snapToGrid/>
        <w:spacing w:line="640" w:lineRule="exact"/>
        <w:ind w:firstLine="640" w:firstLineChars="200"/>
        <w:jc w:val="both"/>
        <w:textAlignment w:val="auto"/>
        <w:rPr>
          <w:rFonts w:hint="eastAsia" w:ascii="仿宋_GB2312" w:hAnsi="仿宋_GB2312" w:eastAsia="仿宋_GB2312" w:cs="仿宋_GB2312"/>
          <w:sz w:val="32"/>
          <w:szCs w:val="32"/>
          <w:highlight w:val="none"/>
        </w:rPr>
      </w:pPr>
      <w:r>
        <w:rPr>
          <w:rFonts w:hint="eastAsia" w:ascii="仿宋_GB2312" w:hAnsi="仿宋_GB2312" w:eastAsia="仿宋_GB2312" w:cs="仿宋_GB2312"/>
          <w:sz w:val="32"/>
          <w:szCs w:val="32"/>
          <w:highlight w:val="none"/>
        </w:rPr>
        <w:t>5</w:t>
      </w:r>
      <w:r>
        <w:rPr>
          <w:rFonts w:hint="eastAsia" w:ascii="仿宋_GB2312" w:hAnsi="仿宋_GB2312" w:eastAsia="仿宋_GB2312" w:cs="仿宋_GB2312"/>
          <w:sz w:val="32"/>
          <w:szCs w:val="32"/>
          <w:highlight w:val="none"/>
          <w:lang w:val="en-US" w:eastAsia="zh-CN"/>
        </w:rPr>
        <w:t>.</w:t>
      </w:r>
      <w:r>
        <w:rPr>
          <w:rFonts w:hint="eastAsia" w:ascii="仿宋_GB2312" w:hAnsi="仿宋_GB2312" w:eastAsia="仿宋_GB2312" w:cs="仿宋_GB2312"/>
          <w:sz w:val="32"/>
          <w:szCs w:val="32"/>
          <w:highlight w:val="none"/>
        </w:rPr>
        <w:t>国有资本经营预算支出情况表</w:t>
      </w:r>
    </w:p>
    <w:p>
      <w:pPr>
        <w:keepNext w:val="0"/>
        <w:keepLines w:val="0"/>
        <w:pageBreakBefore w:val="0"/>
        <w:widowControl/>
        <w:kinsoku/>
        <w:wordWrap/>
        <w:overflowPunct/>
        <w:topLinePunct w:val="0"/>
        <w:autoSpaceDE/>
        <w:autoSpaceDN/>
        <w:bidi w:val="0"/>
        <w:adjustRightInd/>
        <w:snapToGrid/>
        <w:spacing w:line="640" w:lineRule="exact"/>
        <w:ind w:firstLine="640" w:firstLineChars="200"/>
        <w:jc w:val="both"/>
        <w:textAlignment w:val="auto"/>
        <w:rPr>
          <w:rFonts w:hint="eastAsia" w:ascii="仿宋_GB2312" w:hAnsi="仿宋_GB2312" w:eastAsia="仿宋_GB2312" w:cs="仿宋_GB2312"/>
          <w:sz w:val="32"/>
          <w:szCs w:val="32"/>
          <w:highlight w:val="none"/>
        </w:rPr>
      </w:pPr>
      <w:r>
        <w:rPr>
          <w:rFonts w:hint="eastAsia" w:ascii="仿宋_GB2312" w:hAnsi="仿宋_GB2312" w:eastAsia="仿宋_GB2312" w:cs="仿宋_GB2312"/>
          <w:sz w:val="32"/>
          <w:szCs w:val="32"/>
          <w:highlight w:val="none"/>
        </w:rPr>
        <w:t>6</w:t>
      </w:r>
      <w:r>
        <w:rPr>
          <w:rFonts w:hint="eastAsia" w:ascii="仿宋_GB2312" w:hAnsi="仿宋_GB2312" w:eastAsia="仿宋_GB2312" w:cs="仿宋_GB2312"/>
          <w:sz w:val="32"/>
          <w:szCs w:val="32"/>
          <w:highlight w:val="none"/>
          <w:lang w:val="en-US" w:eastAsia="zh-CN"/>
        </w:rPr>
        <w:t>.</w:t>
      </w:r>
      <w:r>
        <w:rPr>
          <w:rFonts w:hint="eastAsia" w:ascii="仿宋_GB2312" w:hAnsi="仿宋_GB2312" w:eastAsia="仿宋_GB2312" w:cs="仿宋_GB2312"/>
          <w:sz w:val="32"/>
          <w:szCs w:val="32"/>
          <w:highlight w:val="none"/>
        </w:rPr>
        <w:t>社会保险基金预算支出情况表</w:t>
      </w:r>
    </w:p>
    <w:p>
      <w:pPr>
        <w:keepNext w:val="0"/>
        <w:keepLines w:val="0"/>
        <w:pageBreakBefore w:val="0"/>
        <w:widowControl/>
        <w:kinsoku/>
        <w:wordWrap/>
        <w:overflowPunct/>
        <w:topLinePunct w:val="0"/>
        <w:autoSpaceDE/>
        <w:autoSpaceDN/>
        <w:bidi w:val="0"/>
        <w:adjustRightInd/>
        <w:snapToGrid/>
        <w:spacing w:line="640" w:lineRule="exact"/>
        <w:jc w:val="both"/>
        <w:textAlignment w:val="auto"/>
        <w:rPr>
          <w:rFonts w:hint="eastAsia" w:ascii="黑体" w:hAnsi="黑体" w:eastAsia="黑体" w:cs="黑体"/>
          <w:sz w:val="32"/>
          <w:szCs w:val="32"/>
          <w:highlight w:val="none"/>
          <w:lang w:val="en-US" w:eastAsia="zh-CN"/>
        </w:rPr>
      </w:pPr>
      <w:r>
        <w:rPr>
          <w:rFonts w:hint="eastAsia" w:ascii="仿宋_GB2312" w:hAnsi="仿宋_GB2312" w:eastAsia="仿宋_GB2312" w:cs="仿宋_GB2312"/>
          <w:sz w:val="32"/>
          <w:szCs w:val="32"/>
          <w:highlight w:val="none"/>
        </w:rPr>
        <w:br w:type="page"/>
      </w:r>
      <w:r>
        <w:rPr>
          <w:rFonts w:hint="eastAsia" w:ascii="黑体" w:hAnsi="黑体" w:eastAsia="黑体" w:cs="黑体"/>
          <w:sz w:val="32"/>
          <w:szCs w:val="32"/>
          <w:highlight w:val="none"/>
        </w:rPr>
        <w:t>附件</w:t>
      </w:r>
      <w:r>
        <w:rPr>
          <w:rFonts w:hint="eastAsia" w:ascii="黑体" w:hAnsi="黑体" w:eastAsia="黑体" w:cs="黑体"/>
          <w:sz w:val="32"/>
          <w:szCs w:val="32"/>
          <w:highlight w:val="none"/>
          <w:lang w:val="en-US" w:eastAsia="zh-CN"/>
        </w:rPr>
        <w:t>5</w:t>
      </w:r>
    </w:p>
    <w:p>
      <w:pPr>
        <w:spacing w:before="120" w:beforeLines="50" w:after="120" w:afterLines="50"/>
        <w:jc w:val="center"/>
        <w:rPr>
          <w:rFonts w:hint="eastAsia" w:ascii="方正小标宋简体" w:hAnsi="方正小标宋简体" w:eastAsia="方正小标宋简体" w:cs="方正小标宋简体"/>
          <w:spacing w:val="-6"/>
          <w:sz w:val="36"/>
          <w:szCs w:val="36"/>
          <w:highlight w:val="none"/>
        </w:rPr>
      </w:pPr>
      <w:r>
        <w:rPr>
          <w:rFonts w:hint="eastAsia" w:ascii="方正小标宋简体" w:hAnsi="方正小标宋简体" w:eastAsia="方正小标宋简体" w:cs="方正小标宋简体"/>
          <w:sz w:val="36"/>
          <w:szCs w:val="36"/>
          <w:highlight w:val="none"/>
        </w:rPr>
        <w:t>部门整体支出</w:t>
      </w:r>
      <w:r>
        <w:rPr>
          <w:rFonts w:hint="eastAsia" w:ascii="方正小标宋简体" w:hAnsi="方正小标宋简体" w:eastAsia="方正小标宋简体" w:cs="方正小标宋简体"/>
          <w:spacing w:val="-6"/>
          <w:sz w:val="36"/>
          <w:szCs w:val="36"/>
          <w:highlight w:val="none"/>
        </w:rPr>
        <w:t>绩效自评工作考核评分表</w:t>
      </w:r>
    </w:p>
    <w:tbl>
      <w:tblPr>
        <w:tblStyle w:val="6"/>
        <w:tblW w:w="9941" w:type="dxa"/>
        <w:jc w:val="center"/>
        <w:tblLayout w:type="fixed"/>
        <w:tblCellMar>
          <w:top w:w="0" w:type="dxa"/>
          <w:left w:w="108" w:type="dxa"/>
          <w:bottom w:w="0" w:type="dxa"/>
          <w:right w:w="108" w:type="dxa"/>
        </w:tblCellMar>
      </w:tblPr>
      <w:tblGrid>
        <w:gridCol w:w="745"/>
        <w:gridCol w:w="1174"/>
        <w:gridCol w:w="5000"/>
        <w:gridCol w:w="3022"/>
      </w:tblGrid>
      <w:tr>
        <w:tblPrEx>
          <w:tblCellMar>
            <w:top w:w="0" w:type="dxa"/>
            <w:left w:w="108" w:type="dxa"/>
            <w:bottom w:w="0" w:type="dxa"/>
            <w:right w:w="108" w:type="dxa"/>
          </w:tblCellMar>
        </w:tblPrEx>
        <w:trPr>
          <w:tblHeader/>
          <w:jc w:val="center"/>
        </w:trPr>
        <w:tc>
          <w:tcPr>
            <w:tcW w:w="745" w:type="dxa"/>
            <w:tcBorders>
              <w:top w:val="single" w:color="auto" w:sz="4" w:space="0"/>
              <w:left w:val="single" w:color="auto" w:sz="4" w:space="0"/>
              <w:bottom w:val="single" w:color="auto" w:sz="4" w:space="0"/>
              <w:right w:val="single" w:color="auto" w:sz="4" w:space="0"/>
            </w:tcBorders>
            <w:noWrap w:val="0"/>
            <w:vAlign w:val="center"/>
          </w:tcPr>
          <w:p>
            <w:pPr>
              <w:spacing w:line="300" w:lineRule="exact"/>
              <w:jc w:val="center"/>
              <w:rPr>
                <w:rFonts w:hint="default" w:ascii="Times New Roman" w:hAnsi="Times New Roman" w:eastAsia="黑体" w:cs="Times New Roman"/>
                <w:bCs/>
                <w:sz w:val="21"/>
                <w:szCs w:val="21"/>
                <w:highlight w:val="none"/>
              </w:rPr>
            </w:pPr>
            <w:r>
              <w:rPr>
                <w:rFonts w:hint="default" w:ascii="Times New Roman" w:hAnsi="Times New Roman" w:eastAsia="黑体" w:cs="Times New Roman"/>
                <w:bCs/>
                <w:sz w:val="21"/>
                <w:szCs w:val="21"/>
                <w:highlight w:val="none"/>
              </w:rPr>
              <w:t>一级指标</w:t>
            </w:r>
          </w:p>
        </w:tc>
        <w:tc>
          <w:tcPr>
            <w:tcW w:w="1174" w:type="dxa"/>
            <w:tcBorders>
              <w:top w:val="single" w:color="auto" w:sz="4" w:space="0"/>
              <w:left w:val="nil"/>
              <w:bottom w:val="single" w:color="auto" w:sz="4" w:space="0"/>
              <w:right w:val="single" w:color="auto" w:sz="4" w:space="0"/>
            </w:tcBorders>
            <w:noWrap w:val="0"/>
            <w:vAlign w:val="center"/>
          </w:tcPr>
          <w:p>
            <w:pPr>
              <w:spacing w:line="300" w:lineRule="exact"/>
              <w:jc w:val="center"/>
              <w:rPr>
                <w:rFonts w:hint="default" w:ascii="Times New Roman" w:hAnsi="Times New Roman" w:eastAsia="黑体" w:cs="Times New Roman"/>
                <w:bCs/>
                <w:sz w:val="21"/>
                <w:szCs w:val="21"/>
                <w:highlight w:val="none"/>
              </w:rPr>
            </w:pPr>
            <w:r>
              <w:rPr>
                <w:rFonts w:hint="default" w:ascii="Times New Roman" w:hAnsi="Times New Roman" w:eastAsia="黑体" w:cs="Times New Roman"/>
                <w:bCs/>
                <w:sz w:val="21"/>
                <w:szCs w:val="21"/>
                <w:highlight w:val="none"/>
              </w:rPr>
              <w:t>二级指标</w:t>
            </w:r>
          </w:p>
        </w:tc>
        <w:tc>
          <w:tcPr>
            <w:tcW w:w="5000" w:type="dxa"/>
            <w:tcBorders>
              <w:top w:val="single" w:color="auto" w:sz="4" w:space="0"/>
              <w:left w:val="nil"/>
              <w:bottom w:val="single" w:color="auto" w:sz="4" w:space="0"/>
              <w:right w:val="single" w:color="auto" w:sz="4" w:space="0"/>
            </w:tcBorders>
            <w:noWrap w:val="0"/>
            <w:vAlign w:val="center"/>
          </w:tcPr>
          <w:p>
            <w:pPr>
              <w:spacing w:line="300" w:lineRule="exact"/>
              <w:jc w:val="center"/>
              <w:rPr>
                <w:rFonts w:hint="default" w:ascii="Times New Roman" w:hAnsi="Times New Roman" w:eastAsia="黑体" w:cs="Times New Roman"/>
                <w:bCs/>
                <w:sz w:val="21"/>
                <w:szCs w:val="21"/>
                <w:highlight w:val="none"/>
              </w:rPr>
            </w:pPr>
            <w:r>
              <w:rPr>
                <w:rFonts w:hint="default" w:ascii="Times New Roman" w:hAnsi="Times New Roman" w:eastAsia="黑体" w:cs="Times New Roman"/>
                <w:bCs/>
                <w:sz w:val="21"/>
                <w:szCs w:val="21"/>
                <w:highlight w:val="none"/>
              </w:rPr>
              <w:t>评分标准</w:t>
            </w:r>
          </w:p>
        </w:tc>
        <w:tc>
          <w:tcPr>
            <w:tcW w:w="3022" w:type="dxa"/>
            <w:tcBorders>
              <w:top w:val="single" w:color="auto" w:sz="4" w:space="0"/>
              <w:left w:val="nil"/>
              <w:bottom w:val="single" w:color="auto" w:sz="4" w:space="0"/>
              <w:right w:val="single" w:color="auto" w:sz="4" w:space="0"/>
            </w:tcBorders>
            <w:noWrap w:val="0"/>
            <w:vAlign w:val="center"/>
          </w:tcPr>
          <w:p>
            <w:pPr>
              <w:spacing w:line="300" w:lineRule="exact"/>
              <w:jc w:val="center"/>
              <w:rPr>
                <w:rFonts w:hint="default" w:ascii="Times New Roman" w:hAnsi="Times New Roman" w:eastAsia="黑体" w:cs="Times New Roman"/>
                <w:bCs/>
                <w:sz w:val="21"/>
                <w:szCs w:val="21"/>
                <w:highlight w:val="none"/>
              </w:rPr>
            </w:pPr>
            <w:r>
              <w:rPr>
                <w:rFonts w:hint="default" w:ascii="Times New Roman" w:hAnsi="Times New Roman" w:eastAsia="黑体" w:cs="Times New Roman"/>
                <w:bCs/>
                <w:sz w:val="21"/>
                <w:szCs w:val="21"/>
                <w:highlight w:val="none"/>
              </w:rPr>
              <w:t>所需佐证材料</w:t>
            </w:r>
          </w:p>
        </w:tc>
      </w:tr>
      <w:tr>
        <w:tblPrEx>
          <w:tblCellMar>
            <w:top w:w="0" w:type="dxa"/>
            <w:left w:w="108" w:type="dxa"/>
            <w:bottom w:w="0" w:type="dxa"/>
            <w:right w:w="108" w:type="dxa"/>
          </w:tblCellMar>
        </w:tblPrEx>
        <w:trPr>
          <w:jc w:val="center"/>
        </w:trPr>
        <w:tc>
          <w:tcPr>
            <w:tcW w:w="745" w:type="dxa"/>
            <w:vMerge w:val="restart"/>
            <w:tcBorders>
              <w:top w:val="single" w:color="auto" w:sz="4" w:space="0"/>
              <w:left w:val="single" w:color="auto" w:sz="4" w:space="0"/>
              <w:right w:val="single" w:color="auto" w:sz="4" w:space="0"/>
            </w:tcBorders>
            <w:noWrap w:val="0"/>
            <w:vAlign w:val="center"/>
          </w:tcPr>
          <w:p>
            <w:pPr>
              <w:spacing w:line="300" w:lineRule="exact"/>
              <w:jc w:val="center"/>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布置工作</w:t>
            </w:r>
          </w:p>
          <w:p>
            <w:pPr>
              <w:spacing w:line="300" w:lineRule="exact"/>
              <w:jc w:val="center"/>
              <w:rPr>
                <w:rFonts w:hint="default" w:ascii="Times New Roman" w:hAnsi="Times New Roman" w:eastAsia="仿宋_GB2312" w:cs="Times New Roman"/>
                <w:sz w:val="20"/>
                <w:szCs w:val="20"/>
                <w:highlight w:val="none"/>
              </w:rPr>
            </w:pPr>
          </w:p>
          <w:p>
            <w:pPr>
              <w:spacing w:line="300" w:lineRule="exact"/>
              <w:jc w:val="left"/>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10分</w:t>
            </w:r>
          </w:p>
        </w:tc>
        <w:tc>
          <w:tcPr>
            <w:tcW w:w="1174" w:type="dxa"/>
            <w:tcBorders>
              <w:top w:val="single" w:color="auto" w:sz="4" w:space="0"/>
              <w:left w:val="nil"/>
              <w:right w:val="single" w:color="auto" w:sz="4" w:space="0"/>
            </w:tcBorders>
            <w:noWrap w:val="0"/>
            <w:vAlign w:val="center"/>
          </w:tcPr>
          <w:p>
            <w:pPr>
              <w:spacing w:line="300" w:lineRule="exact"/>
              <w:jc w:val="center"/>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自评通知</w:t>
            </w:r>
          </w:p>
          <w:p>
            <w:pPr>
              <w:spacing w:line="300" w:lineRule="exact"/>
              <w:jc w:val="center"/>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（8分）</w:t>
            </w:r>
          </w:p>
        </w:tc>
        <w:tc>
          <w:tcPr>
            <w:tcW w:w="5000" w:type="dxa"/>
            <w:tcBorders>
              <w:top w:val="single" w:color="auto" w:sz="4" w:space="0"/>
              <w:left w:val="nil"/>
              <w:bottom w:val="single" w:color="auto" w:sz="4" w:space="0"/>
              <w:right w:val="single" w:color="auto" w:sz="4" w:space="0"/>
            </w:tcBorders>
            <w:noWrap w:val="0"/>
            <w:vAlign w:val="center"/>
          </w:tcPr>
          <w:p>
            <w:pPr>
              <w:spacing w:line="300" w:lineRule="exact"/>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1</w:t>
            </w:r>
            <w:r>
              <w:rPr>
                <w:rFonts w:hint="eastAsia" w:ascii="Times New Roman" w:hAnsi="Times New Roman" w:eastAsia="仿宋_GB2312" w:cs="Times New Roman"/>
                <w:sz w:val="20"/>
                <w:szCs w:val="20"/>
                <w:highlight w:val="none"/>
                <w:lang w:val="en-US" w:eastAsia="zh-CN"/>
              </w:rPr>
              <w:t>.</w:t>
            </w:r>
            <w:r>
              <w:rPr>
                <w:rFonts w:hint="default" w:ascii="Times New Roman" w:hAnsi="Times New Roman" w:eastAsia="仿宋_GB2312" w:cs="Times New Roman"/>
                <w:sz w:val="20"/>
                <w:szCs w:val="20"/>
                <w:highlight w:val="none"/>
              </w:rPr>
              <w:t>印发绩效自评通知的得2分，否则不得分。</w:t>
            </w:r>
          </w:p>
          <w:p>
            <w:pPr>
              <w:spacing w:line="300" w:lineRule="exact"/>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2</w:t>
            </w:r>
            <w:r>
              <w:rPr>
                <w:rFonts w:hint="eastAsia" w:ascii="Times New Roman" w:hAnsi="Times New Roman" w:eastAsia="仿宋_GB2312" w:cs="Times New Roman"/>
                <w:sz w:val="20"/>
                <w:szCs w:val="20"/>
                <w:highlight w:val="none"/>
                <w:lang w:val="en-US" w:eastAsia="zh-CN"/>
              </w:rPr>
              <w:t>.</w:t>
            </w:r>
            <w:r>
              <w:rPr>
                <w:rFonts w:hint="default" w:ascii="Times New Roman" w:hAnsi="Times New Roman" w:eastAsia="仿宋_GB2312" w:cs="Times New Roman"/>
                <w:sz w:val="20"/>
                <w:szCs w:val="20"/>
                <w:highlight w:val="none"/>
              </w:rPr>
              <w:t>按照本规程规定，绩效自评通知包括自评范围、自评主要依据、自评主要内容、自评程序和步骤、有关要求等内容，并附有本通知要求的附件的，得6分；否则缺1项扣1分，最多扣6分。</w:t>
            </w:r>
          </w:p>
        </w:tc>
        <w:tc>
          <w:tcPr>
            <w:tcW w:w="3022" w:type="dxa"/>
            <w:tcBorders>
              <w:top w:val="single" w:color="auto" w:sz="4" w:space="0"/>
              <w:left w:val="nil"/>
              <w:bottom w:val="single" w:color="auto" w:sz="4" w:space="0"/>
              <w:right w:val="single" w:color="auto" w:sz="4" w:space="0"/>
            </w:tcBorders>
            <w:noWrap w:val="0"/>
            <w:vAlign w:val="center"/>
          </w:tcPr>
          <w:p>
            <w:pPr>
              <w:spacing w:line="300" w:lineRule="exact"/>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绩效自评通知盖章的电子版</w:t>
            </w:r>
          </w:p>
        </w:tc>
      </w:tr>
      <w:tr>
        <w:tblPrEx>
          <w:tblCellMar>
            <w:top w:w="0" w:type="dxa"/>
            <w:left w:w="108" w:type="dxa"/>
            <w:bottom w:w="0" w:type="dxa"/>
            <w:right w:w="108" w:type="dxa"/>
          </w:tblCellMar>
        </w:tblPrEx>
        <w:trPr>
          <w:jc w:val="center"/>
        </w:trPr>
        <w:tc>
          <w:tcPr>
            <w:tcW w:w="745" w:type="dxa"/>
            <w:vMerge w:val="continue"/>
            <w:tcBorders>
              <w:left w:val="single" w:color="auto" w:sz="4" w:space="0"/>
              <w:bottom w:val="single" w:color="auto" w:sz="4" w:space="0"/>
              <w:right w:val="single" w:color="auto" w:sz="4" w:space="0"/>
            </w:tcBorders>
            <w:noWrap w:val="0"/>
            <w:vAlign w:val="center"/>
          </w:tcPr>
          <w:p>
            <w:pPr>
              <w:spacing w:line="300" w:lineRule="exact"/>
              <w:rPr>
                <w:rFonts w:hint="default" w:ascii="Times New Roman" w:hAnsi="Times New Roman" w:eastAsia="仿宋_GB2312" w:cs="Times New Roman"/>
                <w:sz w:val="20"/>
                <w:szCs w:val="20"/>
                <w:highlight w:val="none"/>
              </w:rPr>
            </w:pPr>
          </w:p>
        </w:tc>
        <w:tc>
          <w:tcPr>
            <w:tcW w:w="1174" w:type="dxa"/>
            <w:tcBorders>
              <w:top w:val="single" w:color="auto" w:sz="4" w:space="0"/>
              <w:left w:val="nil"/>
              <w:bottom w:val="single" w:color="auto" w:sz="4" w:space="0"/>
              <w:right w:val="single" w:color="auto" w:sz="4" w:space="0"/>
            </w:tcBorders>
            <w:noWrap w:val="0"/>
            <w:vAlign w:val="center"/>
          </w:tcPr>
          <w:p>
            <w:pPr>
              <w:spacing w:line="300" w:lineRule="exact"/>
              <w:jc w:val="center"/>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工作小组</w:t>
            </w:r>
          </w:p>
          <w:p>
            <w:pPr>
              <w:spacing w:line="300" w:lineRule="exact"/>
              <w:jc w:val="center"/>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（2分）</w:t>
            </w:r>
          </w:p>
        </w:tc>
        <w:tc>
          <w:tcPr>
            <w:tcW w:w="5000" w:type="dxa"/>
            <w:tcBorders>
              <w:top w:val="single" w:color="auto" w:sz="4" w:space="0"/>
              <w:left w:val="nil"/>
              <w:bottom w:val="single" w:color="auto" w:sz="4" w:space="0"/>
              <w:right w:val="single" w:color="auto" w:sz="4" w:space="0"/>
            </w:tcBorders>
            <w:noWrap w:val="0"/>
            <w:vAlign w:val="center"/>
          </w:tcPr>
          <w:p>
            <w:pPr>
              <w:spacing w:line="300" w:lineRule="exact"/>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成立绩效自评工作小组的得2分，否则不得分。</w:t>
            </w:r>
          </w:p>
        </w:tc>
        <w:tc>
          <w:tcPr>
            <w:tcW w:w="3022" w:type="dxa"/>
            <w:tcBorders>
              <w:top w:val="single" w:color="auto" w:sz="4" w:space="0"/>
              <w:left w:val="nil"/>
              <w:bottom w:val="single" w:color="auto" w:sz="4" w:space="0"/>
              <w:right w:val="single" w:color="auto" w:sz="4" w:space="0"/>
            </w:tcBorders>
            <w:noWrap w:val="0"/>
            <w:vAlign w:val="center"/>
          </w:tcPr>
          <w:p>
            <w:pPr>
              <w:spacing w:line="300" w:lineRule="exact"/>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本部门、本单位预算绩效管理领导小组</w:t>
            </w:r>
            <w:r>
              <w:rPr>
                <w:rFonts w:hint="default" w:ascii="Times New Roman" w:hAnsi="Times New Roman" w:eastAsia="仿宋_GB2312" w:cs="Times New Roman"/>
                <w:spacing w:val="0"/>
                <w:sz w:val="20"/>
                <w:szCs w:val="20"/>
                <w:highlight w:val="none"/>
                <w:lang w:val="en-US" w:eastAsia="zh-CN"/>
              </w:rPr>
              <w:t>/</w:t>
            </w:r>
            <w:r>
              <w:rPr>
                <w:rFonts w:hint="default" w:ascii="Times New Roman" w:hAnsi="Times New Roman" w:eastAsia="仿宋_GB2312" w:cs="Times New Roman"/>
                <w:sz w:val="20"/>
                <w:szCs w:val="20"/>
                <w:highlight w:val="none"/>
              </w:rPr>
              <w:t>绩效评价工作小组</w:t>
            </w:r>
            <w:r>
              <w:rPr>
                <w:rFonts w:hint="default" w:ascii="Times New Roman" w:hAnsi="Times New Roman" w:eastAsia="仿宋_GB2312" w:cs="Times New Roman"/>
                <w:sz w:val="20"/>
                <w:szCs w:val="20"/>
                <w:highlight w:val="none"/>
                <w:lang w:eastAsia="zh-CN"/>
              </w:rPr>
              <w:t>有关</w:t>
            </w:r>
            <w:r>
              <w:rPr>
                <w:rFonts w:hint="default" w:ascii="Times New Roman" w:hAnsi="Times New Roman" w:eastAsia="仿宋_GB2312" w:cs="Times New Roman"/>
                <w:spacing w:val="0"/>
                <w:sz w:val="20"/>
                <w:szCs w:val="20"/>
                <w:highlight w:val="none"/>
              </w:rPr>
              <w:t>文件</w:t>
            </w:r>
            <w:r>
              <w:rPr>
                <w:rFonts w:hint="default" w:ascii="Times New Roman" w:hAnsi="Times New Roman" w:eastAsia="仿宋_GB2312" w:cs="Times New Roman"/>
                <w:sz w:val="20"/>
                <w:szCs w:val="20"/>
                <w:highlight w:val="none"/>
              </w:rPr>
              <w:t>盖章的电子版</w:t>
            </w:r>
          </w:p>
        </w:tc>
      </w:tr>
      <w:tr>
        <w:tblPrEx>
          <w:tblCellMar>
            <w:top w:w="0" w:type="dxa"/>
            <w:left w:w="108" w:type="dxa"/>
            <w:bottom w:w="0" w:type="dxa"/>
            <w:right w:w="108" w:type="dxa"/>
          </w:tblCellMar>
        </w:tblPrEx>
        <w:trPr>
          <w:jc w:val="center"/>
        </w:trPr>
        <w:tc>
          <w:tcPr>
            <w:tcW w:w="745" w:type="dxa"/>
            <w:vMerge w:val="restart"/>
            <w:tcBorders>
              <w:top w:val="single" w:color="auto" w:sz="4" w:space="0"/>
              <w:left w:val="single" w:color="auto" w:sz="4" w:space="0"/>
              <w:right w:val="single" w:color="auto" w:sz="4" w:space="0"/>
            </w:tcBorders>
            <w:noWrap w:val="0"/>
            <w:vAlign w:val="center"/>
          </w:tcPr>
          <w:p>
            <w:pPr>
              <w:spacing w:line="300" w:lineRule="exact"/>
              <w:jc w:val="center"/>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实施评价</w:t>
            </w:r>
          </w:p>
          <w:p>
            <w:pPr>
              <w:spacing w:line="300" w:lineRule="exact"/>
              <w:jc w:val="center"/>
              <w:rPr>
                <w:rFonts w:hint="default" w:ascii="Times New Roman" w:hAnsi="Times New Roman" w:eastAsia="仿宋_GB2312" w:cs="Times New Roman"/>
                <w:sz w:val="20"/>
                <w:szCs w:val="20"/>
                <w:highlight w:val="none"/>
              </w:rPr>
            </w:pPr>
          </w:p>
          <w:p>
            <w:pPr>
              <w:spacing w:line="300" w:lineRule="exact"/>
              <w:jc w:val="center"/>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20分</w:t>
            </w:r>
          </w:p>
        </w:tc>
        <w:tc>
          <w:tcPr>
            <w:tcW w:w="1174" w:type="dxa"/>
            <w:tcBorders>
              <w:top w:val="single" w:color="auto" w:sz="4" w:space="0"/>
              <w:left w:val="nil"/>
              <w:bottom w:val="single" w:color="auto" w:sz="4" w:space="0"/>
              <w:right w:val="single" w:color="auto" w:sz="4" w:space="0"/>
            </w:tcBorders>
            <w:noWrap w:val="0"/>
            <w:vAlign w:val="center"/>
          </w:tcPr>
          <w:p>
            <w:pPr>
              <w:spacing w:line="300" w:lineRule="exact"/>
              <w:jc w:val="center"/>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单位自查</w:t>
            </w:r>
          </w:p>
          <w:p>
            <w:pPr>
              <w:spacing w:line="300" w:lineRule="exact"/>
              <w:jc w:val="center"/>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（10分）</w:t>
            </w:r>
          </w:p>
        </w:tc>
        <w:tc>
          <w:tcPr>
            <w:tcW w:w="5000" w:type="dxa"/>
            <w:tcBorders>
              <w:top w:val="single" w:color="auto" w:sz="4" w:space="0"/>
              <w:left w:val="nil"/>
              <w:bottom w:val="single" w:color="auto" w:sz="4" w:space="0"/>
              <w:right w:val="single" w:color="auto" w:sz="4" w:space="0"/>
            </w:tcBorders>
            <w:noWrap w:val="0"/>
            <w:vAlign w:val="center"/>
          </w:tcPr>
          <w:p>
            <w:pPr>
              <w:spacing w:line="300" w:lineRule="exact"/>
              <w:rPr>
                <w:rFonts w:hint="default" w:ascii="Times New Roman" w:hAnsi="Times New Roman" w:eastAsia="仿宋_GB2312" w:cs="Times New Roman"/>
                <w:sz w:val="20"/>
                <w:szCs w:val="20"/>
                <w:highlight w:val="none"/>
              </w:rPr>
            </w:pPr>
            <w:r>
              <w:rPr>
                <w:rFonts w:hint="eastAsia" w:ascii="Times New Roman" w:hAnsi="Times New Roman" w:eastAsia="仿宋_GB2312" w:cs="Times New Roman"/>
                <w:sz w:val="20"/>
                <w:szCs w:val="20"/>
                <w:highlight w:val="none"/>
                <w:lang w:eastAsia="zh-CN"/>
              </w:rPr>
              <w:t>市级</w:t>
            </w:r>
            <w:r>
              <w:rPr>
                <w:rFonts w:hint="default" w:ascii="Times New Roman" w:hAnsi="Times New Roman" w:eastAsia="仿宋_GB2312" w:cs="Times New Roman"/>
                <w:sz w:val="20"/>
                <w:szCs w:val="20"/>
                <w:highlight w:val="none"/>
              </w:rPr>
              <w:t>预算部门本级和所属单位都要开展绩效自查，转移支付项目单位都要开展绩效自查，</w:t>
            </w:r>
            <w:r>
              <w:rPr>
                <w:rFonts w:hint="eastAsia" w:ascii="Times New Roman" w:hAnsi="Times New Roman" w:eastAsia="仿宋_GB2312" w:cs="Times New Roman"/>
                <w:sz w:val="20"/>
                <w:szCs w:val="20"/>
                <w:highlight w:val="none"/>
                <w:lang w:eastAsia="zh-CN"/>
              </w:rPr>
              <w:t>县、区</w:t>
            </w:r>
            <w:r>
              <w:rPr>
                <w:rFonts w:hint="default" w:ascii="Times New Roman" w:hAnsi="Times New Roman" w:eastAsia="仿宋_GB2312" w:cs="Times New Roman"/>
                <w:sz w:val="20"/>
                <w:szCs w:val="20"/>
                <w:highlight w:val="none"/>
              </w:rPr>
              <w:t>级主管部门都要汇总本区域转移支付情况；以上各项每发现一个单位没有做相应工作的，扣1分，最多扣10分。</w:t>
            </w:r>
          </w:p>
        </w:tc>
        <w:tc>
          <w:tcPr>
            <w:tcW w:w="3022" w:type="dxa"/>
            <w:tcBorders>
              <w:top w:val="single" w:color="auto" w:sz="4" w:space="0"/>
              <w:left w:val="nil"/>
              <w:bottom w:val="single" w:color="auto" w:sz="4" w:space="0"/>
              <w:right w:val="single" w:color="auto" w:sz="4" w:space="0"/>
            </w:tcBorders>
            <w:noWrap w:val="0"/>
            <w:vAlign w:val="center"/>
          </w:tcPr>
          <w:p>
            <w:pPr>
              <w:numPr>
                <w:ilvl w:val="0"/>
                <w:numId w:val="4"/>
              </w:numPr>
              <w:spacing w:line="300" w:lineRule="exact"/>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转移支付项目单位名称和资</w:t>
            </w:r>
            <w:r>
              <w:rPr>
                <w:rFonts w:hint="eastAsia" w:ascii="Times New Roman" w:hAnsi="Times New Roman" w:eastAsia="仿宋_GB2312" w:cs="Times New Roman"/>
                <w:sz w:val="20"/>
                <w:szCs w:val="20"/>
                <w:highlight w:val="none"/>
                <w:lang w:val="en-US" w:eastAsia="zh-CN"/>
              </w:rPr>
              <w:t xml:space="preserve"> </w:t>
            </w:r>
            <w:r>
              <w:rPr>
                <w:rFonts w:hint="default" w:ascii="Times New Roman" w:hAnsi="Times New Roman" w:eastAsia="仿宋_GB2312" w:cs="Times New Roman"/>
                <w:sz w:val="20"/>
                <w:szCs w:val="20"/>
                <w:highlight w:val="none"/>
              </w:rPr>
              <w:t>金情况清单</w:t>
            </w:r>
          </w:p>
          <w:p>
            <w:pPr>
              <w:numPr>
                <w:ilvl w:val="0"/>
                <w:numId w:val="4"/>
              </w:numPr>
              <w:spacing w:line="300" w:lineRule="exact"/>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有转移支付资金的各</w:t>
            </w:r>
            <w:r>
              <w:rPr>
                <w:rFonts w:hint="eastAsia" w:ascii="Times New Roman" w:hAnsi="Times New Roman" w:eastAsia="仿宋_GB2312" w:cs="Times New Roman"/>
                <w:sz w:val="20"/>
                <w:szCs w:val="20"/>
                <w:highlight w:val="none"/>
                <w:lang w:eastAsia="zh-CN"/>
              </w:rPr>
              <w:t>县区</w:t>
            </w:r>
            <w:r>
              <w:rPr>
                <w:rFonts w:hint="default" w:ascii="Times New Roman" w:hAnsi="Times New Roman" w:eastAsia="仿宋_GB2312" w:cs="Times New Roman"/>
                <w:sz w:val="20"/>
                <w:szCs w:val="20"/>
                <w:highlight w:val="none"/>
              </w:rPr>
              <w:t>主管部门汇总情况的盖章PDF版　</w:t>
            </w:r>
          </w:p>
        </w:tc>
      </w:tr>
      <w:tr>
        <w:tblPrEx>
          <w:tblCellMar>
            <w:top w:w="0" w:type="dxa"/>
            <w:left w:w="108" w:type="dxa"/>
            <w:bottom w:w="0" w:type="dxa"/>
            <w:right w:w="108" w:type="dxa"/>
          </w:tblCellMar>
        </w:tblPrEx>
        <w:trPr>
          <w:jc w:val="center"/>
        </w:trPr>
        <w:tc>
          <w:tcPr>
            <w:tcW w:w="745" w:type="dxa"/>
            <w:vMerge w:val="continue"/>
            <w:tcBorders>
              <w:left w:val="single" w:color="auto" w:sz="4" w:space="0"/>
              <w:bottom w:val="single" w:color="auto" w:sz="4" w:space="0"/>
              <w:right w:val="single" w:color="auto" w:sz="4" w:space="0"/>
            </w:tcBorders>
            <w:noWrap w:val="0"/>
            <w:vAlign w:val="center"/>
          </w:tcPr>
          <w:p>
            <w:pPr>
              <w:spacing w:line="300" w:lineRule="exact"/>
              <w:rPr>
                <w:rFonts w:hint="default" w:ascii="Times New Roman" w:hAnsi="Times New Roman" w:eastAsia="仿宋_GB2312" w:cs="Times New Roman"/>
                <w:sz w:val="20"/>
                <w:szCs w:val="20"/>
                <w:highlight w:val="none"/>
              </w:rPr>
            </w:pPr>
          </w:p>
        </w:tc>
        <w:tc>
          <w:tcPr>
            <w:tcW w:w="1174" w:type="dxa"/>
            <w:tcBorders>
              <w:top w:val="nil"/>
              <w:left w:val="nil"/>
              <w:bottom w:val="single" w:color="auto" w:sz="4" w:space="0"/>
              <w:right w:val="single" w:color="auto" w:sz="4" w:space="0"/>
            </w:tcBorders>
            <w:noWrap w:val="0"/>
            <w:vAlign w:val="center"/>
          </w:tcPr>
          <w:p>
            <w:pPr>
              <w:spacing w:line="300" w:lineRule="exact"/>
              <w:jc w:val="center"/>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提交报告</w:t>
            </w:r>
          </w:p>
          <w:p>
            <w:pPr>
              <w:spacing w:line="300" w:lineRule="exact"/>
              <w:jc w:val="center"/>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（10分）</w:t>
            </w:r>
          </w:p>
        </w:tc>
        <w:tc>
          <w:tcPr>
            <w:tcW w:w="8022" w:type="dxa"/>
            <w:gridSpan w:val="2"/>
            <w:tcBorders>
              <w:top w:val="nil"/>
              <w:left w:val="nil"/>
              <w:bottom w:val="single" w:color="auto" w:sz="4" w:space="0"/>
              <w:right w:val="single" w:color="auto" w:sz="4" w:space="0"/>
            </w:tcBorders>
            <w:noWrap w:val="0"/>
            <w:vAlign w:val="center"/>
          </w:tcPr>
          <w:p>
            <w:pPr>
              <w:spacing w:line="300" w:lineRule="exact"/>
              <w:jc w:val="center"/>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按时向</w:t>
            </w:r>
            <w:r>
              <w:rPr>
                <w:rFonts w:hint="eastAsia" w:ascii="Times New Roman" w:hAnsi="Times New Roman" w:eastAsia="仿宋_GB2312" w:cs="Times New Roman"/>
                <w:sz w:val="20"/>
                <w:szCs w:val="20"/>
                <w:highlight w:val="none"/>
                <w:lang w:eastAsia="zh-CN"/>
              </w:rPr>
              <w:t>市财政局</w:t>
            </w:r>
            <w:r>
              <w:rPr>
                <w:rFonts w:hint="default" w:ascii="Times New Roman" w:hAnsi="Times New Roman" w:eastAsia="仿宋_GB2312" w:cs="Times New Roman"/>
                <w:sz w:val="20"/>
                <w:szCs w:val="20"/>
                <w:highlight w:val="none"/>
              </w:rPr>
              <w:t>报送报告的得10分；每推迟一个工作日报送报告的扣1分，最多扣10分。</w:t>
            </w:r>
          </w:p>
        </w:tc>
      </w:tr>
      <w:tr>
        <w:tblPrEx>
          <w:tblCellMar>
            <w:top w:w="0" w:type="dxa"/>
            <w:left w:w="108" w:type="dxa"/>
            <w:bottom w:w="0" w:type="dxa"/>
            <w:right w:w="108" w:type="dxa"/>
          </w:tblCellMar>
        </w:tblPrEx>
        <w:trPr>
          <w:trHeight w:val="740" w:hRule="atLeast"/>
          <w:jc w:val="center"/>
        </w:trPr>
        <w:tc>
          <w:tcPr>
            <w:tcW w:w="745" w:type="dxa"/>
            <w:vMerge w:val="restart"/>
            <w:tcBorders>
              <w:top w:val="single" w:color="auto" w:sz="4" w:space="0"/>
              <w:left w:val="single" w:color="auto" w:sz="4" w:space="0"/>
              <w:bottom w:val="single" w:color="auto" w:sz="4" w:space="0"/>
              <w:right w:val="single" w:color="auto" w:sz="4" w:space="0"/>
            </w:tcBorders>
            <w:noWrap w:val="0"/>
            <w:vAlign w:val="center"/>
          </w:tcPr>
          <w:p>
            <w:pPr>
              <w:spacing w:line="300" w:lineRule="exact"/>
              <w:jc w:val="center"/>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自评报告</w:t>
            </w:r>
          </w:p>
          <w:p>
            <w:pPr>
              <w:spacing w:line="300" w:lineRule="exact"/>
              <w:jc w:val="center"/>
              <w:rPr>
                <w:rFonts w:hint="default" w:ascii="Times New Roman" w:hAnsi="Times New Roman" w:eastAsia="仿宋_GB2312" w:cs="Times New Roman"/>
                <w:sz w:val="20"/>
                <w:szCs w:val="20"/>
                <w:highlight w:val="none"/>
              </w:rPr>
            </w:pPr>
          </w:p>
          <w:p>
            <w:pPr>
              <w:spacing w:line="300" w:lineRule="exact"/>
              <w:jc w:val="center"/>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70分</w:t>
            </w:r>
          </w:p>
        </w:tc>
        <w:tc>
          <w:tcPr>
            <w:tcW w:w="1174" w:type="dxa"/>
            <w:tcBorders>
              <w:top w:val="single" w:color="auto" w:sz="4" w:space="0"/>
              <w:left w:val="nil"/>
              <w:bottom w:val="single" w:color="auto" w:sz="4" w:space="0"/>
              <w:right w:val="single" w:color="auto" w:sz="4" w:space="0"/>
            </w:tcBorders>
            <w:noWrap w:val="0"/>
            <w:vAlign w:val="center"/>
          </w:tcPr>
          <w:p>
            <w:pPr>
              <w:spacing w:line="300" w:lineRule="exact"/>
              <w:jc w:val="center"/>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完整性</w:t>
            </w:r>
          </w:p>
          <w:p>
            <w:pPr>
              <w:spacing w:line="300" w:lineRule="exact"/>
              <w:jc w:val="center"/>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（15分）</w:t>
            </w:r>
          </w:p>
        </w:tc>
        <w:tc>
          <w:tcPr>
            <w:tcW w:w="8022" w:type="dxa"/>
            <w:gridSpan w:val="2"/>
            <w:tcBorders>
              <w:top w:val="single" w:color="auto" w:sz="4" w:space="0"/>
              <w:left w:val="nil"/>
              <w:bottom w:val="single" w:color="auto" w:sz="4" w:space="0"/>
              <w:right w:val="single" w:color="auto" w:sz="4" w:space="0"/>
            </w:tcBorders>
            <w:noWrap w:val="0"/>
            <w:vAlign w:val="center"/>
          </w:tcPr>
          <w:p>
            <w:pPr>
              <w:spacing w:line="240" w:lineRule="auto"/>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1</w:t>
            </w:r>
            <w:r>
              <w:rPr>
                <w:rFonts w:hint="eastAsia" w:ascii="Times New Roman" w:hAnsi="Times New Roman" w:eastAsia="仿宋_GB2312" w:cs="Times New Roman"/>
                <w:sz w:val="20"/>
                <w:szCs w:val="20"/>
                <w:highlight w:val="none"/>
                <w:lang w:val="en-US" w:eastAsia="zh-CN"/>
              </w:rPr>
              <w:t>.</w:t>
            </w:r>
            <w:r>
              <w:rPr>
                <w:rFonts w:hint="default" w:ascii="Times New Roman" w:hAnsi="Times New Roman" w:eastAsia="仿宋_GB2312" w:cs="Times New Roman"/>
                <w:sz w:val="20"/>
                <w:szCs w:val="20"/>
                <w:highlight w:val="none"/>
              </w:rPr>
              <w:t>绩效自评报告正文部分内容齐全的，得8分；否则每少一个部分扣2分，最多扣8分。</w:t>
            </w:r>
          </w:p>
          <w:p>
            <w:pPr>
              <w:spacing w:line="240" w:lineRule="auto"/>
              <w:jc w:val="left"/>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2</w:t>
            </w:r>
            <w:r>
              <w:rPr>
                <w:rFonts w:hint="eastAsia" w:ascii="Times New Roman" w:hAnsi="Times New Roman" w:eastAsia="仿宋_GB2312" w:cs="Times New Roman"/>
                <w:sz w:val="20"/>
                <w:szCs w:val="20"/>
                <w:highlight w:val="none"/>
                <w:lang w:val="en-US" w:eastAsia="zh-CN"/>
              </w:rPr>
              <w:t>.</w:t>
            </w:r>
            <w:r>
              <w:rPr>
                <w:rFonts w:hint="default" w:ascii="Times New Roman" w:hAnsi="Times New Roman" w:eastAsia="仿宋_GB2312" w:cs="Times New Roman"/>
                <w:sz w:val="20"/>
                <w:szCs w:val="20"/>
                <w:highlight w:val="none"/>
              </w:rPr>
              <w:t>绩效自评报告附件部分内容齐全的，得7分；否则每少一个部分扣2分，最多扣7分。</w:t>
            </w:r>
          </w:p>
        </w:tc>
      </w:tr>
      <w:tr>
        <w:tblPrEx>
          <w:tblCellMar>
            <w:top w:w="0" w:type="dxa"/>
            <w:left w:w="108" w:type="dxa"/>
            <w:bottom w:w="0" w:type="dxa"/>
            <w:right w:w="108" w:type="dxa"/>
          </w:tblCellMar>
        </w:tblPrEx>
        <w:trPr>
          <w:trHeight w:val="2143" w:hRule="atLeast"/>
          <w:jc w:val="center"/>
        </w:trPr>
        <w:tc>
          <w:tcPr>
            <w:tcW w:w="745" w:type="dxa"/>
            <w:vMerge w:val="continue"/>
            <w:tcBorders>
              <w:top w:val="single" w:color="auto" w:sz="4" w:space="0"/>
              <w:left w:val="single" w:color="auto" w:sz="4" w:space="0"/>
              <w:bottom w:val="single" w:color="auto" w:sz="4" w:space="0"/>
              <w:right w:val="single" w:color="auto" w:sz="4" w:space="0"/>
            </w:tcBorders>
            <w:noWrap w:val="0"/>
            <w:vAlign w:val="center"/>
          </w:tcPr>
          <w:p>
            <w:pPr>
              <w:spacing w:line="300" w:lineRule="exact"/>
              <w:rPr>
                <w:rFonts w:hint="default" w:ascii="Times New Roman" w:hAnsi="Times New Roman" w:eastAsia="仿宋_GB2312" w:cs="Times New Roman"/>
                <w:sz w:val="20"/>
                <w:szCs w:val="20"/>
                <w:highlight w:val="none"/>
              </w:rPr>
            </w:pPr>
          </w:p>
        </w:tc>
        <w:tc>
          <w:tcPr>
            <w:tcW w:w="1174" w:type="dxa"/>
            <w:tcBorders>
              <w:top w:val="single" w:color="auto" w:sz="4" w:space="0"/>
              <w:left w:val="nil"/>
              <w:right w:val="single" w:color="auto" w:sz="4" w:space="0"/>
            </w:tcBorders>
            <w:noWrap w:val="0"/>
            <w:vAlign w:val="center"/>
          </w:tcPr>
          <w:p>
            <w:pPr>
              <w:spacing w:line="300" w:lineRule="exact"/>
              <w:jc w:val="center"/>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绩效</w:t>
            </w:r>
          </w:p>
          <w:p>
            <w:pPr>
              <w:spacing w:line="300" w:lineRule="exact"/>
              <w:jc w:val="center"/>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自评表</w:t>
            </w:r>
          </w:p>
          <w:p>
            <w:pPr>
              <w:spacing w:line="300" w:lineRule="exact"/>
              <w:jc w:val="center"/>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（20分）</w:t>
            </w:r>
          </w:p>
        </w:tc>
        <w:tc>
          <w:tcPr>
            <w:tcW w:w="8022" w:type="dxa"/>
            <w:gridSpan w:val="2"/>
            <w:tcBorders>
              <w:top w:val="single" w:color="auto" w:sz="4" w:space="0"/>
              <w:left w:val="nil"/>
              <w:bottom w:val="single" w:color="auto" w:sz="4" w:space="0"/>
              <w:right w:val="single" w:color="auto" w:sz="4" w:space="0"/>
            </w:tcBorders>
            <w:noWrap w:val="0"/>
            <w:vAlign w:val="center"/>
          </w:tcPr>
          <w:p>
            <w:pPr>
              <w:spacing w:line="240" w:lineRule="auto"/>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1、部门整体支出和项目支出绩效指标反映产出、效益、服务对象满意度方面的指标和预算执行率的权重符合《</w:t>
            </w:r>
            <w:r>
              <w:rPr>
                <w:rFonts w:hint="eastAsia" w:ascii="Times New Roman" w:hAnsi="Times New Roman" w:eastAsia="仿宋_GB2312" w:cs="Times New Roman"/>
                <w:sz w:val="20"/>
                <w:szCs w:val="20"/>
                <w:highlight w:val="none"/>
                <w:lang w:eastAsia="zh-CN"/>
              </w:rPr>
              <w:t>岳阳市市级</w:t>
            </w:r>
            <w:r>
              <w:rPr>
                <w:rFonts w:hint="default" w:ascii="Times New Roman" w:hAnsi="Times New Roman" w:eastAsia="仿宋_GB2312" w:cs="Times New Roman"/>
                <w:sz w:val="20"/>
                <w:szCs w:val="20"/>
                <w:highlight w:val="none"/>
              </w:rPr>
              <w:t>预算部门绩效自评操作规程》要求的，得5分，否则按比例扣除相应的分数。</w:t>
            </w:r>
          </w:p>
          <w:p>
            <w:pPr>
              <w:spacing w:line="240" w:lineRule="auto"/>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2</w:t>
            </w:r>
            <w:r>
              <w:rPr>
                <w:rFonts w:hint="eastAsia" w:ascii="Times New Roman" w:hAnsi="Times New Roman" w:eastAsia="仿宋_GB2312" w:cs="Times New Roman"/>
                <w:sz w:val="20"/>
                <w:szCs w:val="20"/>
                <w:highlight w:val="none"/>
                <w:lang w:val="en-US" w:eastAsia="zh-CN"/>
              </w:rPr>
              <w:t>.</w:t>
            </w:r>
            <w:r>
              <w:rPr>
                <w:rFonts w:hint="default" w:ascii="Times New Roman" w:hAnsi="Times New Roman" w:eastAsia="仿宋_GB2312" w:cs="Times New Roman"/>
                <w:sz w:val="20"/>
                <w:szCs w:val="20"/>
                <w:highlight w:val="none"/>
              </w:rPr>
              <w:t>部门整体支出和项目支出绩效指标全部细化到三级指标的，得5分；部分细化的，酌情扣分；没有细化的，不得分。</w:t>
            </w:r>
          </w:p>
          <w:p>
            <w:pPr>
              <w:spacing w:line="240" w:lineRule="auto"/>
              <w:jc w:val="left"/>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3</w:t>
            </w:r>
            <w:r>
              <w:rPr>
                <w:rFonts w:hint="eastAsia" w:ascii="Times New Roman" w:hAnsi="Times New Roman" w:eastAsia="仿宋_GB2312" w:cs="Times New Roman"/>
                <w:sz w:val="20"/>
                <w:szCs w:val="20"/>
                <w:highlight w:val="none"/>
                <w:lang w:val="en-US" w:eastAsia="zh-CN"/>
              </w:rPr>
              <w:t>.</w:t>
            </w:r>
            <w:r>
              <w:rPr>
                <w:rFonts w:hint="default" w:ascii="Times New Roman" w:hAnsi="Times New Roman" w:eastAsia="仿宋_GB2312" w:cs="Times New Roman"/>
                <w:sz w:val="20"/>
                <w:szCs w:val="20"/>
                <w:highlight w:val="none"/>
              </w:rPr>
              <w:t>部门整体支出和项目支出三级绩效指标内涵明确、具体、可衡量的得5分；突出核心指标，精简实用的得3分；指标与部门整体支出和项目支出密切相关，全面反映产出和效益的得2分；否则，每项酌情扣分，最多扣10分。</w:t>
            </w:r>
          </w:p>
        </w:tc>
      </w:tr>
      <w:tr>
        <w:tblPrEx>
          <w:tblCellMar>
            <w:top w:w="0" w:type="dxa"/>
            <w:left w:w="108" w:type="dxa"/>
            <w:bottom w:w="0" w:type="dxa"/>
            <w:right w:w="108" w:type="dxa"/>
          </w:tblCellMar>
        </w:tblPrEx>
        <w:trPr>
          <w:trHeight w:val="1197" w:hRule="atLeast"/>
          <w:jc w:val="center"/>
        </w:trPr>
        <w:tc>
          <w:tcPr>
            <w:tcW w:w="745" w:type="dxa"/>
            <w:vMerge w:val="continue"/>
            <w:tcBorders>
              <w:top w:val="single" w:color="auto" w:sz="4" w:space="0"/>
              <w:left w:val="single" w:color="auto" w:sz="4" w:space="0"/>
              <w:bottom w:val="single" w:color="auto" w:sz="4" w:space="0"/>
              <w:right w:val="single" w:color="auto" w:sz="4" w:space="0"/>
            </w:tcBorders>
            <w:noWrap w:val="0"/>
            <w:vAlign w:val="center"/>
          </w:tcPr>
          <w:p>
            <w:pPr>
              <w:spacing w:line="300" w:lineRule="exact"/>
              <w:jc w:val="center"/>
              <w:rPr>
                <w:rFonts w:hint="default" w:ascii="Times New Roman" w:hAnsi="Times New Roman" w:eastAsia="仿宋_GB2312" w:cs="Times New Roman"/>
                <w:sz w:val="20"/>
                <w:szCs w:val="20"/>
                <w:highlight w:val="none"/>
              </w:rPr>
            </w:pPr>
          </w:p>
        </w:tc>
        <w:tc>
          <w:tcPr>
            <w:tcW w:w="1174" w:type="dxa"/>
            <w:tcBorders>
              <w:top w:val="single" w:color="auto" w:sz="4" w:space="0"/>
              <w:left w:val="nil"/>
              <w:bottom w:val="single" w:color="auto" w:sz="4" w:space="0"/>
              <w:right w:val="single" w:color="auto" w:sz="4" w:space="0"/>
            </w:tcBorders>
            <w:noWrap w:val="0"/>
            <w:vAlign w:val="center"/>
          </w:tcPr>
          <w:p>
            <w:pPr>
              <w:jc w:val="center"/>
              <w:rPr>
                <w:rFonts w:hint="default" w:ascii="Times New Roman" w:hAnsi="Times New Roman" w:cs="Times New Roman"/>
                <w:highlight w:val="none"/>
              </w:rPr>
            </w:pPr>
          </w:p>
          <w:p>
            <w:pPr>
              <w:spacing w:line="240" w:lineRule="auto"/>
              <w:jc w:val="center"/>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反映问</w:t>
            </w:r>
          </w:p>
          <w:p>
            <w:pPr>
              <w:spacing w:line="240" w:lineRule="auto"/>
              <w:jc w:val="center"/>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题情况</w:t>
            </w:r>
          </w:p>
          <w:p>
            <w:pPr>
              <w:spacing w:line="300" w:lineRule="exact"/>
              <w:jc w:val="center"/>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（20分）</w:t>
            </w:r>
          </w:p>
        </w:tc>
        <w:tc>
          <w:tcPr>
            <w:tcW w:w="8022" w:type="dxa"/>
            <w:gridSpan w:val="2"/>
            <w:tcBorders>
              <w:top w:val="single" w:color="auto" w:sz="4" w:space="0"/>
              <w:left w:val="nil"/>
              <w:bottom w:val="single" w:color="auto" w:sz="4" w:space="0"/>
              <w:right w:val="single" w:color="auto" w:sz="4" w:space="0"/>
            </w:tcBorders>
            <w:noWrap w:val="0"/>
            <w:vAlign w:val="center"/>
          </w:tcPr>
          <w:p>
            <w:pPr>
              <w:spacing w:line="240" w:lineRule="auto"/>
              <w:jc w:val="left"/>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从预算和预算绩效管理，部门履职效能，资金分配、使用和管理，资产和财务管理，政府采购等方面归纳问题、分析原因全面的，得20分；反映问题、分析原因较全面的，得16—18分；反映问题、分析原因不全面的，得13—15分；问题未归纳且过于简单的，得10—12分；只提出资金不足问题的不得分；其他情况酌情扣分。　</w:t>
            </w:r>
          </w:p>
        </w:tc>
      </w:tr>
      <w:tr>
        <w:tblPrEx>
          <w:tblCellMar>
            <w:top w:w="0" w:type="dxa"/>
            <w:left w:w="108" w:type="dxa"/>
            <w:bottom w:w="0" w:type="dxa"/>
            <w:right w:w="108" w:type="dxa"/>
          </w:tblCellMar>
        </w:tblPrEx>
        <w:trPr>
          <w:trHeight w:val="627" w:hRule="atLeast"/>
          <w:jc w:val="center"/>
        </w:trPr>
        <w:tc>
          <w:tcPr>
            <w:tcW w:w="745" w:type="dxa"/>
            <w:vMerge w:val="continue"/>
            <w:tcBorders>
              <w:top w:val="single" w:color="auto" w:sz="4" w:space="0"/>
              <w:left w:val="single" w:color="auto" w:sz="4" w:space="0"/>
              <w:bottom w:val="single" w:color="auto" w:sz="4" w:space="0"/>
              <w:right w:val="single" w:color="auto" w:sz="4" w:space="0"/>
            </w:tcBorders>
            <w:noWrap w:val="0"/>
            <w:vAlign w:val="center"/>
          </w:tcPr>
          <w:p>
            <w:pPr>
              <w:spacing w:line="300" w:lineRule="exact"/>
              <w:rPr>
                <w:rFonts w:hint="default" w:ascii="Times New Roman" w:hAnsi="Times New Roman" w:eastAsia="仿宋_GB2312" w:cs="Times New Roman"/>
                <w:sz w:val="20"/>
                <w:szCs w:val="20"/>
                <w:highlight w:val="none"/>
              </w:rPr>
            </w:pPr>
          </w:p>
        </w:tc>
        <w:tc>
          <w:tcPr>
            <w:tcW w:w="1174" w:type="dxa"/>
            <w:tcBorders>
              <w:top w:val="single" w:color="auto" w:sz="4" w:space="0"/>
              <w:left w:val="nil"/>
              <w:bottom w:val="single" w:color="auto" w:sz="4" w:space="0"/>
              <w:right w:val="single" w:color="auto" w:sz="4" w:space="0"/>
            </w:tcBorders>
            <w:noWrap w:val="0"/>
            <w:vAlign w:val="center"/>
          </w:tcPr>
          <w:p>
            <w:pPr>
              <w:spacing w:line="300" w:lineRule="exact"/>
              <w:jc w:val="center"/>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建议情况</w:t>
            </w:r>
          </w:p>
          <w:p>
            <w:pPr>
              <w:spacing w:line="300" w:lineRule="exact"/>
              <w:jc w:val="center"/>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（15分）</w:t>
            </w:r>
          </w:p>
        </w:tc>
        <w:tc>
          <w:tcPr>
            <w:tcW w:w="8022" w:type="dxa"/>
            <w:gridSpan w:val="2"/>
            <w:tcBorders>
              <w:top w:val="single" w:color="auto" w:sz="4" w:space="0"/>
              <w:left w:val="nil"/>
              <w:bottom w:val="single" w:color="auto" w:sz="4" w:space="0"/>
              <w:right w:val="single" w:color="auto" w:sz="4" w:space="0"/>
            </w:tcBorders>
            <w:noWrap w:val="0"/>
            <w:vAlign w:val="center"/>
          </w:tcPr>
          <w:p>
            <w:pPr>
              <w:spacing w:line="240" w:lineRule="auto"/>
              <w:jc w:val="left"/>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建议与问题对应且全面的得15分，建议比较全面的得12—14分，建议不全面的得9—11分，建议过于简单的得6—8分，只提出加大资金投入建议的不得分；其他情况酌情扣分。</w:t>
            </w:r>
          </w:p>
        </w:tc>
      </w:tr>
      <w:tr>
        <w:tblPrEx>
          <w:tblCellMar>
            <w:top w:w="0" w:type="dxa"/>
            <w:left w:w="108" w:type="dxa"/>
            <w:bottom w:w="0" w:type="dxa"/>
            <w:right w:w="108" w:type="dxa"/>
          </w:tblCellMar>
        </w:tblPrEx>
        <w:trPr>
          <w:trHeight w:val="495" w:hRule="atLeast"/>
          <w:jc w:val="center"/>
        </w:trPr>
        <w:tc>
          <w:tcPr>
            <w:tcW w:w="745" w:type="dxa"/>
            <w:tcBorders>
              <w:top w:val="single" w:color="auto" w:sz="4" w:space="0"/>
              <w:left w:val="single" w:color="auto" w:sz="4" w:space="0"/>
              <w:bottom w:val="single" w:color="auto" w:sz="4" w:space="0"/>
              <w:right w:val="single" w:color="auto" w:sz="4" w:space="0"/>
            </w:tcBorders>
            <w:noWrap w:val="0"/>
            <w:vAlign w:val="center"/>
          </w:tcPr>
          <w:p>
            <w:pPr>
              <w:spacing w:line="300" w:lineRule="exact"/>
              <w:jc w:val="center"/>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合计</w:t>
            </w:r>
          </w:p>
        </w:tc>
        <w:tc>
          <w:tcPr>
            <w:tcW w:w="1174" w:type="dxa"/>
            <w:tcBorders>
              <w:top w:val="single" w:color="auto" w:sz="4" w:space="0"/>
              <w:left w:val="single" w:color="auto" w:sz="4" w:space="0"/>
              <w:bottom w:val="single" w:color="auto" w:sz="4" w:space="0"/>
              <w:right w:val="single" w:color="auto" w:sz="4" w:space="0"/>
            </w:tcBorders>
            <w:noWrap w:val="0"/>
            <w:vAlign w:val="center"/>
          </w:tcPr>
          <w:p>
            <w:pPr>
              <w:spacing w:line="300" w:lineRule="exact"/>
              <w:jc w:val="center"/>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100分</w:t>
            </w:r>
          </w:p>
        </w:tc>
        <w:tc>
          <w:tcPr>
            <w:tcW w:w="8022" w:type="dxa"/>
            <w:gridSpan w:val="2"/>
            <w:tcBorders>
              <w:top w:val="single" w:color="auto" w:sz="4" w:space="0"/>
              <w:left w:val="single" w:color="auto" w:sz="4" w:space="0"/>
              <w:bottom w:val="single" w:color="auto" w:sz="4" w:space="0"/>
              <w:right w:val="single" w:color="auto" w:sz="4" w:space="0"/>
            </w:tcBorders>
            <w:noWrap w:val="0"/>
            <w:vAlign w:val="center"/>
          </w:tcPr>
          <w:p>
            <w:pPr>
              <w:spacing w:line="300" w:lineRule="exact"/>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　</w:t>
            </w:r>
          </w:p>
        </w:tc>
      </w:tr>
    </w:tbl>
    <w:p>
      <w:pPr>
        <w:keepNext w:val="0"/>
        <w:keepLines w:val="0"/>
        <w:pageBreakBefore w:val="0"/>
        <w:widowControl w:val="0"/>
        <w:kinsoku/>
        <w:wordWrap/>
        <w:overflowPunct/>
        <w:topLinePunct w:val="0"/>
        <w:autoSpaceDE/>
        <w:autoSpaceDN/>
        <w:bidi w:val="0"/>
        <w:adjustRightInd/>
        <w:snapToGrid/>
        <w:spacing w:afterLines="0" w:line="360" w:lineRule="auto"/>
        <w:ind w:right="0" w:rightChars="0"/>
        <w:jc w:val="both"/>
        <w:textAlignment w:val="auto"/>
        <w:rPr>
          <w:rFonts w:hint="eastAsia" w:ascii="仿宋_GB2312" w:hAnsi="仿宋_GB2312" w:eastAsia="仿宋_GB2312" w:cs="仿宋_GB2312"/>
          <w:sz w:val="32"/>
          <w:szCs w:val="32"/>
          <w:highlight w:val="none"/>
          <w:lang w:eastAsia="zh-CN"/>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
    <w:panose1 w:val="02010609060101010101"/>
    <w:charset w:val="86"/>
    <w:family w:val="auto"/>
    <w:pitch w:val="default"/>
    <w:sig w:usb0="800002BF" w:usb1="38CF7CFA" w:usb2="00000016" w:usb3="00000000" w:csb0="00040001" w:csb1="00000000"/>
  </w:font>
  <w:font w:name="仿宋_GB2312">
    <w:altName w:val="仿宋"/>
    <w:panose1 w:val="02010609030101010101"/>
    <w:charset w:val="86"/>
    <w:family w:val="modern"/>
    <w:pitch w:val="default"/>
    <w:sig w:usb0="00000000" w:usb1="00000000" w:usb2="00000000" w:usb3="00000000" w:csb0="00040000" w:csb1="00000000"/>
  </w:font>
  <w:font w:name="方正小标宋简体">
    <w:altName w:val="Arial Unicode MS"/>
    <w:panose1 w:val="02000000000000000000"/>
    <w:charset w:val="86"/>
    <w:family w:val="auto"/>
    <w:pitch w:val="default"/>
    <w:sig w:usb0="00000000" w:usb1="00000000" w:usb2="00000012" w:usb3="00000000" w:csb0="00040001" w:csb1="00000000"/>
  </w:font>
  <w:font w:name="方正小标宋_GBK">
    <w:altName w:val="Arial Unicode MS"/>
    <w:panose1 w:val="02000000000000000000"/>
    <w:charset w:val="86"/>
    <w:family w:val="script"/>
    <w:pitch w:val="default"/>
    <w:sig w:usb0="00000000" w:usb1="00000000" w:usb2="00000000" w:usb3="00000000" w:csb0="00040000" w:csb1="00000000"/>
  </w:font>
  <w:font w:name="楷体_GB2312">
    <w:altName w:val="楷体"/>
    <w:panose1 w:val="02010609030101010101"/>
    <w:charset w:val="86"/>
    <w:family w:val="modern"/>
    <w:pitch w:val="default"/>
    <w:sig w:usb0="00000000" w:usb1="00000000" w:usb2="00000000" w:usb3="00000000" w:csb0="00040000" w:csb1="00000000"/>
  </w:font>
  <w:font w:name="Arial Unicode MS">
    <w:panose1 w:val="020B0604020202020204"/>
    <w:charset w:val="86"/>
    <w:family w:val="auto"/>
    <w:pitch w:val="default"/>
    <w:sig w:usb0="FFFFFFFF" w:usb1="E9FFFFFF" w:usb2="0000003F" w:usb3="00000000" w:csb0="603F01FF" w:csb1="FFFF0000"/>
  </w:font>
  <w:font w:name="楷体">
    <w:panose1 w:val="02010609060101010101"/>
    <w:charset w:val="86"/>
    <w:family w:val="auto"/>
    <w:pitch w:val="default"/>
    <w:sig w:usb0="800002BF" w:usb1="38CF7CFA" w:usb2="00000016" w:usb3="00000000" w:csb0="00040001"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E5368436"/>
    <w:multiLevelType w:val="singleLevel"/>
    <w:tmpl w:val="E5368436"/>
    <w:lvl w:ilvl="0" w:tentative="0">
      <w:start w:val="2"/>
      <w:numFmt w:val="chineseCounting"/>
      <w:suff w:val="nothing"/>
      <w:lvlText w:val="（%1）"/>
      <w:lvlJc w:val="left"/>
      <w:rPr>
        <w:rFonts w:hint="eastAsia"/>
      </w:rPr>
    </w:lvl>
  </w:abstractNum>
  <w:abstractNum w:abstractNumId="1">
    <w:nsid w:val="E84E31AB"/>
    <w:multiLevelType w:val="singleLevel"/>
    <w:tmpl w:val="E84E31AB"/>
    <w:lvl w:ilvl="0" w:tentative="0">
      <w:start w:val="3"/>
      <w:numFmt w:val="chineseCounting"/>
      <w:suff w:val="nothing"/>
      <w:lvlText w:val="（%1）"/>
      <w:lvlJc w:val="left"/>
      <w:rPr>
        <w:rFonts w:hint="eastAsia"/>
      </w:rPr>
    </w:lvl>
  </w:abstractNum>
  <w:abstractNum w:abstractNumId="2">
    <w:nsid w:val="5DDF8822"/>
    <w:multiLevelType w:val="singleLevel"/>
    <w:tmpl w:val="5DDF8822"/>
    <w:lvl w:ilvl="0" w:tentative="0">
      <w:start w:val="1"/>
      <w:numFmt w:val="decimal"/>
      <w:suff w:val="nothing"/>
      <w:lvlText w:val="%1、"/>
      <w:lvlJc w:val="left"/>
    </w:lvl>
  </w:abstractNum>
  <w:abstractNum w:abstractNumId="3">
    <w:nsid w:val="79123058"/>
    <w:multiLevelType w:val="singleLevel"/>
    <w:tmpl w:val="79123058"/>
    <w:lvl w:ilvl="0" w:tentative="0">
      <w:start w:val="1"/>
      <w:numFmt w:val="chineseCounting"/>
      <w:suff w:val="nothing"/>
      <w:lvlText w:val="%1、"/>
      <w:lvlJc w:val="left"/>
      <w:rPr>
        <w:rFonts w:hint="eastAsia"/>
      </w:rPr>
    </w:lvl>
  </w:abstractNum>
  <w:num w:numId="1">
    <w:abstractNumId w:val="3"/>
  </w:num>
  <w:num w:numId="2">
    <w:abstractNumId w:val="0"/>
  </w:num>
  <w:num w:numId="3">
    <w:abstractNumId w:val="1"/>
  </w:num>
  <w:num w:numId="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jc1MWQ5MjkxOGQ4YmJhYzkxZTk5MWEwMjdlN2IyZGQifQ=="/>
  </w:docVars>
  <w:rsids>
    <w:rsidRoot w:val="59886344"/>
    <w:rsid w:val="08E7715F"/>
    <w:rsid w:val="0A493353"/>
    <w:rsid w:val="0D4B3510"/>
    <w:rsid w:val="10D64C0A"/>
    <w:rsid w:val="11907A46"/>
    <w:rsid w:val="130A5C8F"/>
    <w:rsid w:val="14F94CC0"/>
    <w:rsid w:val="162F53CC"/>
    <w:rsid w:val="1A6D674F"/>
    <w:rsid w:val="1CB41354"/>
    <w:rsid w:val="1D161D42"/>
    <w:rsid w:val="1DBE272D"/>
    <w:rsid w:val="274E2D73"/>
    <w:rsid w:val="28156AE2"/>
    <w:rsid w:val="29684C23"/>
    <w:rsid w:val="2A0D5946"/>
    <w:rsid w:val="2A5C1A3B"/>
    <w:rsid w:val="2DDC3160"/>
    <w:rsid w:val="2F5D0912"/>
    <w:rsid w:val="31AC1B10"/>
    <w:rsid w:val="3469156C"/>
    <w:rsid w:val="3A1B3F3E"/>
    <w:rsid w:val="40941513"/>
    <w:rsid w:val="4103763A"/>
    <w:rsid w:val="44DE1B9E"/>
    <w:rsid w:val="4AAE5276"/>
    <w:rsid w:val="4B587758"/>
    <w:rsid w:val="4D396979"/>
    <w:rsid w:val="50D076DA"/>
    <w:rsid w:val="59886344"/>
    <w:rsid w:val="59C40D4C"/>
    <w:rsid w:val="61275C2C"/>
    <w:rsid w:val="64431A63"/>
    <w:rsid w:val="65B82922"/>
    <w:rsid w:val="669C007B"/>
    <w:rsid w:val="6954459A"/>
    <w:rsid w:val="6A962AC7"/>
    <w:rsid w:val="6F7246F2"/>
    <w:rsid w:val="77BD5239"/>
    <w:rsid w:val="DFEF884A"/>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qFormat="1" w:unhideWhenUsed="0" w:uiPriority="99"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仿宋" w:hAnsi="仿宋" w:eastAsia="宋体" w:cs="Times New Roman"/>
      <w:kern w:val="0"/>
      <w:sz w:val="28"/>
      <w:szCs w:val="24"/>
      <w:lang w:val="en-US" w:eastAsia="zh-CN" w:bidi="ar-SA"/>
    </w:rPr>
  </w:style>
  <w:style w:type="paragraph" w:styleId="2">
    <w:name w:val="heading 1"/>
    <w:basedOn w:val="1"/>
    <w:next w:val="1"/>
    <w:qFormat/>
    <w:uiPriority w:val="0"/>
    <w:pPr>
      <w:spacing w:before="100" w:beforeAutospacing="1" w:after="100" w:afterAutospacing="1"/>
      <w:jc w:val="left"/>
      <w:outlineLvl w:val="0"/>
    </w:pPr>
    <w:rPr>
      <w:rFonts w:hint="eastAsia" w:ascii="宋体" w:hAnsi="宋体" w:eastAsia="宋体" w:cs="宋体"/>
      <w:b/>
      <w:kern w:val="44"/>
      <w:sz w:val="48"/>
      <w:szCs w:val="48"/>
      <w:lang w:val="en-US" w:eastAsia="zh-CN" w:bidi="ar"/>
    </w:rPr>
  </w:style>
  <w:style w:type="character" w:default="1" w:styleId="7">
    <w:name w:val="Default Paragraph Font"/>
    <w:semiHidden/>
    <w:qFormat/>
    <w:uiPriority w:val="0"/>
  </w:style>
  <w:style w:type="table" w:default="1" w:styleId="6">
    <w:name w:val="Normal Table"/>
    <w:semiHidden/>
    <w:qFormat/>
    <w:uiPriority w:val="0"/>
    <w:tblPr>
      <w:tblCellMar>
        <w:top w:w="0" w:type="dxa"/>
        <w:left w:w="108" w:type="dxa"/>
        <w:bottom w:w="0" w:type="dxa"/>
        <w:right w:w="108" w:type="dxa"/>
      </w:tblCellMar>
    </w:tblPr>
  </w:style>
  <w:style w:type="paragraph" w:styleId="3">
    <w:name w:val="toa heading"/>
    <w:basedOn w:val="1"/>
    <w:next w:val="1"/>
    <w:qFormat/>
    <w:uiPriority w:val="99"/>
    <w:pPr>
      <w:spacing w:before="120" w:after="200" w:line="276" w:lineRule="auto"/>
    </w:pPr>
    <w:rPr>
      <w:rFonts w:ascii="Arial" w:hAnsi="Arial"/>
      <w:sz w:val="24"/>
    </w:rPr>
  </w:style>
  <w:style w:type="paragraph" w:styleId="4">
    <w:name w:val="Body Text"/>
    <w:basedOn w:val="1"/>
    <w:semiHidden/>
    <w:qFormat/>
    <w:uiPriority w:val="0"/>
    <w:rPr>
      <w:rFonts w:ascii="仿宋" w:hAnsi="仿宋" w:eastAsia="仿宋" w:cs="仿宋"/>
      <w:sz w:val="31"/>
      <w:szCs w:val="31"/>
      <w:lang w:val="en-US" w:eastAsia="en-US" w:bidi="ar-SA"/>
    </w:rPr>
  </w:style>
  <w:style w:type="paragraph" w:styleId="5">
    <w:name w:val="Normal (Web)"/>
    <w:basedOn w:val="1"/>
    <w:qFormat/>
    <w:uiPriority w:val="0"/>
    <w:pPr>
      <w:spacing w:before="0" w:beforeAutospacing="1" w:after="0" w:afterAutospacing="1"/>
      <w:ind w:left="0" w:right="0"/>
      <w:jc w:val="left"/>
    </w:pPr>
    <w:rPr>
      <w:kern w:val="0"/>
      <w:sz w:val="24"/>
      <w:lang w:val="en-US" w:eastAsia="zh-CN" w:bidi="ar"/>
    </w:rPr>
  </w:style>
  <w:style w:type="paragraph" w:customStyle="1" w:styleId="8">
    <w:name w:val="Heading3"/>
    <w:basedOn w:val="1"/>
    <w:next w:val="1"/>
    <w:autoRedefine/>
    <w:qFormat/>
    <w:uiPriority w:val="99"/>
    <w:pPr>
      <w:keepNext/>
      <w:keepLines/>
      <w:spacing w:line="560" w:lineRule="exact"/>
      <w:textAlignment w:val="baseline"/>
    </w:pPr>
    <w:rPr>
      <w:rFonts w:ascii="Calibri" w:hAnsi="Calibri" w:cs="Calibri"/>
      <w:b/>
      <w:bCs/>
    </w:rPr>
  </w:style>
  <w:style w:type="paragraph" w:customStyle="1" w:styleId="9">
    <w:name w:val="列出段落1"/>
    <w:basedOn w:val="1"/>
    <w:qFormat/>
    <w:uiPriority w:val="34"/>
    <w:pPr>
      <w:ind w:firstLine="420" w:firstLineChars="200"/>
    </w:pPr>
  </w:style>
  <w:style w:type="paragraph" w:styleId="10">
    <w:name w:val="List Paragraph"/>
    <w:basedOn w:val="1"/>
    <w:qFormat/>
    <w:uiPriority w:val="99"/>
    <w:pPr>
      <w:ind w:firstLine="420" w:firstLineChars="200"/>
    </w:pPr>
    <w:rPr>
      <w:rFonts w:ascii="Calibri" w:hAnsi="Calibri"/>
      <w:szCs w:val="22"/>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numbering" Target="numbering.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14</Pages>
  <Words>6095</Words>
  <Characters>6784</Characters>
  <Lines>0</Lines>
  <Paragraphs>0</Paragraphs>
  <TotalTime>5</TotalTime>
  <ScaleCrop>false</ScaleCrop>
  <LinksUpToDate>false</LinksUpToDate>
  <CharactersWithSpaces>7307</CharactersWithSpaces>
  <Application>WPS Office_12.1.0.16929_F1E327BC-269C-435d-A152-05C5408002CA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2024-03-18T08:36:00Z</dcterms:created>
  <dc:creator>Administrator</dc:creator>
  <cp:lastModifiedBy>万小会</cp:lastModifiedBy>
  <cp:lastPrinted>2024-06-20T02:32:00Z</cp:lastPrinted>
  <dcterms:modified xsi:type="dcterms:W3CDTF">2024-07-09T09:18:41Z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2052-12.1.0.16929</vt:lpwstr>
  </property>
  <property fmtid="{D5CDD505-2E9C-101B-9397-08002B2CF9AE}" pid="3" name="ICV">
    <vt:lpwstr>6182D3A10D564617983F46DEE354AEAF</vt:lpwstr>
  </property>
</Properties>
</file>