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方正小标宋简体" w:hAnsi="方正小标宋简体" w:eastAsia="方正小标宋简体"/>
          <w:sz w:val="44"/>
          <w:szCs w:val="44"/>
        </w:rPr>
      </w:pPr>
    </w:p>
    <w:p>
      <w:pPr>
        <w:jc w:val="center"/>
        <w:rPr>
          <w:rFonts w:ascii="汉仪行楷简" w:hAnsi="方正字迹-张乃仁行楷简体" w:eastAsia="汉仪行楷简" w:cs="楷体"/>
          <w:b/>
          <w:color w:val="FF0000"/>
          <w:sz w:val="180"/>
          <w:szCs w:val="72"/>
        </w:rPr>
      </w:pPr>
      <w:r>
        <w:rPr>
          <w:rFonts w:hint="eastAsia" w:ascii="汉仪行楷简" w:hAnsi="方正字迹-张乃仁行楷简体" w:eastAsia="汉仪行楷简" w:cs="楷体"/>
          <w:b/>
          <w:color w:val="FF0000"/>
          <w:sz w:val="180"/>
          <w:szCs w:val="72"/>
        </w:rPr>
        <w:t>君山统计</w:t>
      </w:r>
    </w:p>
    <w:p>
      <w:pPr>
        <w:jc w:val="center"/>
        <w:rPr>
          <w:rFonts w:ascii="楷体" w:hAnsi="楷体" w:eastAsia="楷体"/>
          <w:b/>
          <w:color w:val="FF0000"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w:t>（经济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分析</w:t>
      </w:r>
      <w:r>
        <w:rPr>
          <w:rFonts w:hint="eastAsia" w:ascii="仿宋" w:hAnsi="仿宋" w:eastAsia="仿宋" w:cs="仿宋"/>
          <w:bCs/>
          <w:sz w:val="32"/>
          <w:szCs w:val="32"/>
        </w:rPr>
        <w:t>）</w:t>
      </w:r>
      <w:r>
        <w:rPr>
          <w:rFonts w:hint="eastAsia" w:ascii="楷体" w:hAnsi="楷体" w:eastAsia="楷体"/>
          <w:b/>
          <w:color w:val="FF0000"/>
          <w:sz w:val="32"/>
          <w:szCs w:val="32"/>
        </w:rPr>
        <w:t xml:space="preserve"> </w:t>
      </w:r>
    </w:p>
    <w:p>
      <w:pPr>
        <w:ind w:right="-210" w:rightChars="-100"/>
        <w:rPr>
          <w:rFonts w:ascii="仿宋" w:hAnsi="仿宋" w:eastAsia="仿宋" w:cs="仿宋"/>
          <w:bCs/>
          <w:sz w:val="32"/>
          <w:szCs w:val="32"/>
        </w:rPr>
      </w:pPr>
      <w:r>
        <w:rPr>
          <w:rFonts w:hint="eastAsia" w:ascii="仿宋" w:hAnsi="仿宋" w:eastAsia="仿宋" w:cs="仿宋"/>
          <w:bCs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-181610</wp:posOffset>
                </wp:positionH>
                <wp:positionV relativeFrom="paragraph">
                  <wp:posOffset>325120</wp:posOffset>
                </wp:positionV>
                <wp:extent cx="5743575" cy="0"/>
                <wp:effectExtent l="0" t="19050" r="9525" b="19050"/>
                <wp:wrapNone/>
                <wp:docPr id="1" name="自选图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43575" cy="0"/>
                        </a:xfrm>
                        <a:prstGeom prst="straightConnector1">
                          <a:avLst/>
                        </a:prstGeom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" o:spid="_x0000_s1026" o:spt="32" type="#_x0000_t32" style="position:absolute;left:0pt;margin-left:-14.3pt;margin-top:25.6pt;height:0pt;width:452.25pt;z-index:251659264;mso-width-relative:page;mso-height-relative:page;" filled="f" stroked="t" coordsize="21600,21600" o:gfxdata="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CxXgKR2QAAAAkBAAAPAAAAAAAAAAEAIAAAACIAAABkcnMvZG93bnJldi54&#10;bWxQSwECFAAUAAAACACHTuJA/UVoJfkBAADkAwAADgAAAAAAAAABACAAAAAoAQAAZHJzL2Uyb0Rv&#10;Yy54bWxQSwUGAAAAAAYABgBZAQAAkwUAAAAA&#10;">
                <v:fill on="f" focussize="0,0"/>
                <v:stroke weight="3pt" color="#FF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" w:hAnsi="仿宋" w:eastAsia="仿宋" w:cs="仿宋"/>
          <w:bCs/>
          <w:sz w:val="32"/>
          <w:szCs w:val="32"/>
        </w:rPr>
        <w:t xml:space="preserve">君山区统计局         </w:t>
      </w:r>
      <w:r>
        <w:rPr>
          <w:rFonts w:ascii="仿宋" w:hAnsi="仿宋" w:eastAsia="仿宋" w:cs="仿宋"/>
          <w:bCs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bCs/>
          <w:sz w:val="32"/>
          <w:szCs w:val="32"/>
        </w:rPr>
        <w:t>第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十二</w:t>
      </w:r>
      <w:r>
        <w:rPr>
          <w:rFonts w:hint="eastAsia" w:ascii="仿宋" w:hAnsi="仿宋" w:eastAsia="仿宋" w:cs="仿宋"/>
          <w:bCs/>
          <w:sz w:val="32"/>
          <w:szCs w:val="32"/>
        </w:rPr>
        <w:t xml:space="preserve">期     </w:t>
      </w:r>
      <w:r>
        <w:rPr>
          <w:rFonts w:ascii="仿宋" w:hAnsi="仿宋" w:eastAsia="仿宋" w:cs="仿宋"/>
          <w:bCs/>
          <w:sz w:val="32"/>
          <w:szCs w:val="32"/>
        </w:rPr>
        <w:t xml:space="preserve">   </w:t>
      </w:r>
      <w:r>
        <w:rPr>
          <w:rFonts w:hint="eastAsia" w:ascii="仿宋" w:hAnsi="仿宋" w:eastAsia="仿宋" w:cs="仿宋"/>
          <w:bCs/>
          <w:sz w:val="32"/>
          <w:szCs w:val="32"/>
        </w:rPr>
        <w:t>2</w:t>
      </w:r>
      <w:r>
        <w:rPr>
          <w:rFonts w:ascii="仿宋" w:hAnsi="仿宋" w:eastAsia="仿宋" w:cs="仿宋"/>
          <w:bCs/>
          <w:sz w:val="32"/>
          <w:szCs w:val="32"/>
        </w:rPr>
        <w:t>024</w:t>
      </w:r>
      <w:r>
        <w:rPr>
          <w:rFonts w:hint="eastAsia" w:ascii="仿宋" w:hAnsi="仿宋" w:eastAsia="仿宋" w:cs="仿宋"/>
          <w:bCs/>
          <w:sz w:val="32"/>
          <w:szCs w:val="32"/>
        </w:rPr>
        <w:t>年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bCs/>
          <w:sz w:val="32"/>
          <w:szCs w:val="32"/>
        </w:rPr>
        <w:t>月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27</w:t>
      </w:r>
      <w:r>
        <w:rPr>
          <w:rFonts w:hint="eastAsia" w:ascii="仿宋" w:hAnsi="仿宋" w:eastAsia="仿宋" w:cs="仿宋"/>
          <w:bCs/>
          <w:sz w:val="32"/>
          <w:szCs w:val="32"/>
        </w:rPr>
        <w:t>日</w:t>
      </w:r>
    </w:p>
    <w:p>
      <w:pPr>
        <w:jc w:val="center"/>
        <w:rPr>
          <w:rFonts w:ascii="方正小标宋简体" w:hAnsi="方正小标宋简体" w:eastAsia="方正小标宋简体" w:cs="Times New Roman"/>
          <w:sz w:val="44"/>
          <w:szCs w:val="44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君山区</w:t>
      </w:r>
      <w:r>
        <w:rPr>
          <w:rFonts w:ascii="方正小标宋简体" w:hAnsi="方正小标宋简体" w:eastAsia="方正小标宋简体" w:cs="Times New Roman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  <w:t>4</w:t>
      </w:r>
      <w:r>
        <w:rPr>
          <w:rFonts w:ascii="方正小标宋简体" w:hAnsi="方正小标宋简体" w:eastAsia="方正小标宋简体" w:cs="Times New Roman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1</w:t>
      </w:r>
      <w:r>
        <w:rPr>
          <w:rFonts w:ascii="方正小标宋简体" w:hAnsi="方正小标宋简体" w:eastAsia="方正小标宋简体" w:cs="Times New Roman"/>
          <w:sz w:val="44"/>
          <w:szCs w:val="44"/>
        </w:rPr>
        <w:t>-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  <w:t>7</w:t>
      </w: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月主要经济指标</w:t>
      </w:r>
    </w:p>
    <w:p>
      <w:pPr>
        <w:jc w:val="center"/>
        <w:rPr>
          <w:rFonts w:hint="default" w:ascii="方正小标宋简体" w:hAnsi="方正小标宋简体" w:eastAsia="方正小标宋简体" w:cs="Times New Roman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完成情况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  <w:t>及全年预计情况</w:t>
      </w:r>
    </w:p>
    <w:p>
      <w:pPr>
        <w:jc w:val="center"/>
        <w:rPr>
          <w:rFonts w:ascii="楷体" w:hAnsi="楷体" w:eastAsia="楷体" w:cs="Times New Roman"/>
          <w:sz w:val="32"/>
          <w:szCs w:val="32"/>
        </w:rPr>
      </w:pPr>
    </w:p>
    <w:p>
      <w:pPr>
        <w:spacing w:line="540" w:lineRule="exact"/>
        <w:ind w:firstLine="640" w:firstLineChars="200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一、1-7月主要经济指标完成情况</w:t>
      </w:r>
    </w:p>
    <w:p>
      <w:pPr>
        <w:numPr>
          <w:ilvl w:val="0"/>
          <w:numId w:val="0"/>
        </w:numPr>
        <w:spacing w:line="540" w:lineRule="exact"/>
        <w:ind w:firstLine="640" w:firstLineChars="200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（一）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GDP。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上半年</w:t>
      </w:r>
      <w:r>
        <w:rPr>
          <w:rFonts w:hint="eastAsia" w:ascii="仿宋_GB2312" w:hAnsi="仿宋" w:eastAsia="仿宋_GB2312" w:cs="Times New Roman"/>
          <w:sz w:val="32"/>
          <w:szCs w:val="32"/>
        </w:rPr>
        <w:t>，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完成GDP总量90.49</w:t>
      </w:r>
      <w:r>
        <w:rPr>
          <w:rFonts w:hint="eastAsia" w:ascii="仿宋_GB2312" w:hAnsi="仿宋" w:eastAsia="仿宋_GB2312" w:cs="Times New Roman"/>
          <w:sz w:val="32"/>
          <w:szCs w:val="32"/>
        </w:rPr>
        <w:t>亿元，同比增长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5.3</w:t>
      </w:r>
      <w:r>
        <w:rPr>
          <w:rFonts w:hint="eastAsia" w:ascii="仿宋_GB2312" w:hAnsi="仿宋" w:eastAsia="仿宋_GB2312" w:cs="Times New Roman"/>
          <w:sz w:val="32"/>
          <w:szCs w:val="32"/>
        </w:rPr>
        <w:t>%，高于全市平均水平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1.3</w:t>
      </w:r>
      <w:r>
        <w:rPr>
          <w:rFonts w:hint="eastAsia" w:ascii="仿宋_GB2312" w:hAnsi="仿宋" w:eastAsia="仿宋_GB2312" w:cs="Times New Roman"/>
          <w:sz w:val="32"/>
          <w:szCs w:val="32"/>
        </w:rPr>
        <w:t>个百分点，七区排名第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仿宋_GB2312" w:hAnsi="仿宋" w:eastAsia="仿宋_GB2312" w:cs="Times New Roman"/>
          <w:sz w:val="32"/>
          <w:szCs w:val="32"/>
        </w:rPr>
        <w:t>位。</w:t>
      </w:r>
    </w:p>
    <w:p>
      <w:pPr>
        <w:numPr>
          <w:ilvl w:val="0"/>
          <w:numId w:val="0"/>
        </w:numPr>
        <w:spacing w:line="54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（二）规模以上工业增加值。</w:t>
      </w:r>
      <w:r>
        <w:rPr>
          <w:rFonts w:hint="eastAsia" w:ascii="仿宋_GB2312" w:hAnsi="仿宋" w:eastAsia="仿宋_GB2312" w:cs="Times New Roman"/>
          <w:sz w:val="32"/>
          <w:szCs w:val="32"/>
        </w:rPr>
        <w:t>1</w:t>
      </w:r>
      <w:r>
        <w:rPr>
          <w:rFonts w:ascii="仿宋_GB2312" w:hAnsi="仿宋" w:eastAsia="仿宋_GB2312" w:cs="Times New Roman"/>
          <w:sz w:val="32"/>
          <w:szCs w:val="32"/>
        </w:rPr>
        <w:t>-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仿宋_GB2312" w:hAnsi="仿宋" w:eastAsia="仿宋_GB2312" w:cs="Times New Roman"/>
          <w:sz w:val="32"/>
          <w:szCs w:val="32"/>
        </w:rPr>
        <w:t>月，完成规模以上工业增加值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14.78</w:t>
      </w:r>
      <w:r>
        <w:rPr>
          <w:rFonts w:hint="eastAsia" w:ascii="仿宋_GB2312" w:hAnsi="仿宋" w:eastAsia="仿宋_GB2312" w:cs="Times New Roman"/>
          <w:sz w:val="32"/>
          <w:szCs w:val="32"/>
        </w:rPr>
        <w:t>亿元，同比增长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7.3</w:t>
      </w:r>
      <w:r>
        <w:rPr>
          <w:rFonts w:hint="eastAsia" w:ascii="仿宋_GB2312" w:hAnsi="仿宋" w:eastAsia="仿宋_GB2312" w:cs="Times New Roman"/>
          <w:sz w:val="32"/>
          <w:szCs w:val="32"/>
        </w:rPr>
        <w:t>%，高于全市平均水平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hAnsi="仿宋" w:eastAsia="仿宋_GB2312" w:cs="Times New Roman"/>
          <w:sz w:val="32"/>
          <w:szCs w:val="32"/>
        </w:rPr>
        <w:t>个百分点，七区排名第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 w:cs="Times New Roman"/>
          <w:sz w:val="32"/>
          <w:szCs w:val="32"/>
        </w:rPr>
        <w:t>位。</w:t>
      </w:r>
    </w:p>
    <w:p>
      <w:pPr>
        <w:numPr>
          <w:ilvl w:val="0"/>
          <w:numId w:val="0"/>
        </w:numPr>
        <w:spacing w:line="540" w:lineRule="exact"/>
        <w:ind w:firstLine="640" w:firstLineChars="200"/>
        <w:rPr>
          <w:rFonts w:hint="eastAsia" w:ascii="仿宋_GB2312" w:hAnsi="仿宋" w:eastAsia="仿宋_GB2312" w:cs="Times New Roman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（三）固定资产投资。</w:t>
      </w:r>
      <w:r>
        <w:rPr>
          <w:rFonts w:hint="eastAsia" w:ascii="仿宋_GB2312" w:hAnsi="仿宋" w:eastAsia="仿宋_GB2312" w:cs="Times New Roman"/>
          <w:sz w:val="32"/>
          <w:szCs w:val="32"/>
        </w:rPr>
        <w:t>1</w:t>
      </w:r>
      <w:r>
        <w:rPr>
          <w:rFonts w:ascii="仿宋_GB2312" w:hAnsi="仿宋" w:eastAsia="仿宋_GB2312" w:cs="Times New Roman"/>
          <w:sz w:val="32"/>
          <w:szCs w:val="32"/>
        </w:rPr>
        <w:t>-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仿宋_GB2312" w:hAnsi="仿宋" w:eastAsia="仿宋_GB2312" w:cs="Times New Roman"/>
          <w:sz w:val="32"/>
          <w:szCs w:val="32"/>
        </w:rPr>
        <w:t>月，完成</w:t>
      </w:r>
      <w:r>
        <w:rPr>
          <w:rFonts w:ascii="仿宋_GB2312" w:hAnsi="仿宋" w:eastAsia="仿宋_GB2312" w:cs="Times New Roman"/>
          <w:sz w:val="32"/>
          <w:szCs w:val="32"/>
        </w:rPr>
        <w:t>固定资产投资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28.99</w:t>
      </w:r>
      <w:r>
        <w:rPr>
          <w:rFonts w:hint="eastAsia" w:ascii="仿宋_GB2312" w:hAnsi="仿宋" w:eastAsia="仿宋_GB2312" w:cs="Times New Roman"/>
          <w:sz w:val="32"/>
          <w:szCs w:val="32"/>
        </w:rPr>
        <w:t>亿元，</w:t>
      </w:r>
      <w:r>
        <w:rPr>
          <w:rFonts w:ascii="仿宋_GB2312" w:hAnsi="仿宋" w:eastAsia="仿宋_GB2312" w:cs="Times New Roman"/>
          <w:sz w:val="32"/>
          <w:szCs w:val="32"/>
        </w:rPr>
        <w:t>同比增长-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29.3</w:t>
      </w:r>
      <w:r>
        <w:rPr>
          <w:rFonts w:ascii="仿宋_GB2312" w:hAnsi="仿宋" w:eastAsia="仿宋_GB2312" w:cs="Times New Roman"/>
          <w:sz w:val="32"/>
          <w:szCs w:val="32"/>
        </w:rPr>
        <w:t>%</w:t>
      </w:r>
      <w:r>
        <w:rPr>
          <w:rFonts w:hint="eastAsia" w:ascii="仿宋_GB2312" w:hAnsi="仿宋" w:eastAsia="仿宋_GB2312" w:cs="Times New Roman"/>
          <w:sz w:val="32"/>
          <w:szCs w:val="32"/>
        </w:rPr>
        <w:t>，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低</w:t>
      </w:r>
      <w:r>
        <w:rPr>
          <w:rFonts w:hint="eastAsia" w:ascii="仿宋_GB2312" w:hAnsi="仿宋" w:eastAsia="仿宋_GB2312" w:cs="Times New Roman"/>
          <w:sz w:val="32"/>
          <w:szCs w:val="32"/>
        </w:rPr>
        <w:t>于全市平均水平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27</w:t>
      </w:r>
      <w:r>
        <w:rPr>
          <w:rFonts w:hint="eastAsia" w:ascii="仿宋_GB2312" w:hAnsi="仿宋" w:eastAsia="仿宋_GB2312" w:cs="Times New Roman"/>
          <w:sz w:val="32"/>
          <w:szCs w:val="32"/>
        </w:rPr>
        <w:t>个百分点，七区排名第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仿宋_GB2312" w:hAnsi="仿宋" w:eastAsia="仿宋_GB2312" w:cs="Times New Roman"/>
          <w:sz w:val="32"/>
          <w:szCs w:val="32"/>
        </w:rPr>
        <w:t>位。</w:t>
      </w:r>
    </w:p>
    <w:p>
      <w:pPr>
        <w:numPr>
          <w:ilvl w:val="0"/>
          <w:numId w:val="0"/>
        </w:numPr>
        <w:spacing w:line="54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（四）社会消费品零售总额。</w:t>
      </w:r>
      <w:r>
        <w:rPr>
          <w:rFonts w:hint="eastAsia" w:ascii="仿宋_GB2312" w:hAnsi="仿宋" w:eastAsia="仿宋_GB2312" w:cs="Times New Roman"/>
          <w:sz w:val="32"/>
          <w:szCs w:val="32"/>
        </w:rPr>
        <w:t>1</w:t>
      </w:r>
      <w:r>
        <w:rPr>
          <w:rFonts w:ascii="仿宋_GB2312" w:hAnsi="仿宋" w:eastAsia="仿宋_GB2312" w:cs="Times New Roman"/>
          <w:sz w:val="32"/>
          <w:szCs w:val="32"/>
        </w:rPr>
        <w:t>-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仿宋_GB2312" w:hAnsi="仿宋" w:eastAsia="仿宋_GB2312" w:cs="Times New Roman"/>
          <w:sz w:val="32"/>
          <w:szCs w:val="32"/>
        </w:rPr>
        <w:t>月，</w:t>
      </w:r>
      <w:r>
        <w:rPr>
          <w:rFonts w:ascii="仿宋_GB2312" w:hAnsi="仿宋" w:eastAsia="仿宋_GB2312" w:cs="Times New Roman"/>
          <w:sz w:val="32"/>
          <w:szCs w:val="32"/>
        </w:rPr>
        <w:t>完成社会消费品零售总额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43.99</w:t>
      </w:r>
      <w:r>
        <w:rPr>
          <w:rFonts w:ascii="仿宋_GB2312" w:hAnsi="仿宋" w:eastAsia="仿宋_GB2312" w:cs="Times New Roman"/>
          <w:sz w:val="32"/>
          <w:szCs w:val="32"/>
        </w:rPr>
        <w:t>亿元</w:t>
      </w:r>
      <w:r>
        <w:rPr>
          <w:rFonts w:hint="eastAsia" w:ascii="仿宋_GB2312" w:hAnsi="仿宋" w:eastAsia="仿宋_GB2312" w:cs="Times New Roman"/>
          <w:sz w:val="32"/>
          <w:szCs w:val="32"/>
        </w:rPr>
        <w:t>，</w:t>
      </w:r>
      <w:r>
        <w:rPr>
          <w:rFonts w:ascii="仿宋_GB2312" w:hAnsi="仿宋" w:eastAsia="仿宋_GB2312" w:cs="Times New Roman"/>
          <w:sz w:val="32"/>
          <w:szCs w:val="32"/>
        </w:rPr>
        <w:t>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7.8</w:t>
      </w:r>
      <w:r>
        <w:rPr>
          <w:rFonts w:ascii="仿宋_GB2312" w:hAnsi="仿宋" w:eastAsia="仿宋_GB2312" w:cs="Times New Roman"/>
          <w:sz w:val="32"/>
          <w:szCs w:val="32"/>
        </w:rPr>
        <w:t>%</w:t>
      </w:r>
      <w:r>
        <w:rPr>
          <w:rFonts w:hint="eastAsia" w:ascii="仿宋_GB2312" w:hAnsi="仿宋" w:eastAsia="仿宋_GB2312" w:cs="Times New Roman"/>
          <w:sz w:val="32"/>
          <w:szCs w:val="32"/>
        </w:rPr>
        <w:t>，高于全市平均水平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2.1</w:t>
      </w:r>
      <w:r>
        <w:rPr>
          <w:rFonts w:hint="eastAsia" w:ascii="仿宋_GB2312" w:hAnsi="仿宋" w:eastAsia="仿宋_GB2312" w:cs="Times New Roman"/>
          <w:sz w:val="32"/>
          <w:szCs w:val="32"/>
        </w:rPr>
        <w:t>个百分点，七区排名第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hAnsi="仿宋" w:eastAsia="仿宋_GB2312" w:cs="Times New Roman"/>
          <w:sz w:val="32"/>
          <w:szCs w:val="32"/>
        </w:rPr>
        <w:t>位。</w:t>
      </w:r>
    </w:p>
    <w:p>
      <w:pPr>
        <w:spacing w:line="54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（五）规模以上服务业营业收入。</w:t>
      </w:r>
      <w:r>
        <w:rPr>
          <w:rFonts w:ascii="仿宋_GB2312" w:hAnsi="仿宋" w:eastAsia="仿宋_GB2312" w:cs="Times New Roman"/>
          <w:sz w:val="32"/>
          <w:szCs w:val="32"/>
        </w:rPr>
        <w:t>1-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6</w:t>
      </w:r>
      <w:r>
        <w:rPr>
          <w:rFonts w:ascii="仿宋_GB2312" w:hAnsi="仿宋" w:eastAsia="仿宋_GB2312" w:cs="Times New Roman"/>
          <w:sz w:val="32"/>
          <w:szCs w:val="32"/>
        </w:rPr>
        <w:t>月</w:t>
      </w:r>
      <w:r>
        <w:rPr>
          <w:rFonts w:hint="eastAsia" w:ascii="仿宋_GB2312" w:hAnsi="仿宋" w:eastAsia="仿宋_GB2312" w:cs="Times New Roman"/>
          <w:sz w:val="32"/>
          <w:szCs w:val="32"/>
        </w:rPr>
        <w:t>，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完成</w:t>
      </w:r>
      <w:r>
        <w:rPr>
          <w:rFonts w:ascii="仿宋_GB2312" w:hAnsi="仿宋" w:eastAsia="仿宋_GB2312" w:cs="Times New Roman"/>
          <w:sz w:val="32"/>
          <w:szCs w:val="32"/>
        </w:rPr>
        <w:t>规模以上服务业营业收入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12.08</w:t>
      </w:r>
      <w:r>
        <w:rPr>
          <w:rFonts w:ascii="仿宋_GB2312" w:hAnsi="仿宋" w:eastAsia="仿宋_GB2312" w:cs="Times New Roman"/>
          <w:sz w:val="32"/>
          <w:szCs w:val="32"/>
        </w:rPr>
        <w:t>亿元</w:t>
      </w:r>
      <w:r>
        <w:rPr>
          <w:rFonts w:hint="eastAsia" w:ascii="仿宋_GB2312" w:hAnsi="仿宋" w:eastAsia="仿宋_GB2312" w:cs="Times New Roman"/>
          <w:sz w:val="32"/>
          <w:szCs w:val="32"/>
        </w:rPr>
        <w:t>，</w:t>
      </w:r>
      <w:r>
        <w:rPr>
          <w:rFonts w:ascii="仿宋_GB2312" w:hAnsi="仿宋" w:eastAsia="仿宋_GB2312" w:cs="Times New Roman"/>
          <w:sz w:val="32"/>
          <w:szCs w:val="32"/>
        </w:rPr>
        <w:t>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22.7</w:t>
      </w:r>
      <w:r>
        <w:rPr>
          <w:rFonts w:ascii="仿宋_GB2312" w:hAnsi="仿宋" w:eastAsia="仿宋_GB2312" w:cs="Times New Roman"/>
          <w:sz w:val="32"/>
          <w:szCs w:val="32"/>
        </w:rPr>
        <w:t>%</w:t>
      </w:r>
      <w:r>
        <w:rPr>
          <w:rFonts w:hint="eastAsia" w:ascii="仿宋_GB2312" w:hAnsi="仿宋" w:eastAsia="仿宋_GB2312" w:cs="Times New Roman"/>
          <w:sz w:val="32"/>
          <w:szCs w:val="32"/>
        </w:rPr>
        <w:t>，高于全市平均水平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21.3</w:t>
      </w:r>
      <w:r>
        <w:rPr>
          <w:rFonts w:hint="eastAsia" w:ascii="仿宋_GB2312" w:hAnsi="仿宋" w:eastAsia="仿宋_GB2312" w:cs="Times New Roman"/>
          <w:sz w:val="32"/>
          <w:szCs w:val="32"/>
        </w:rPr>
        <w:t>个百分点，</w:t>
      </w:r>
      <w:bookmarkStart w:id="0" w:name="_Hlk146534769"/>
      <w:r>
        <w:rPr>
          <w:rFonts w:ascii="仿宋_GB2312" w:hAnsi="仿宋" w:eastAsia="仿宋_GB2312" w:cs="Times New Roman"/>
          <w:sz w:val="32"/>
          <w:szCs w:val="32"/>
        </w:rPr>
        <w:t>七区排名第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</w:t>
      </w:r>
      <w:r>
        <w:rPr>
          <w:rFonts w:ascii="仿宋_GB2312" w:hAnsi="仿宋" w:eastAsia="仿宋_GB2312" w:cs="Times New Roman"/>
          <w:sz w:val="32"/>
          <w:szCs w:val="32"/>
        </w:rPr>
        <w:t>位</w:t>
      </w:r>
      <w:bookmarkEnd w:id="0"/>
      <w:r>
        <w:rPr>
          <w:rFonts w:hint="eastAsia" w:ascii="仿宋_GB2312" w:hAnsi="微软雅黑" w:eastAsia="仿宋_GB2312" w:cs="微软雅黑"/>
          <w:sz w:val="32"/>
          <w:szCs w:val="32"/>
        </w:rPr>
        <w:t>。</w:t>
      </w:r>
    </w:p>
    <w:p>
      <w:pPr>
        <w:spacing w:line="54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（六）一般公共预算地方收入。</w:t>
      </w:r>
      <w:r>
        <w:rPr>
          <w:rFonts w:hint="eastAsia" w:ascii="仿宋_GB2312" w:hAnsi="仿宋" w:eastAsia="仿宋_GB2312" w:cs="Times New Roman"/>
          <w:sz w:val="32"/>
          <w:szCs w:val="32"/>
        </w:rPr>
        <w:t>1-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仿宋_GB2312" w:hAnsi="仿宋" w:eastAsia="仿宋_GB2312" w:cs="Times New Roman"/>
          <w:sz w:val="32"/>
          <w:szCs w:val="32"/>
        </w:rPr>
        <w:t>月，一般公共预算地方收入达到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2.99</w:t>
      </w:r>
      <w:r>
        <w:rPr>
          <w:rFonts w:hint="eastAsia" w:ascii="仿宋_GB2312" w:hAnsi="仿宋" w:eastAsia="仿宋_GB2312" w:cs="Times New Roman"/>
          <w:sz w:val="32"/>
          <w:szCs w:val="32"/>
        </w:rPr>
        <w:t>亿元，同比增长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8.6%</w:t>
      </w:r>
      <w:r>
        <w:rPr>
          <w:rFonts w:hint="eastAsia" w:ascii="仿宋_GB2312" w:hAnsi="仿宋" w:eastAsia="仿宋_GB2312" w:cs="Times New Roman"/>
          <w:sz w:val="32"/>
          <w:szCs w:val="32"/>
        </w:rPr>
        <w:t>，高于全市平均水平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8.3</w:t>
      </w:r>
      <w:r>
        <w:rPr>
          <w:rFonts w:hint="eastAsia" w:ascii="仿宋_GB2312" w:hAnsi="仿宋" w:eastAsia="仿宋_GB2312" w:cs="Times New Roman"/>
          <w:sz w:val="32"/>
          <w:szCs w:val="32"/>
        </w:rPr>
        <w:t>个百分点，七区排名第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仿宋_GB2312" w:hAnsi="仿宋" w:eastAsia="仿宋_GB2312" w:cs="Times New Roman"/>
          <w:sz w:val="32"/>
          <w:szCs w:val="32"/>
        </w:rPr>
        <w:t>位</w:t>
      </w:r>
      <w:r>
        <w:rPr>
          <w:rFonts w:hint="eastAsia" w:ascii="仿宋_GB2312" w:hAnsi="微软雅黑" w:eastAsia="仿宋_GB2312" w:cs="微软雅黑"/>
          <w:sz w:val="32"/>
          <w:szCs w:val="32"/>
        </w:rPr>
        <w:t>。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Times New Roman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（七）一般公共预算地方税收收入。</w:t>
      </w:r>
      <w:r>
        <w:rPr>
          <w:rFonts w:hint="eastAsia" w:ascii="仿宋_GB2312" w:hAnsi="仿宋" w:eastAsia="仿宋_GB2312" w:cs="Times New Roman"/>
          <w:sz w:val="32"/>
          <w:szCs w:val="32"/>
        </w:rPr>
        <w:t>1-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仿宋_GB2312" w:hAnsi="仿宋" w:eastAsia="仿宋_GB2312" w:cs="Times New Roman"/>
          <w:sz w:val="32"/>
          <w:szCs w:val="32"/>
        </w:rPr>
        <w:t>月，一般公共预算地方税收收入达到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2.08</w:t>
      </w:r>
      <w:r>
        <w:rPr>
          <w:rFonts w:hint="eastAsia" w:ascii="仿宋_GB2312" w:hAnsi="仿宋" w:eastAsia="仿宋_GB2312" w:cs="Times New Roman"/>
          <w:sz w:val="32"/>
          <w:szCs w:val="32"/>
        </w:rPr>
        <w:t>亿元，同比增长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11.4</w:t>
      </w:r>
      <w:r>
        <w:rPr>
          <w:rFonts w:hint="eastAsia" w:ascii="仿宋_GB2312" w:hAnsi="仿宋" w:eastAsia="仿宋_GB2312" w:cs="Times New Roman"/>
          <w:sz w:val="32"/>
          <w:szCs w:val="32"/>
        </w:rPr>
        <w:t>%，高于全市平均水平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21.5</w:t>
      </w:r>
      <w:r>
        <w:rPr>
          <w:rFonts w:hint="eastAsia" w:ascii="仿宋_GB2312" w:hAnsi="仿宋" w:eastAsia="仿宋_GB2312" w:cs="Times New Roman"/>
          <w:sz w:val="32"/>
          <w:szCs w:val="32"/>
        </w:rPr>
        <w:t>个百分点，七区排名第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仿宋_GB2312" w:hAnsi="仿宋" w:eastAsia="仿宋_GB2312" w:cs="Times New Roman"/>
          <w:sz w:val="32"/>
          <w:szCs w:val="32"/>
        </w:rPr>
        <w:t>位。</w:t>
      </w:r>
    </w:p>
    <w:p>
      <w:pPr>
        <w:spacing w:line="54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（八）城镇居民人均可支配收入。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上半年，</w:t>
      </w:r>
      <w:r>
        <w:rPr>
          <w:rFonts w:hint="eastAsia" w:ascii="仿宋_GB2312" w:hAnsi="仿宋" w:eastAsia="仿宋_GB2312" w:cs="Times New Roman"/>
          <w:sz w:val="32"/>
          <w:szCs w:val="32"/>
        </w:rPr>
        <w:t>城镇居民人均可支配收入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26347</w:t>
      </w:r>
      <w:r>
        <w:rPr>
          <w:rFonts w:hint="eastAsia" w:ascii="仿宋_GB2312" w:hAnsi="仿宋" w:eastAsia="仿宋_GB2312" w:cs="Times New Roman"/>
          <w:sz w:val="32"/>
          <w:szCs w:val="32"/>
        </w:rPr>
        <w:t>元，同比增长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4.1</w:t>
      </w:r>
      <w:r>
        <w:rPr>
          <w:rFonts w:hint="eastAsia" w:ascii="仿宋_GB2312" w:hAnsi="仿宋" w:eastAsia="仿宋_GB2312" w:cs="Times New Roman"/>
          <w:sz w:val="32"/>
          <w:szCs w:val="32"/>
        </w:rPr>
        <w:t>%，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四区排名第3位</w:t>
      </w:r>
      <w:r>
        <w:rPr>
          <w:rFonts w:hint="eastAsia" w:ascii="仿宋_GB2312" w:hAnsi="仿宋" w:eastAsia="仿宋_GB2312" w:cs="Times New Roman"/>
          <w:sz w:val="32"/>
          <w:szCs w:val="32"/>
        </w:rPr>
        <w:t>。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Times New Roman"/>
          <w:sz w:val="32"/>
          <w:szCs w:val="32"/>
        </w:rPr>
      </w:pPr>
      <w:r>
        <w:rPr>
          <w:rFonts w:hint="eastAsia" w:ascii="楷体" w:hAnsi="楷体" w:eastAsia="楷体" w:cs="楷体"/>
          <w:kern w:val="2"/>
          <w:sz w:val="32"/>
          <w:szCs w:val="32"/>
          <w:lang w:val="en-US" w:eastAsia="zh-CN" w:bidi="ar-SA"/>
        </w:rPr>
        <w:t>（九）农村居民人均可支配收入。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上半年，</w:t>
      </w:r>
      <w:r>
        <w:rPr>
          <w:rFonts w:hint="eastAsia" w:ascii="仿宋_GB2312" w:hAnsi="仿宋" w:eastAsia="仿宋_GB2312" w:cs="Times New Roman"/>
          <w:sz w:val="32"/>
          <w:szCs w:val="32"/>
        </w:rPr>
        <w:t>农村居民人均可支配收入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15091</w:t>
      </w:r>
      <w:r>
        <w:rPr>
          <w:rFonts w:hint="eastAsia" w:ascii="仿宋_GB2312" w:hAnsi="仿宋" w:eastAsia="仿宋_GB2312" w:cs="Times New Roman"/>
          <w:sz w:val="32"/>
          <w:szCs w:val="32"/>
        </w:rPr>
        <w:t>元，同比增长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6.0</w:t>
      </w:r>
      <w:r>
        <w:rPr>
          <w:rFonts w:hint="eastAsia" w:ascii="仿宋_GB2312" w:hAnsi="仿宋" w:eastAsia="仿宋_GB2312" w:cs="Times New Roman"/>
          <w:sz w:val="32"/>
          <w:szCs w:val="32"/>
        </w:rPr>
        <w:t>%，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两区排名第1位</w:t>
      </w:r>
      <w:r>
        <w:rPr>
          <w:rFonts w:hint="eastAsia" w:ascii="仿宋_GB2312" w:hAnsi="仿宋" w:eastAsia="仿宋_GB2312" w:cs="Times New Roman"/>
          <w:sz w:val="32"/>
          <w:szCs w:val="32"/>
        </w:rPr>
        <w:t>。</w:t>
      </w:r>
    </w:p>
    <w:p>
      <w:pPr>
        <w:numPr>
          <w:ilvl w:val="0"/>
          <w:numId w:val="0"/>
        </w:numPr>
        <w:spacing w:line="540" w:lineRule="exact"/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二、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全年主要经济指标预计情况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全年预计，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GDP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总量达到200</w:t>
      </w:r>
      <w:r>
        <w:rPr>
          <w:rFonts w:hint="eastAsia" w:ascii="仿宋_GB2312" w:hAnsi="仿宋" w:eastAsia="仿宋_GB2312" w:cs="Times New Roman"/>
          <w:sz w:val="32"/>
          <w:szCs w:val="32"/>
        </w:rPr>
        <w:t>亿元，同比增长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5.5</w:t>
      </w:r>
      <w:r>
        <w:rPr>
          <w:rFonts w:hint="eastAsia" w:ascii="仿宋_GB2312" w:hAnsi="仿宋" w:eastAsia="仿宋_GB2312" w:cs="Times New Roman"/>
          <w:sz w:val="32"/>
          <w:szCs w:val="32"/>
        </w:rPr>
        <w:t>%，七区排名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保持前三水平。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规模以上工业增加值</w:t>
      </w:r>
      <w:r>
        <w:rPr>
          <w:rFonts w:hint="eastAsia" w:ascii="仿宋_GB2312" w:hAnsi="仿宋" w:eastAsia="仿宋_GB2312" w:cs="Times New Roman"/>
          <w:sz w:val="32"/>
          <w:szCs w:val="32"/>
        </w:rPr>
        <w:t>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8</w:t>
      </w:r>
      <w:r>
        <w:rPr>
          <w:rFonts w:hint="eastAsia" w:ascii="仿宋_GB2312" w:hAnsi="仿宋" w:eastAsia="仿宋_GB2312" w:cs="Times New Roman"/>
          <w:sz w:val="32"/>
          <w:szCs w:val="32"/>
        </w:rPr>
        <w:t>%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以上</w:t>
      </w:r>
      <w:r>
        <w:rPr>
          <w:rFonts w:hint="eastAsia" w:ascii="仿宋_GB2312" w:hAnsi="仿宋" w:eastAsia="仿宋_GB2312" w:cs="Times New Roman"/>
          <w:sz w:val="32"/>
          <w:szCs w:val="32"/>
        </w:rPr>
        <w:t>，七区排名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力争中上游</w:t>
      </w:r>
      <w:r>
        <w:rPr>
          <w:rFonts w:hint="eastAsia" w:ascii="仿宋_GB2312" w:hAnsi="仿宋" w:eastAsia="仿宋_GB2312" w:cs="Times New Roman"/>
          <w:sz w:val="32"/>
          <w:szCs w:val="32"/>
          <w:lang w:eastAsia="zh-CN"/>
        </w:rPr>
        <w:t>；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固定资产投资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争取转正</w:t>
      </w:r>
      <w:r>
        <w:rPr>
          <w:rFonts w:hint="eastAsia" w:ascii="仿宋_GB2312" w:hAnsi="仿宋" w:eastAsia="仿宋_GB2312" w:cs="Times New Roman"/>
          <w:sz w:val="32"/>
          <w:szCs w:val="32"/>
        </w:rPr>
        <w:t>。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社会消费品零售总额</w:t>
      </w:r>
      <w:r>
        <w:rPr>
          <w:rFonts w:ascii="仿宋_GB2312" w:hAnsi="仿宋" w:eastAsia="仿宋_GB2312" w:cs="Times New Roman"/>
          <w:sz w:val="32"/>
          <w:szCs w:val="32"/>
        </w:rPr>
        <w:t>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8</w:t>
      </w:r>
      <w:r>
        <w:rPr>
          <w:rFonts w:ascii="仿宋_GB2312" w:hAnsi="仿宋" w:eastAsia="仿宋_GB2312" w:cs="Times New Roman"/>
          <w:sz w:val="32"/>
          <w:szCs w:val="32"/>
        </w:rPr>
        <w:t>%</w:t>
      </w:r>
      <w:r>
        <w:rPr>
          <w:rFonts w:hint="eastAsia" w:ascii="仿宋_GB2312" w:hAnsi="仿宋" w:eastAsia="仿宋_GB2312" w:cs="Times New Roman"/>
          <w:sz w:val="32"/>
          <w:szCs w:val="32"/>
        </w:rPr>
        <w:t>，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排名保持</w:t>
      </w:r>
      <w:r>
        <w:rPr>
          <w:rFonts w:hint="eastAsia" w:ascii="仿宋_GB2312" w:hAnsi="仿宋" w:eastAsia="仿宋_GB2312" w:cs="Times New Roman"/>
          <w:sz w:val="32"/>
          <w:szCs w:val="32"/>
        </w:rPr>
        <w:t>七区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前列</w:t>
      </w:r>
      <w:r>
        <w:rPr>
          <w:rFonts w:hint="eastAsia" w:ascii="仿宋_GB2312" w:hAnsi="仿宋" w:eastAsia="仿宋_GB2312" w:cs="Times New Roman"/>
          <w:sz w:val="32"/>
          <w:szCs w:val="32"/>
        </w:rPr>
        <w:t>。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规模以上服务业营业收入</w:t>
      </w:r>
      <w:r>
        <w:rPr>
          <w:rFonts w:ascii="仿宋_GB2312" w:hAnsi="仿宋" w:eastAsia="仿宋_GB2312" w:cs="Times New Roman"/>
          <w:sz w:val="32"/>
          <w:szCs w:val="32"/>
        </w:rPr>
        <w:t>同比增长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20</w:t>
      </w:r>
      <w:r>
        <w:rPr>
          <w:rFonts w:ascii="仿宋_GB2312" w:hAnsi="仿宋" w:eastAsia="仿宋_GB2312" w:cs="Times New Roman"/>
          <w:sz w:val="32"/>
          <w:szCs w:val="32"/>
        </w:rPr>
        <w:t>%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以上</w:t>
      </w:r>
      <w:r>
        <w:rPr>
          <w:rFonts w:hint="eastAsia" w:ascii="仿宋_GB2312" w:hAnsi="仿宋" w:eastAsia="仿宋_GB2312" w:cs="Times New Roman"/>
          <w:sz w:val="32"/>
          <w:szCs w:val="32"/>
        </w:rPr>
        <w:t>，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排名保持</w:t>
      </w:r>
      <w:r>
        <w:rPr>
          <w:rFonts w:hint="eastAsia" w:ascii="仿宋_GB2312" w:hAnsi="仿宋" w:eastAsia="仿宋_GB2312" w:cs="Times New Roman"/>
          <w:sz w:val="32"/>
          <w:szCs w:val="32"/>
        </w:rPr>
        <w:t>七区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前列</w:t>
      </w:r>
      <w:r>
        <w:rPr>
          <w:rFonts w:hint="eastAsia" w:ascii="仿宋_GB2312" w:hAnsi="微软雅黑" w:eastAsia="仿宋_GB2312" w:cs="微软雅黑"/>
          <w:sz w:val="32"/>
          <w:szCs w:val="32"/>
        </w:rPr>
        <w:t>。</w:t>
      </w: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一般公共预算地方收入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增速排名保持前列。</w:t>
      </w:r>
      <w:r>
        <w:rPr>
          <w:rFonts w:hint="eastAsia" w:ascii="楷体" w:hAnsi="楷体" w:eastAsia="楷体" w:cs="楷体"/>
          <w:b/>
          <w:bCs/>
          <w:kern w:val="2"/>
          <w:sz w:val="32"/>
          <w:szCs w:val="32"/>
          <w:lang w:val="en-US" w:eastAsia="zh-CN" w:bidi="ar-SA"/>
        </w:rPr>
        <w:t>一般公共预算地方税收收入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增速排名保持前列。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城镇居民人均可支配收入</w:t>
      </w:r>
      <w:r>
        <w:rPr>
          <w:rFonts w:hint="eastAsia" w:ascii="仿宋_GB2312" w:hAnsi="仿宋" w:eastAsia="仿宋_GB2312" w:cs="Times New Roman"/>
          <w:sz w:val="32"/>
          <w:szCs w:val="32"/>
        </w:rPr>
        <w:t>同比增长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 w:cs="Times New Roman"/>
          <w:sz w:val="32"/>
          <w:szCs w:val="32"/>
        </w:rPr>
        <w:t>%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以上</w:t>
      </w:r>
      <w:r>
        <w:rPr>
          <w:rFonts w:hint="eastAsia" w:ascii="仿宋_GB2312" w:hAnsi="仿宋" w:eastAsia="仿宋_GB2312" w:cs="Times New Roman"/>
          <w:sz w:val="32"/>
          <w:szCs w:val="32"/>
        </w:rPr>
        <w:t>，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排名力争前列</w:t>
      </w:r>
      <w:r>
        <w:rPr>
          <w:rFonts w:hint="eastAsia" w:ascii="仿宋_GB2312" w:hAnsi="仿宋" w:eastAsia="仿宋_GB2312" w:cs="Times New Roman"/>
          <w:sz w:val="32"/>
          <w:szCs w:val="32"/>
        </w:rPr>
        <w:t>。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农村居民人均可支配收入</w:t>
      </w:r>
      <w:r>
        <w:rPr>
          <w:rFonts w:hint="eastAsia" w:ascii="仿宋_GB2312" w:hAnsi="仿宋" w:eastAsia="仿宋_GB2312" w:cs="Times New Roman"/>
          <w:sz w:val="32"/>
          <w:szCs w:val="32"/>
        </w:rPr>
        <w:t>同比增长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" w:eastAsia="仿宋_GB2312" w:cs="Times New Roman"/>
          <w:sz w:val="32"/>
          <w:szCs w:val="32"/>
        </w:rPr>
        <w:t>%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以上</w:t>
      </w:r>
      <w:r>
        <w:rPr>
          <w:rFonts w:hint="eastAsia" w:ascii="仿宋_GB2312" w:hAnsi="仿宋" w:eastAsia="仿宋_GB2312" w:cs="Times New Roman"/>
          <w:sz w:val="32"/>
          <w:szCs w:val="32"/>
        </w:rPr>
        <w:t>，</w:t>
      </w: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排名保持前列</w:t>
      </w:r>
      <w:r>
        <w:rPr>
          <w:rFonts w:hint="eastAsia" w:ascii="仿宋_GB2312" w:hAnsi="仿宋" w:eastAsia="仿宋_GB2312" w:cs="Times New Roman"/>
          <w:sz w:val="32"/>
          <w:szCs w:val="32"/>
        </w:rPr>
        <w:t>。</w:t>
      </w:r>
    </w:p>
    <w:p>
      <w:pPr>
        <w:numPr>
          <w:numId w:val="0"/>
        </w:numPr>
        <w:spacing w:line="540" w:lineRule="exact"/>
        <w:rPr>
          <w:rFonts w:hint="default" w:ascii="仿宋_GB2312" w:hAnsi="仿宋" w:eastAsia="仿宋_GB2312" w:cs="Times New Roman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bookmarkStart w:id="2" w:name="_GoBack"/>
      <w:bookmarkEnd w:id="2"/>
    </w:p>
    <w:p>
      <w:pPr>
        <w:spacing w:line="460" w:lineRule="exact"/>
        <w:jc w:val="center"/>
        <w:rPr>
          <w:rFonts w:ascii="方正小标宋简体" w:hAnsi="方正小标宋简体" w:eastAsia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/>
          <w:sz w:val="36"/>
          <w:szCs w:val="36"/>
        </w:rPr>
        <w:t>2</w:t>
      </w:r>
      <w:r>
        <w:rPr>
          <w:rFonts w:ascii="方正小标宋简体" w:hAnsi="方正小标宋简体" w:eastAsia="方正小标宋简体"/>
          <w:sz w:val="36"/>
          <w:szCs w:val="36"/>
        </w:rPr>
        <w:t>02</w:t>
      </w:r>
      <w:r>
        <w:rPr>
          <w:rFonts w:hint="eastAsia" w:ascii="方正小标宋简体" w:hAnsi="方正小标宋简体" w:eastAsia="方正小标宋简体"/>
          <w:sz w:val="36"/>
          <w:szCs w:val="36"/>
          <w:lang w:val="en-US" w:eastAsia="zh-CN"/>
        </w:rPr>
        <w:t>4</w:t>
      </w:r>
      <w:r>
        <w:rPr>
          <w:rFonts w:hint="eastAsia" w:ascii="方正小标宋简体" w:hAnsi="方正小标宋简体" w:eastAsia="方正小标宋简体"/>
          <w:sz w:val="36"/>
          <w:szCs w:val="36"/>
        </w:rPr>
        <w:t>年1</w:t>
      </w:r>
      <w:r>
        <w:rPr>
          <w:rFonts w:ascii="方正小标宋简体" w:hAnsi="方正小标宋简体" w:eastAsia="方正小标宋简体"/>
          <w:sz w:val="36"/>
          <w:szCs w:val="36"/>
        </w:rPr>
        <w:t>-</w:t>
      </w:r>
      <w:r>
        <w:rPr>
          <w:rFonts w:hint="eastAsia" w:ascii="方正小标宋简体" w:hAnsi="方正小标宋简体" w:eastAsia="方正小标宋简体"/>
          <w:sz w:val="36"/>
          <w:szCs w:val="36"/>
          <w:lang w:val="en-US" w:eastAsia="zh-CN"/>
        </w:rPr>
        <w:t>7</w:t>
      </w:r>
      <w:r>
        <w:rPr>
          <w:rFonts w:hint="eastAsia" w:ascii="方正小标宋简体" w:hAnsi="方正小标宋简体" w:eastAsia="方正小标宋简体"/>
          <w:sz w:val="36"/>
          <w:szCs w:val="36"/>
        </w:rPr>
        <w:t>月君山区主要经济指标完成情况</w:t>
      </w:r>
    </w:p>
    <w:tbl>
      <w:tblPr>
        <w:tblStyle w:val="5"/>
        <w:tblpPr w:leftFromText="180" w:rightFromText="180" w:vertAnchor="page" w:horzAnchor="margin" w:tblpXSpec="center" w:tblpY="2814"/>
        <w:tblW w:w="121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73"/>
        <w:gridCol w:w="1338"/>
        <w:gridCol w:w="1559"/>
        <w:gridCol w:w="993"/>
        <w:gridCol w:w="35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467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/>
                <w:b/>
                <w:bCs/>
                <w:color w:val="000000"/>
                <w:kern w:val="0"/>
                <w:sz w:val="22"/>
              </w:rPr>
              <w:t>经济指标</w:t>
            </w:r>
          </w:p>
        </w:tc>
        <w:tc>
          <w:tcPr>
            <w:tcW w:w="3890" w:type="dxa"/>
            <w:gridSpan w:val="3"/>
          </w:tcPr>
          <w:p>
            <w:pPr>
              <w:widowControl/>
              <w:spacing w:line="460" w:lineRule="exact"/>
              <w:jc w:val="center"/>
              <w:rPr>
                <w:rFonts w:ascii="黑体" w:hAnsi="黑体" w:eastAsia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 w:val="24"/>
                <w:szCs w:val="24"/>
              </w:rPr>
              <w:t>202</w:t>
            </w:r>
            <w:r>
              <w:rPr>
                <w:rFonts w:hint="eastAsia" w:ascii="黑体" w:hAnsi="黑体" w:eastAsia="黑体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黑体" w:hAnsi="黑体" w:eastAsia="黑体"/>
                <w:color w:val="000000"/>
                <w:kern w:val="0"/>
                <w:sz w:val="24"/>
                <w:szCs w:val="24"/>
              </w:rPr>
              <w:t>年1</w:t>
            </w:r>
            <w:r>
              <w:rPr>
                <w:rFonts w:ascii="黑体" w:hAnsi="黑体" w:eastAsia="黑体"/>
                <w:color w:val="000000"/>
                <w:kern w:val="0"/>
                <w:sz w:val="24"/>
                <w:szCs w:val="24"/>
              </w:rPr>
              <w:t>-</w:t>
            </w:r>
            <w:r>
              <w:rPr>
                <w:rFonts w:hint="eastAsia" w:ascii="黑体" w:hAnsi="黑体" w:eastAsia="黑体"/>
                <w:color w:val="000000"/>
                <w:kern w:val="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黑体" w:hAnsi="黑体" w:eastAsia="黑体"/>
                <w:color w:val="000000"/>
                <w:kern w:val="0"/>
                <w:sz w:val="24"/>
                <w:szCs w:val="24"/>
              </w:rPr>
              <w:t>月</w:t>
            </w:r>
          </w:p>
        </w:tc>
        <w:tc>
          <w:tcPr>
            <w:tcW w:w="3543" w:type="dxa"/>
            <w:vMerge w:val="restart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黑体" w:hAnsi="黑体" w:eastAsia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</w:trPr>
        <w:tc>
          <w:tcPr>
            <w:tcW w:w="4673" w:type="dxa"/>
            <w:vMerge w:val="continue"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/>
                <w:b/>
                <w:bCs/>
                <w:color w:val="000000"/>
                <w:kern w:val="0"/>
                <w:sz w:val="22"/>
              </w:rPr>
              <w:t>总量                    （亿元）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/>
                <w:b/>
                <w:bCs/>
                <w:color w:val="000000"/>
                <w:kern w:val="0"/>
                <w:sz w:val="22"/>
              </w:rPr>
              <w:t>累计增速          （%）</w:t>
            </w:r>
          </w:p>
        </w:tc>
        <w:tc>
          <w:tcPr>
            <w:tcW w:w="993" w:type="dxa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/>
                <w:b/>
                <w:bCs/>
                <w:color w:val="000000"/>
                <w:kern w:val="0"/>
                <w:sz w:val="22"/>
              </w:rPr>
              <w:t>七区</w:t>
            </w:r>
          </w:p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/>
                <w:b/>
                <w:bCs/>
                <w:color w:val="000000"/>
                <w:kern w:val="0"/>
                <w:sz w:val="22"/>
              </w:rPr>
              <w:t>排名</w:t>
            </w:r>
          </w:p>
        </w:tc>
        <w:tc>
          <w:tcPr>
            <w:tcW w:w="354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467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①GDP</w:t>
            </w: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90.49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5.3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等线" w:hAnsi="等线" w:eastAsia="等线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543" w:type="dxa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上半年数据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467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②规模以上工业增加值</w:t>
            </w: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14.78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7.3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54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67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③固定资产投资</w:t>
            </w: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28.99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-29.3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等线" w:hAnsi="等线" w:eastAsia="等线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54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467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④社会消费品零售总额</w:t>
            </w: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43.99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7.8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等线" w:hAnsi="等线" w:eastAsia="等线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54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467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⑤规模以上服务业营业收入</w:t>
            </w: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12.08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22.7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543" w:type="dxa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1-6</w:t>
            </w:r>
            <w:r>
              <w:rPr>
                <w:rFonts w:hint="eastAsia" w:ascii="等线" w:hAnsi="等线" w:eastAsia="等线"/>
                <w:kern w:val="0"/>
                <w:sz w:val="24"/>
                <w:szCs w:val="24"/>
              </w:rPr>
              <w:t xml:space="preserve">月数据 </w:t>
            </w:r>
            <w:r>
              <w:rPr>
                <w:rFonts w:ascii="等线" w:hAnsi="等线" w:eastAsia="等线"/>
                <w:kern w:val="0"/>
                <w:sz w:val="24"/>
                <w:szCs w:val="24"/>
              </w:rPr>
              <w:t xml:space="preserve">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467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⑥一般公共预算地方收入</w:t>
            </w: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2.99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8.6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543" w:type="dxa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467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 w:val="24"/>
                <w:szCs w:val="24"/>
              </w:rPr>
              <w:t>⑦一般公共预算地方税收收入</w:t>
            </w: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2.08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11.4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543" w:type="dxa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467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⑧</w:t>
            </w:r>
            <w:bookmarkStart w:id="1" w:name="_Hlk146534811"/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城镇居民人均可支配收入</w:t>
            </w:r>
            <w:bookmarkEnd w:id="1"/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（元）</w:t>
            </w: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26347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4.1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543" w:type="dxa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上半年数据，四区排名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467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color w:val="000000"/>
                <w:kern w:val="0"/>
                <w:sz w:val="24"/>
                <w:szCs w:val="24"/>
              </w:rPr>
              <w:t>⑨农村居民人均可支配收入（元）</w:t>
            </w:r>
          </w:p>
        </w:tc>
        <w:tc>
          <w:tcPr>
            <w:tcW w:w="1338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default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15091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543" w:type="dxa"/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等线" w:hAnsi="等线" w:eastAsia="等线"/>
                <w:kern w:val="0"/>
                <w:sz w:val="24"/>
                <w:szCs w:val="24"/>
              </w:rPr>
            </w:pPr>
            <w:r>
              <w:rPr>
                <w:rFonts w:hint="eastAsia" w:ascii="等线" w:hAnsi="等线" w:eastAsia="等线"/>
                <w:kern w:val="0"/>
                <w:sz w:val="24"/>
                <w:szCs w:val="24"/>
                <w:lang w:val="en-US" w:eastAsia="zh-CN"/>
              </w:rPr>
              <w:t>上半年数据，两区排名</w:t>
            </w:r>
          </w:p>
        </w:tc>
      </w:tr>
    </w:tbl>
    <w:p>
      <w:pPr>
        <w:spacing w:line="540" w:lineRule="exact"/>
        <w:jc w:val="left"/>
        <w:rPr>
          <w:rFonts w:ascii="仿宋" w:hAnsi="仿宋" w:eastAsia="仿宋"/>
          <w:sz w:val="32"/>
          <w:szCs w:val="32"/>
        </w:rPr>
      </w:pPr>
    </w:p>
    <w:sectPr>
      <w:pgSz w:w="16838" w:h="11906" w:orient="landscape"/>
      <w:pgMar w:top="1797" w:right="1440" w:bottom="1797" w:left="144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汉仪行楷简">
    <w:panose1 w:val="02010609000101010101"/>
    <w:charset w:val="86"/>
    <w:family w:val="modern"/>
    <w:pitch w:val="default"/>
    <w:sig w:usb0="00000001" w:usb1="080E0800" w:usb2="00000002" w:usb3="00000000" w:csb0="00040000" w:csb1="00000000"/>
  </w:font>
  <w:font w:name="方正字迹-张乃仁行楷简体">
    <w:panose1 w:val="02010600010101010101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文道楷体">
    <w:panose1 w:val="02010600040101010101"/>
    <w:charset w:val="86"/>
    <w:family w:val="auto"/>
    <w:pitch w:val="default"/>
    <w:sig w:usb0="00000001" w:usb1="18000C10" w:usb2="00000012" w:usb3="00000000" w:csb0="001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ZiZWQ1OTE2Y2E5M2EwMDdjZDcwODRiMjJmOWEwZWMifQ=="/>
  </w:docVars>
  <w:rsids>
    <w:rsidRoot w:val="003D71E6"/>
    <w:rsid w:val="00006837"/>
    <w:rsid w:val="00180D86"/>
    <w:rsid w:val="001843B8"/>
    <w:rsid w:val="00240392"/>
    <w:rsid w:val="002E31E4"/>
    <w:rsid w:val="002F2FF7"/>
    <w:rsid w:val="00334DCC"/>
    <w:rsid w:val="00347BD8"/>
    <w:rsid w:val="0035749F"/>
    <w:rsid w:val="003675BE"/>
    <w:rsid w:val="00381831"/>
    <w:rsid w:val="003924BF"/>
    <w:rsid w:val="003D33C3"/>
    <w:rsid w:val="003D71E6"/>
    <w:rsid w:val="004645D8"/>
    <w:rsid w:val="004648FA"/>
    <w:rsid w:val="004E540A"/>
    <w:rsid w:val="00500C33"/>
    <w:rsid w:val="00532DB9"/>
    <w:rsid w:val="00537324"/>
    <w:rsid w:val="0054255D"/>
    <w:rsid w:val="00562AB9"/>
    <w:rsid w:val="00592EE8"/>
    <w:rsid w:val="00612080"/>
    <w:rsid w:val="00675BC4"/>
    <w:rsid w:val="00686A6F"/>
    <w:rsid w:val="006A01DF"/>
    <w:rsid w:val="007844D6"/>
    <w:rsid w:val="0079024E"/>
    <w:rsid w:val="008C6686"/>
    <w:rsid w:val="008C7F8A"/>
    <w:rsid w:val="0093171A"/>
    <w:rsid w:val="00941463"/>
    <w:rsid w:val="009773EF"/>
    <w:rsid w:val="00A25043"/>
    <w:rsid w:val="00A50076"/>
    <w:rsid w:val="00AB55DE"/>
    <w:rsid w:val="00AE082D"/>
    <w:rsid w:val="00B00045"/>
    <w:rsid w:val="00B04895"/>
    <w:rsid w:val="00B6494D"/>
    <w:rsid w:val="00B668EE"/>
    <w:rsid w:val="00C47B1A"/>
    <w:rsid w:val="00C55A20"/>
    <w:rsid w:val="00CC66D8"/>
    <w:rsid w:val="00CD5473"/>
    <w:rsid w:val="00D111E3"/>
    <w:rsid w:val="00E36065"/>
    <w:rsid w:val="00E40004"/>
    <w:rsid w:val="00EA4481"/>
    <w:rsid w:val="00F41325"/>
    <w:rsid w:val="00FA08A2"/>
    <w:rsid w:val="00FD6EFC"/>
    <w:rsid w:val="00FF43B2"/>
    <w:rsid w:val="018750D4"/>
    <w:rsid w:val="08FC0E5C"/>
    <w:rsid w:val="0CE540B6"/>
    <w:rsid w:val="0E94047B"/>
    <w:rsid w:val="163376F8"/>
    <w:rsid w:val="1BEA00A2"/>
    <w:rsid w:val="23481924"/>
    <w:rsid w:val="2A7169E6"/>
    <w:rsid w:val="2F2D14C0"/>
    <w:rsid w:val="3B144089"/>
    <w:rsid w:val="416E2080"/>
    <w:rsid w:val="4250579A"/>
    <w:rsid w:val="45213EA2"/>
    <w:rsid w:val="4C270CFA"/>
    <w:rsid w:val="55BB0D24"/>
    <w:rsid w:val="5F8B27B3"/>
    <w:rsid w:val="604F3B60"/>
    <w:rsid w:val="624B782F"/>
    <w:rsid w:val="626803F0"/>
    <w:rsid w:val="62F44E30"/>
    <w:rsid w:val="675A65EF"/>
    <w:rsid w:val="70B51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autoRedefine/>
    <w:qFormat/>
    <w:uiPriority w:val="99"/>
    <w:pPr>
      <w:ind w:left="100" w:leftChars="2500"/>
    </w:pPr>
  </w:style>
  <w:style w:type="paragraph" w:styleId="3">
    <w:name w:val="footer"/>
    <w:basedOn w:val="1"/>
    <w:link w:val="8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autoRedefine/>
    <w:qFormat/>
    <w:uiPriority w:val="99"/>
    <w:rPr>
      <w:kern w:val="2"/>
      <w:sz w:val="18"/>
      <w:szCs w:val="18"/>
    </w:rPr>
  </w:style>
  <w:style w:type="character" w:customStyle="1" w:styleId="8">
    <w:name w:val="页脚 字符"/>
    <w:basedOn w:val="6"/>
    <w:link w:val="3"/>
    <w:autoRedefine/>
    <w:qFormat/>
    <w:uiPriority w:val="99"/>
    <w:rPr>
      <w:kern w:val="2"/>
      <w:sz w:val="18"/>
      <w:szCs w:val="18"/>
    </w:rPr>
  </w:style>
  <w:style w:type="paragraph" w:styleId="9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0">
    <w:name w:val="日期 字符"/>
    <w:basedOn w:val="6"/>
    <w:link w:val="2"/>
    <w:autoRedefine/>
    <w:qFormat/>
    <w:uiPriority w:val="99"/>
    <w:rPr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33D4EA1-2B44-44B0-9B6F-BCA91FFE261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175</Words>
  <Characters>1003</Characters>
  <Lines>8</Lines>
  <Paragraphs>2</Paragraphs>
  <TotalTime>18</TotalTime>
  <ScaleCrop>false</ScaleCrop>
  <LinksUpToDate>false</LinksUpToDate>
  <CharactersWithSpaces>1176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2024-01-22T02:24:00Z</dcterms:created>
  <dc:creator>Administrator</dc:creator>
  <cp:lastModifiedBy>生菜</cp:lastModifiedBy>
  <cp:lastPrinted>2024-08-27T02:01:36Z</cp:lastPrinted>
  <dcterms:modified xsi:type="dcterms:W3CDTF">2024-08-27T02:16:39Z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F4DA19A6C48E44E0B42253CC72C5820F_13</vt:lpwstr>
  </property>
</Properties>
</file>