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206"/>
        </w:tabs>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default" w:ascii="Times New Roman" w:hAnsi="Times New Roman" w:eastAsia="黑体" w:cs="Times New Roman"/>
          <w:color w:val="000000" w:themeColor="text1"/>
          <w:w w:val="100"/>
          <w:sz w:val="32"/>
          <w:szCs w:val="32"/>
          <w:lang w:val="en-US" w:eastAsia="zh-CN"/>
          <w14:textFill>
            <w14:solidFill>
              <w14:schemeClr w14:val="tx1"/>
            </w14:solidFill>
          </w14:textFill>
        </w:rPr>
      </w:pPr>
      <w:r>
        <w:rPr>
          <w:rFonts w:hint="default" w:ascii="Times New Roman" w:hAnsi="Times New Roman" w:eastAsia="黑体" w:cs="Times New Roman"/>
          <w:color w:val="000000" w:themeColor="text1"/>
          <w:w w:val="100"/>
          <w:sz w:val="32"/>
          <w:szCs w:val="32"/>
          <w:lang w:val="en-US" w:eastAsia="zh-CN"/>
          <w14:textFill>
            <w14:solidFill>
              <w14:schemeClr w14:val="tx1"/>
            </w14:solidFill>
          </w14:textFill>
        </w:rPr>
        <w:t>HNPR</w:t>
      </w:r>
      <w:r>
        <w:rPr>
          <w:rFonts w:hint="eastAsia" w:ascii="仿宋_GB2312" w:hAnsi="仿宋_GB2312" w:eastAsia="仿宋_GB2312" w:cs="仿宋_GB2312"/>
          <w:color w:val="000000" w:themeColor="text1"/>
          <w:w w:val="100"/>
          <w:sz w:val="32"/>
          <w:szCs w:val="32"/>
          <w:lang w:val="en-US" w:eastAsia="zh-CN"/>
          <w14:textFill>
            <w14:solidFill>
              <w14:schemeClr w14:val="tx1"/>
            </w14:solidFill>
          </w14:textFill>
        </w:rPr>
        <w:t>-</w:t>
      </w:r>
      <w:r>
        <w:rPr>
          <w:rFonts w:hint="default" w:ascii="Times New Roman" w:hAnsi="Times New Roman" w:eastAsia="黑体" w:cs="Times New Roman"/>
          <w:color w:val="000000" w:themeColor="text1"/>
          <w:w w:val="100"/>
          <w:sz w:val="32"/>
          <w:szCs w:val="32"/>
          <w:lang w:val="en-US" w:eastAsia="zh-CN"/>
          <w14:textFill>
            <w14:solidFill>
              <w14:schemeClr w14:val="tx1"/>
            </w14:solidFill>
          </w14:textFill>
        </w:rPr>
        <w:t>2024</w:t>
      </w:r>
      <w:r>
        <w:rPr>
          <w:rFonts w:hint="eastAsia" w:ascii="仿宋_GB2312" w:hAnsi="仿宋_GB2312" w:eastAsia="仿宋_GB2312" w:cs="仿宋_GB2312"/>
          <w:color w:val="000000" w:themeColor="text1"/>
          <w:w w:val="100"/>
          <w:sz w:val="32"/>
          <w:szCs w:val="32"/>
          <w:lang w:val="en-US" w:eastAsia="zh-CN"/>
          <w14:textFill>
            <w14:solidFill>
              <w14:schemeClr w14:val="tx1"/>
            </w14:solidFill>
          </w14:textFill>
        </w:rPr>
        <w:t>-</w:t>
      </w:r>
      <w:r>
        <w:rPr>
          <w:rFonts w:hint="default" w:ascii="Times New Roman" w:hAnsi="Times New Roman" w:eastAsia="黑体" w:cs="Times New Roman"/>
          <w:color w:val="000000" w:themeColor="text1"/>
          <w:w w:val="100"/>
          <w:sz w:val="32"/>
          <w:szCs w:val="32"/>
          <w:lang w:val="en-US" w:eastAsia="zh-CN"/>
          <w14:textFill>
            <w14:solidFill>
              <w14:schemeClr w14:val="tx1"/>
            </w14:solidFill>
          </w14:textFill>
        </w:rPr>
        <w:t>11006</w:t>
      </w:r>
    </w:p>
    <w:p>
      <w:pPr>
        <w:keepNext w:val="0"/>
        <w:keepLines w:val="0"/>
        <w:pageBreakBefore w:val="0"/>
        <w:widowControl w:val="0"/>
        <w:kinsoku/>
        <w:wordWrap/>
        <w:overflowPunct/>
        <w:topLinePunct w:val="0"/>
        <w:autoSpaceDE/>
        <w:autoSpaceDN/>
        <w:bidi w:val="0"/>
        <w:adjustRightInd/>
        <w:snapToGrid/>
        <w:spacing w:line="400" w:lineRule="exact"/>
        <w:textAlignment w:val="auto"/>
        <w:outlineLvl w:val="9"/>
        <w:rPr>
          <w:rFonts w:hint="default" w:ascii="Times New Roman" w:hAnsi="Times New Roman" w:eastAsia="方正小标宋简体" w:cs="Times New Roman"/>
          <w:color w:val="FF0000"/>
          <w:spacing w:val="-46"/>
          <w:sz w:val="68"/>
          <w:szCs w:val="68"/>
        </w:rPr>
      </w:pPr>
    </w:p>
    <w:p>
      <w:pPr>
        <w:keepNext w:val="0"/>
        <w:keepLines w:val="0"/>
        <w:pageBreakBefore w:val="0"/>
        <w:widowControl w:val="0"/>
        <w:kinsoku/>
        <w:wordWrap/>
        <w:overflowPunct/>
        <w:topLinePunct w:val="0"/>
        <w:autoSpaceDE/>
        <w:autoSpaceDN/>
        <w:bidi w:val="0"/>
        <w:adjustRightInd/>
        <w:snapToGrid/>
        <w:spacing w:line="100" w:lineRule="exact"/>
        <w:textAlignment w:val="auto"/>
        <w:outlineLvl w:val="9"/>
        <w:rPr>
          <w:rFonts w:hint="default" w:ascii="Times New Roman" w:hAnsi="Times New Roman" w:eastAsia="方正小标宋简体" w:cs="Times New Roman"/>
          <w:color w:val="FF0000"/>
          <w:spacing w:val="-46"/>
          <w:sz w:val="68"/>
          <w:szCs w:val="68"/>
        </w:rPr>
      </w:pPr>
    </w:p>
    <w:p>
      <w:pPr>
        <w:pStyle w:val="14"/>
        <w:keepNext w:val="0"/>
        <w:keepLines w:val="0"/>
        <w:pageBreakBefore w:val="0"/>
        <w:widowControl w:val="0"/>
        <w:kinsoku/>
        <w:wordWrap/>
        <w:overflowPunct/>
        <w:autoSpaceDE/>
        <w:autoSpaceDN/>
        <w:bidi w:val="0"/>
        <w:spacing w:line="592" w:lineRule="exact"/>
        <w:jc w:val="center"/>
        <w:textAlignment w:val="auto"/>
        <w:rPr>
          <w:rFonts w:hint="default" w:ascii="Times New Roman" w:hAnsi="Times New Roman" w:eastAsia="仿宋_GB2312" w:cs="Times New Roman"/>
          <w:b w:val="0"/>
          <w:bCs/>
          <w:spacing w:val="0"/>
          <w:w w:val="100"/>
          <w:sz w:val="32"/>
          <w:szCs w:val="32"/>
        </w:rPr>
      </w:pPr>
      <w:r>
        <w:rPr>
          <w:rFonts w:hint="default" w:ascii="Times New Roman" w:hAnsi="Times New Roman" w:cs="Times New Roman"/>
          <w:sz w:val="68"/>
        </w:rPr>
        <mc:AlternateContent>
          <mc:Choice Requires="wps">
            <w:drawing>
              <wp:anchor distT="0" distB="0" distL="114300" distR="114300" simplePos="0" relativeHeight="251661312" behindDoc="0" locked="0" layoutInCell="1" allowOverlap="1">
                <wp:simplePos x="0" y="0"/>
                <wp:positionH relativeFrom="column">
                  <wp:posOffset>-97790</wp:posOffset>
                </wp:positionH>
                <wp:positionV relativeFrom="paragraph">
                  <wp:posOffset>26670</wp:posOffset>
                </wp:positionV>
                <wp:extent cx="5865495" cy="1241425"/>
                <wp:effectExtent l="0" t="0" r="1905" b="15875"/>
                <wp:wrapSquare wrapText="bothSides"/>
                <wp:docPr id="1" name="文本框 1"/>
                <wp:cNvGraphicFramePr/>
                <a:graphic xmlns:a="http://schemas.openxmlformats.org/drawingml/2006/main">
                  <a:graphicData uri="http://schemas.microsoft.com/office/word/2010/wordprocessingShape">
                    <wps:wsp>
                      <wps:cNvSpPr txBox="1"/>
                      <wps:spPr>
                        <a:xfrm>
                          <a:off x="0" y="0"/>
                          <a:ext cx="5865495" cy="1241425"/>
                        </a:xfrm>
                        <a:prstGeom prst="rect">
                          <a:avLst/>
                        </a:prstGeom>
                        <a:solidFill>
                          <a:schemeClr val="lt1"/>
                        </a:solidFill>
                        <a:ln w="6350">
                          <a:noFill/>
                        </a:ln>
                      </wps:spPr>
                      <wps:style>
                        <a:lnRef idx="0">
                          <a:schemeClr val="accent1"/>
                        </a:lnRef>
                        <a:fillRef idx="0">
                          <a:schemeClr val="accent1"/>
                        </a:fillRef>
                        <a:effectRef idx="0">
                          <a:schemeClr val="accent1"/>
                        </a:effectRef>
                        <a:fontRef idx="minor">
                          <a:schemeClr val="dk1"/>
                        </a:fontRef>
                      </wps:style>
                      <wps:txbx>
                        <w:txbxContent>
                          <w:p>
                            <w:pPr>
                              <w:spacing w:line="1600" w:lineRule="exact"/>
                              <w:jc w:val="center"/>
                              <w:rPr>
                                <w:rFonts w:hint="default" w:ascii="Times New Roman" w:hAnsi="Times New Roman" w:eastAsia="方正小标宋简体" w:cs="Times New Roman"/>
                                <w:color w:val="FF0000"/>
                                <w:spacing w:val="0"/>
                                <w:w w:val="70"/>
                                <w:position w:val="22"/>
                                <w:sz w:val="84"/>
                                <w:szCs w:val="72"/>
                                <w:lang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7pt;margin-top:2.1pt;height:97.75pt;width:461.85pt;mso-wrap-distance-bottom:0pt;mso-wrap-distance-left:9pt;mso-wrap-distance-right:9pt;mso-wrap-distance-top:0pt;z-index:251661312;mso-width-relative:page;mso-height-relative:page;" fillcolor="#FFFFFF [3201]" filled="t" stroked="f" coordsize="21600,21600" o:gfxdata="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FZ9BtvVAAAACQEAAA8AAAAA&#10;AAAAAQAgAAAAIgAAAGRycy9kb3ducmV2LnhtbFBLAQIUABQAAAAIAIdO4kCDcrh8UAIAAJAEAAAO&#10;AAAAAAAAAAEAIAAAACQBAABkcnMvZTJvRG9jLnhtbFBLBQYAAAAABgAGAFkBAADmBQAAAAA=&#10;">
                <v:fill on="t" focussize="0,0"/>
                <v:stroke on="f" weight="0.5pt"/>
                <v:imagedata o:title=""/>
                <o:lock v:ext="edit" aspectratio="f"/>
                <v:textbox>
                  <w:txbxContent>
                    <w:p>
                      <w:pPr>
                        <w:spacing w:line="1600" w:lineRule="exact"/>
                        <w:jc w:val="center"/>
                        <w:rPr>
                          <w:rFonts w:hint="default" w:ascii="Times New Roman" w:hAnsi="Times New Roman" w:eastAsia="方正小标宋简体" w:cs="Times New Roman"/>
                          <w:color w:val="FF0000"/>
                          <w:spacing w:val="0"/>
                          <w:w w:val="70"/>
                          <w:position w:val="22"/>
                          <w:sz w:val="84"/>
                          <w:szCs w:val="72"/>
                          <w:lang w:eastAsia="zh-CN"/>
                        </w:rPr>
                      </w:pPr>
                    </w:p>
                  </w:txbxContent>
                </v:textbox>
                <w10:wrap type="square"/>
              </v:shape>
            </w:pict>
          </mc:Fallback>
        </mc:AlternateContent>
      </w:r>
      <w:r>
        <w:rPr>
          <w:rFonts w:hint="default" w:ascii="Times New Roman" w:hAnsi="Times New Roman" w:eastAsia="仿宋_GB2312" w:cs="Times New Roman"/>
          <w:sz w:val="32"/>
          <w:szCs w:val="32"/>
        </w:rPr>
        <w:t>湘人社</w:t>
      </w:r>
      <w:r>
        <w:rPr>
          <w:rFonts w:hint="default" w:ascii="Times New Roman" w:hAnsi="Times New Roman" w:eastAsia="仿宋_GB2312" w:cs="Times New Roman"/>
          <w:sz w:val="32"/>
          <w:szCs w:val="32"/>
          <w:lang w:eastAsia="zh-CN"/>
        </w:rPr>
        <w:t>规</w:t>
      </w:r>
      <w:r>
        <w:rPr>
          <w:rFonts w:hint="default" w:ascii="Times New Roman" w:hAnsi="Times New Roman" w:eastAsia="仿宋_GB2312" w:cs="Times New Roman"/>
          <w:sz w:val="32"/>
          <w:szCs w:val="32"/>
        </w:rPr>
        <w:t>〔20</w:t>
      </w:r>
      <w:r>
        <w:rPr>
          <w:rFonts w:hint="default"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6</w:t>
      </w:r>
      <w:r>
        <w:rPr>
          <w:rFonts w:hint="default" w:ascii="Times New Roman" w:hAnsi="Times New Roman" w:eastAsia="仿宋_GB2312" w:cs="Times New Roman"/>
          <w:sz w:val="32"/>
          <w:szCs w:val="32"/>
        </w:rPr>
        <w:t>号</w:t>
      </w:r>
    </w:p>
    <w:p>
      <w:pPr>
        <w:keepNext w:val="0"/>
        <w:keepLines w:val="0"/>
        <w:pageBreakBefore w:val="0"/>
        <w:widowControl w:val="0"/>
        <w:kinsoku/>
        <w:wordWrap/>
        <w:overflowPunct/>
        <w:topLinePunct w:val="0"/>
        <w:autoSpaceDE/>
        <w:autoSpaceDN/>
        <w:bidi w:val="0"/>
        <w:adjustRightInd/>
        <w:snapToGrid/>
        <w:spacing w:line="552" w:lineRule="exact"/>
        <w:jc w:val="center"/>
        <w:textAlignment w:val="auto"/>
        <w:outlineLvl w:val="9"/>
        <w:rPr>
          <w:rFonts w:hint="default" w:ascii="Times New Roman" w:hAnsi="Times New Roman" w:eastAsia="方正小标宋简体" w:cs="Times New Roman"/>
          <w:kern w:val="0"/>
          <w:sz w:val="44"/>
          <w:szCs w:val="44"/>
        </w:rPr>
      </w:pP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pPr>
      <w:r>
        <w:rPr>
          <w:rFonts w:hint="default" w:ascii="Times New Roman" w:hAnsi="Times New Roman" w:eastAsia="方正小标宋简体" w:cs="Times New Roman"/>
          <w:spacing w:val="0"/>
          <w:sz w:val="44"/>
          <w:szCs w:val="44"/>
          <w:lang w:val="en-US" w:eastAsia="zh-CN"/>
        </w:rPr>
        <w:t>关于印发《</w:t>
      </w:r>
      <w:r>
        <w:rPr>
          <w:rFonts w:hint="default" w:ascii="Times New Roman" w:hAnsi="Times New Roman" w:eastAsia="方正小标宋简体" w:cs="Times New Roman"/>
          <w:b w:val="0"/>
          <w:bCs/>
          <w:color w:val="000000" w:themeColor="text1"/>
          <w:spacing w:val="0"/>
          <w:sz w:val="44"/>
          <w:szCs w:val="44"/>
          <w:highlight w:val="none"/>
          <w:u w:val="none"/>
          <w14:textFill>
            <w14:solidFill>
              <w14:schemeClr w14:val="tx1"/>
            </w14:solidFill>
          </w14:textFill>
        </w:rPr>
        <w:t>湖南省流动人员人事档案</w:t>
      </w:r>
      <w:r>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t>经办服务</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pPr>
      <w:r>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t>暂行规程》的通知</w:t>
      </w:r>
    </w:p>
    <w:p>
      <w:pPr>
        <w:keepNext w:val="0"/>
        <w:keepLines w:val="0"/>
        <w:pageBreakBefore w:val="0"/>
        <w:widowControl w:val="0"/>
        <w:kinsoku/>
        <w:wordWrap/>
        <w:overflowPunct/>
        <w:topLinePunct w:val="0"/>
        <w:autoSpaceDE/>
        <w:autoSpaceDN/>
        <w:bidi w:val="0"/>
        <w:adjustRightInd/>
        <w:spacing w:line="500" w:lineRule="exact"/>
        <w:jc w:val="both"/>
        <w:textAlignment w:val="auto"/>
        <w:rPr>
          <w:rFonts w:hint="default" w:ascii="Times New Roman" w:hAnsi="Times New Roman" w:eastAsia="仿宋_GB2312" w:cs="Times New Roman"/>
          <w:spacing w:val="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left="0"/>
        <w:textAlignment w:val="auto"/>
        <w:rPr>
          <w:rFonts w:hint="default" w:ascii="Times New Roman" w:hAnsi="Times New Roman" w:eastAsia="仿宋_GB2312" w:cs="Times New Roman"/>
          <w:spacing w:val="0"/>
          <w:sz w:val="32"/>
          <w:szCs w:val="32"/>
        </w:rPr>
      </w:pPr>
      <w:r>
        <w:rPr>
          <w:rFonts w:hint="default" w:ascii="Times New Roman" w:hAnsi="Times New Roman" w:eastAsia="仿宋_GB2312" w:cs="Times New Roman"/>
          <w:spacing w:val="0"/>
          <w:sz w:val="32"/>
          <w:szCs w:val="32"/>
        </w:rPr>
        <w:t>各市州</w:t>
      </w:r>
      <w:r>
        <w:rPr>
          <w:rFonts w:hint="default" w:ascii="Times New Roman" w:hAnsi="Times New Roman" w:eastAsia="仿宋_GB2312" w:cs="Times New Roman"/>
          <w:spacing w:val="0"/>
          <w:sz w:val="32"/>
          <w:szCs w:val="32"/>
          <w:lang w:val="en-US" w:eastAsia="zh-CN"/>
        </w:rPr>
        <w:t>人力资源和社会保障局：</w:t>
      </w:r>
    </w:p>
    <w:p>
      <w:pPr>
        <w:pStyle w:val="6"/>
        <w:keepNext w:val="0"/>
        <w:keepLines w:val="0"/>
        <w:pageBreakBefore w:val="0"/>
        <w:widowControl w:val="0"/>
        <w:kinsoku/>
        <w:wordWrap/>
        <w:overflowPunct/>
        <w:topLinePunct w:val="0"/>
        <w:autoSpaceDE/>
        <w:autoSpaceDN/>
        <w:bidi w:val="0"/>
        <w:adjustRightInd/>
        <w:spacing w:line="500" w:lineRule="exact"/>
        <w:ind w:firstLine="640" w:firstLineChars="200"/>
        <w:textAlignment w:val="auto"/>
        <w:rPr>
          <w:rFonts w:hint="default" w:ascii="Times New Roman" w:hAnsi="Times New Roman" w:eastAsia="仿宋_GB2312" w:cs="Times New Roman"/>
          <w:color w:val="auto"/>
          <w:spacing w:val="0"/>
          <w:kern w:val="2"/>
          <w:sz w:val="32"/>
          <w:szCs w:val="32"/>
          <w:u w:val="none"/>
          <w:lang w:val="en-US" w:eastAsia="zh-CN" w:bidi="ar-SA"/>
        </w:rPr>
      </w:pPr>
      <w:r>
        <w:rPr>
          <w:rFonts w:hint="default" w:ascii="Times New Roman" w:hAnsi="Times New Roman" w:eastAsia="仿宋_GB2312" w:cs="Times New Roman"/>
          <w:color w:val="auto"/>
          <w:spacing w:val="0"/>
          <w:kern w:val="2"/>
          <w:sz w:val="32"/>
          <w:szCs w:val="32"/>
          <w:u w:val="none"/>
          <w:lang w:val="en-US" w:eastAsia="zh-CN" w:bidi="ar-SA"/>
        </w:rPr>
        <w:t>为统一和完善全省各级公共就业和人才服务机构流动人员人事档案经办服务规程和基础标准，进一步健全流动人员人事档案公共管理服务体系，结合我省工作实际，制定了《湖南省流动人员人事档案经办服务暂行规程》，现印发给你们，请认真遵照执行。</w:t>
      </w:r>
    </w:p>
    <w:p>
      <w:pPr>
        <w:pStyle w:val="6"/>
        <w:keepNext w:val="0"/>
        <w:keepLines w:val="0"/>
        <w:pageBreakBefore w:val="0"/>
        <w:widowControl w:val="0"/>
        <w:numPr>
          <w:ilvl w:val="0"/>
          <w:numId w:val="0"/>
        </w:numPr>
        <w:kinsoku/>
        <w:wordWrap/>
        <w:overflowPunct/>
        <w:topLinePunct w:val="0"/>
        <w:autoSpaceDE/>
        <w:autoSpaceDN/>
        <w:bidi w:val="0"/>
        <w:adjustRightInd/>
        <w:spacing w:line="500" w:lineRule="exact"/>
        <w:ind w:leftChars="200"/>
        <w:textAlignment w:val="auto"/>
        <w:rPr>
          <w:rFonts w:hint="default" w:ascii="Times New Roman" w:hAnsi="Times New Roman" w:eastAsia="仿宋_GB2312" w:cs="Times New Roman"/>
          <w:spacing w:val="0"/>
          <w:sz w:val="32"/>
          <w:szCs w:val="32"/>
          <w:lang w:val="en-US" w:eastAsia="zh-CN"/>
        </w:rPr>
      </w:pPr>
    </w:p>
    <w:p>
      <w:pPr>
        <w:pStyle w:val="6"/>
        <w:keepNext w:val="0"/>
        <w:keepLines w:val="0"/>
        <w:pageBreakBefore w:val="0"/>
        <w:widowControl w:val="0"/>
        <w:kinsoku/>
        <w:wordWrap/>
        <w:overflowPunct/>
        <w:topLinePunct w:val="0"/>
        <w:autoSpaceDE/>
        <w:autoSpaceDN/>
        <w:bidi w:val="0"/>
        <w:adjustRightInd/>
        <w:spacing w:line="500" w:lineRule="exact"/>
        <w:ind w:firstLine="640" w:firstLineChars="200"/>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附件：</w:t>
      </w:r>
      <w:r>
        <w:rPr>
          <w:rFonts w:hint="default" w:ascii="Times New Roman" w:hAnsi="Times New Roman" w:eastAsia="仿宋_GB2312" w:cs="Times New Roman"/>
          <w:color w:val="auto"/>
          <w:spacing w:val="0"/>
          <w:kern w:val="2"/>
          <w:sz w:val="32"/>
          <w:szCs w:val="32"/>
          <w:u w:val="none"/>
          <w:lang w:val="en-US" w:eastAsia="zh-CN" w:bidi="ar-SA"/>
        </w:rPr>
        <w:t>湖南省流动人员人事档案经办服务暂行规程</w:t>
      </w:r>
    </w:p>
    <w:p>
      <w:pPr>
        <w:pStyle w:val="6"/>
        <w:keepNext w:val="0"/>
        <w:keepLines w:val="0"/>
        <w:pageBreakBefore w:val="0"/>
        <w:widowControl w:val="0"/>
        <w:kinsoku/>
        <w:wordWrap w:val="0"/>
        <w:overflowPunct/>
        <w:topLinePunct w:val="0"/>
        <w:autoSpaceDE/>
        <w:autoSpaceDN/>
        <w:bidi w:val="0"/>
        <w:adjustRightInd/>
        <w:spacing w:line="500" w:lineRule="exact"/>
        <w:jc w:val="right"/>
        <w:textAlignment w:val="auto"/>
        <w:rPr>
          <w:rFonts w:hint="default" w:ascii="Times New Roman" w:hAnsi="Times New Roman" w:eastAsia="仿宋_GB2312" w:cs="Times New Roman"/>
          <w:spacing w:val="0"/>
          <w:sz w:val="32"/>
          <w:szCs w:val="32"/>
          <w:lang w:val="en-US" w:eastAsia="zh-CN"/>
        </w:rPr>
      </w:pPr>
    </w:p>
    <w:p>
      <w:pPr>
        <w:pStyle w:val="6"/>
        <w:keepNext w:val="0"/>
        <w:keepLines w:val="0"/>
        <w:pageBreakBefore w:val="0"/>
        <w:widowControl w:val="0"/>
        <w:kinsoku/>
        <w:wordWrap/>
        <w:overflowPunct/>
        <w:topLinePunct w:val="0"/>
        <w:autoSpaceDE/>
        <w:autoSpaceDN/>
        <w:bidi w:val="0"/>
        <w:adjustRightInd/>
        <w:spacing w:line="500" w:lineRule="exact"/>
        <w:jc w:val="right"/>
        <w:textAlignment w:val="auto"/>
        <w:rPr>
          <w:rFonts w:hint="default" w:ascii="Times New Roman" w:hAnsi="Times New Roman" w:eastAsia="仿宋_GB2312" w:cs="Times New Roman"/>
          <w:spacing w:val="0"/>
          <w:sz w:val="32"/>
          <w:szCs w:val="32"/>
          <w:lang w:val="en-US" w:eastAsia="zh-CN"/>
        </w:rPr>
      </w:pPr>
    </w:p>
    <w:p>
      <w:pPr>
        <w:pStyle w:val="6"/>
        <w:keepNext w:val="0"/>
        <w:keepLines w:val="0"/>
        <w:pageBreakBefore w:val="0"/>
        <w:widowControl w:val="0"/>
        <w:kinsoku/>
        <w:wordWrap/>
        <w:overflowPunct/>
        <w:topLinePunct w:val="0"/>
        <w:autoSpaceDE/>
        <w:autoSpaceDN/>
        <w:bidi w:val="0"/>
        <w:adjustRightInd/>
        <w:spacing w:line="500" w:lineRule="exact"/>
        <w:jc w:val="right"/>
        <w:textAlignment w:val="auto"/>
        <w:rPr>
          <w:rFonts w:hint="default" w:ascii="Times New Roman" w:hAnsi="Times New Roman" w:eastAsia="仿宋_GB2312" w:cs="Times New Roman"/>
          <w:spacing w:val="0"/>
          <w:sz w:val="32"/>
          <w:szCs w:val="32"/>
          <w:lang w:val="en-US" w:eastAsia="zh-CN"/>
        </w:rPr>
      </w:pPr>
    </w:p>
    <w:p>
      <w:pPr>
        <w:pStyle w:val="6"/>
        <w:keepNext w:val="0"/>
        <w:keepLines w:val="0"/>
        <w:pageBreakBefore w:val="0"/>
        <w:widowControl w:val="0"/>
        <w:kinsoku/>
        <w:wordWrap w:val="0"/>
        <w:overflowPunct/>
        <w:topLinePunct w:val="0"/>
        <w:autoSpaceDE/>
        <w:autoSpaceDN/>
        <w:bidi w:val="0"/>
        <w:adjustRightInd/>
        <w:spacing w:line="500" w:lineRule="exact"/>
        <w:jc w:val="right"/>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 xml:space="preserve">湖南省人力资源和社会保障厅        </w:t>
      </w:r>
    </w:p>
    <w:p>
      <w:pPr>
        <w:pStyle w:val="6"/>
        <w:keepNext w:val="0"/>
        <w:keepLines w:val="0"/>
        <w:pageBreakBefore w:val="0"/>
        <w:widowControl w:val="0"/>
        <w:kinsoku/>
        <w:wordWrap w:val="0"/>
        <w:overflowPunct/>
        <w:topLinePunct w:val="0"/>
        <w:autoSpaceDE/>
        <w:autoSpaceDN/>
        <w:bidi w:val="0"/>
        <w:adjustRightInd/>
        <w:spacing w:line="500" w:lineRule="exact"/>
        <w:jc w:val="right"/>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 xml:space="preserve">2024年5月26日             </w:t>
      </w:r>
    </w:p>
    <w:p>
      <w:pPr>
        <w:pStyle w:val="6"/>
        <w:keepNext w:val="0"/>
        <w:keepLines w:val="0"/>
        <w:pageBreakBefore w:val="0"/>
        <w:widowControl w:val="0"/>
        <w:kinsoku/>
        <w:wordWrap w:val="0"/>
        <w:overflowPunct/>
        <w:topLinePunct w:val="0"/>
        <w:autoSpaceDE/>
        <w:autoSpaceDN/>
        <w:bidi w:val="0"/>
        <w:adjustRightInd/>
        <w:snapToGrid w:val="0"/>
        <w:spacing w:line="400" w:lineRule="exact"/>
        <w:ind w:firstLine="640" w:firstLineChars="200"/>
        <w:jc w:val="both"/>
        <w:textAlignment w:val="auto"/>
        <w:rPr>
          <w:rFonts w:hint="default" w:ascii="Times New Roman" w:hAnsi="Times New Roman" w:eastAsia="仿宋_GB2312" w:cs="Times New Roman"/>
          <w:spacing w:val="0"/>
          <w:sz w:val="32"/>
          <w:szCs w:val="32"/>
          <w:lang w:val="en-US" w:eastAsia="zh-CN"/>
        </w:rPr>
      </w:pPr>
      <w:r>
        <w:rPr>
          <w:rFonts w:hint="default" w:ascii="Times New Roman" w:hAnsi="Times New Roman" w:eastAsia="仿宋_GB2312" w:cs="Times New Roman"/>
          <w:spacing w:val="0"/>
          <w:sz w:val="32"/>
          <w:szCs w:val="32"/>
          <w:lang w:val="en-US" w:eastAsia="zh-CN"/>
        </w:rPr>
        <w:t>（此件主动公开）</w:t>
      </w:r>
    </w:p>
    <w:p>
      <w:pPr>
        <w:pStyle w:val="6"/>
        <w:keepNext w:val="0"/>
        <w:keepLines w:val="0"/>
        <w:pageBreakBefore w:val="0"/>
        <w:widowControl w:val="0"/>
        <w:kinsoku/>
        <w:wordWrap w:val="0"/>
        <w:overflowPunct/>
        <w:topLinePunct w:val="0"/>
        <w:autoSpaceDE/>
        <w:autoSpaceDN/>
        <w:bidi w:val="0"/>
        <w:adjustRightInd/>
        <w:snapToGrid w:val="0"/>
        <w:spacing w:line="400" w:lineRule="exact"/>
        <w:ind w:firstLine="640" w:firstLineChars="200"/>
        <w:jc w:val="both"/>
        <w:textAlignment w:val="auto"/>
        <w:rPr>
          <w:rFonts w:hint="default" w:ascii="Times New Roman" w:hAnsi="Times New Roman" w:eastAsia="仿宋_GB2312" w:cs="Times New Roman"/>
          <w:spacing w:val="0"/>
          <w:sz w:val="32"/>
          <w:szCs w:val="32"/>
          <w:lang w:val="en-US" w:eastAsia="zh-CN"/>
        </w:rPr>
        <w:sectPr>
          <w:footerReference r:id="rId4" w:type="first"/>
          <w:footerReference r:id="rId3" w:type="default"/>
          <w:pgSz w:w="11906" w:h="16838"/>
          <w:pgMar w:top="2098" w:right="1474" w:bottom="1701" w:left="1588" w:header="851" w:footer="992" w:gutter="0"/>
          <w:pgNumType w:fmt="decimal"/>
          <w:cols w:space="0" w:num="1"/>
          <w:titlePg/>
          <w:rtlGutter w:val="0"/>
          <w:docGrid w:type="lines" w:linePitch="312" w:charSpace="0"/>
        </w:sectPr>
      </w:pPr>
      <w:r>
        <w:rPr>
          <w:rFonts w:hint="default" w:ascii="Times New Roman" w:hAnsi="Times New Roman" w:eastAsia="仿宋_GB2312" w:cs="Times New Roman"/>
          <w:spacing w:val="0"/>
          <w:sz w:val="32"/>
          <w:szCs w:val="32"/>
          <w:lang w:val="en-US" w:eastAsia="zh-CN"/>
        </w:rPr>
        <w:t>（联系单位：省人力资源服务中心  0731-</w:t>
      </w:r>
      <w:r>
        <w:rPr>
          <w:rFonts w:hint="eastAsia" w:ascii="Times New Roman" w:hAnsi="Times New Roman" w:eastAsia="仿宋_GB2312" w:cs="Times New Roman"/>
          <w:spacing w:val="0"/>
          <w:sz w:val="32"/>
          <w:szCs w:val="32"/>
          <w:lang w:val="en-US" w:eastAsia="zh-CN"/>
        </w:rPr>
        <w:t>85063935</w:t>
      </w:r>
      <w:r>
        <w:rPr>
          <w:rFonts w:hint="default" w:ascii="Times New Roman" w:hAnsi="Times New Roman" w:eastAsia="仿宋_GB2312" w:cs="Times New Roman"/>
          <w:spacing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2" w:lineRule="exact"/>
        <w:jc w:val="both"/>
        <w:textAlignment w:val="auto"/>
        <w:rPr>
          <w:rFonts w:hint="default" w:ascii="Times New Roman" w:hAnsi="Times New Roman" w:eastAsia="黑体" w:cs="Times New Roman"/>
          <w:b w:val="0"/>
          <w:bCs/>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b w:val="0"/>
          <w:bCs/>
          <w:color w:val="000000" w:themeColor="text1"/>
          <w:spacing w:val="0"/>
          <w:sz w:val="32"/>
          <w:szCs w:val="32"/>
          <w:highlight w:val="none"/>
          <w:u w:val="none"/>
          <w:lang w:eastAsia="zh-CN"/>
          <w14:textFill>
            <w14:solidFill>
              <w14:schemeClr w14:val="tx1"/>
            </w14:solidFill>
          </w14:textFill>
        </w:rPr>
        <w:t>附件</w:t>
      </w:r>
    </w:p>
    <w:p>
      <w:pPr>
        <w:pStyle w:val="7"/>
        <w:keepNext w:val="0"/>
        <w:keepLines w:val="0"/>
        <w:pageBreakBefore w:val="0"/>
        <w:kinsoku/>
        <w:overflowPunct/>
        <w:topLinePunct w:val="0"/>
        <w:autoSpaceDE/>
        <w:autoSpaceDN/>
        <w:bidi w:val="0"/>
        <w:spacing w:line="572" w:lineRule="exact"/>
        <w:jc w:val="both"/>
        <w:textAlignment w:val="auto"/>
        <w:rPr>
          <w:rFonts w:hint="default" w:ascii="Times New Roman" w:hAnsi="Times New Roman" w:cs="Times New Roman"/>
          <w:color w:val="000000" w:themeColor="text1"/>
          <w:spacing w:val="0"/>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2" w:lineRule="exact"/>
        <w:jc w:val="center"/>
        <w:textAlignment w:val="auto"/>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pPr>
      <w:r>
        <w:rPr>
          <w:rFonts w:hint="default" w:ascii="Times New Roman" w:hAnsi="Times New Roman" w:eastAsia="方正小标宋简体" w:cs="Times New Roman"/>
          <w:b w:val="0"/>
          <w:bCs/>
          <w:color w:val="000000" w:themeColor="text1"/>
          <w:spacing w:val="0"/>
          <w:sz w:val="44"/>
          <w:szCs w:val="44"/>
          <w:highlight w:val="none"/>
          <w:u w:val="none"/>
          <w14:textFill>
            <w14:solidFill>
              <w14:schemeClr w14:val="tx1"/>
            </w14:solidFill>
          </w14:textFill>
        </w:rPr>
        <w:t>湖南省流动人员人事档案</w:t>
      </w:r>
      <w:r>
        <w:rPr>
          <w:rFonts w:hint="default" w:ascii="Times New Roman" w:hAnsi="Times New Roman" w:eastAsia="方正小标宋简体" w:cs="Times New Roman"/>
          <w:b w:val="0"/>
          <w:bCs/>
          <w:color w:val="000000" w:themeColor="text1"/>
          <w:spacing w:val="0"/>
          <w:sz w:val="44"/>
          <w:szCs w:val="44"/>
          <w:highlight w:val="none"/>
          <w:u w:val="none"/>
          <w:lang w:val="en-US" w:eastAsia="zh-CN"/>
          <w14:textFill>
            <w14:solidFill>
              <w14:schemeClr w14:val="tx1"/>
            </w14:solidFill>
          </w14:textFill>
        </w:rPr>
        <w:t>经办服务暂行规程</w:t>
      </w:r>
    </w:p>
    <w:p>
      <w:pPr>
        <w:keepNext w:val="0"/>
        <w:keepLines w:val="0"/>
        <w:pageBreakBefore w:val="0"/>
        <w:widowControl w:val="0"/>
        <w:kinsoku/>
        <w:wordWrap/>
        <w:overflowPunct/>
        <w:topLinePunct w:val="0"/>
        <w:autoSpaceDE/>
        <w:autoSpaceDN/>
        <w:bidi w:val="0"/>
        <w:adjustRightInd/>
        <w:snapToGrid/>
        <w:spacing w:line="572" w:lineRule="exact"/>
        <w:jc w:val="both"/>
        <w:textAlignment w:val="auto"/>
        <w:rPr>
          <w:rFonts w:hint="default" w:ascii="Times New Roman" w:hAnsi="Times New Roman" w:cs="Times New Roman" w:eastAsiaTheme="majorEastAsia"/>
          <w:b/>
          <w:color w:val="000000" w:themeColor="text1"/>
          <w:spacing w:val="0"/>
          <w:sz w:val="44"/>
          <w:szCs w:val="44"/>
          <w:highlight w:val="none"/>
          <w:u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2" w:lineRule="exact"/>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第一章 总</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ab/>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则</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rPr>
      </w:pPr>
    </w:p>
    <w:p>
      <w:pPr>
        <w:keepNext w:val="0"/>
        <w:keepLines w:val="0"/>
        <w:pageBreakBefore w:val="0"/>
        <w:widowControl w:val="0"/>
        <w:kinsoku/>
        <w:wordWrap/>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第一条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为统一和完善全省各级公共就业和人才服务机构流动人员人事档案</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经办</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服务规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程</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和基础标准</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进一步健全流动人员人事档案管理服务体系，依据《中华人民共和国档案法》</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中华人民共和国主席令第四十七号）</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、《中共中央组织部</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人力资源社会保障部等五部门关于进一步加强流动人员人事档案管理服务工作的通知》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人社部发〔2014</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90号</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中共中央组织部</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人力资源社会保障部等五部门</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关于印发〈流动人员人事档案管理服务规定〉的通知》（人社部发〔</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2021</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112号</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等相关文件规定，</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结合</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我省</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工作实际，</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制定本规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程</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流动人员人事档案管理范围</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（一）非公有制经济组织和社会组织聘用人员的人事档案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辞职辞退、解除（终止）聘用（劳动）合同、取消录（聘）用、被开除等与用人单位解除或终止人事（劳动）关系的未就业的原机关公务员、国有企事业单位的管理人员和专业技术人员、军队文职人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（三）</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未就业的高校毕业生及中专毕业生的人事档案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（四）自</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费出国（境）留学的高校毕业生及其他因私出国（境）人员的人事档案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（五）外国企业常驻代表机构的中方雇员的人事档案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（六）自由职业或灵活就业人员的人事档案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（七）其他流动人员的人事档案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三</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流动人员人事档案管理遵循</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集中统一，归口管理</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原则，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主管部门为政府人力资源社会保障部门，接受同级党委组织部门、档案主管部门的指导和监督。</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本规</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程</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适用于</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县级以上</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含县级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人民政府设立的公共就业和人才服务机构，以及经省级人力资源社会保障行政部门授权的单位</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开展流动人员人事档案管理服务及相关工作。</w:t>
      </w:r>
    </w:p>
    <w:p>
      <w:pPr>
        <w:keepNext w:val="0"/>
        <w:keepLines w:val="0"/>
        <w:pageBreakBefore w:val="0"/>
        <w:widowControl w:val="0"/>
        <w:kinsoku/>
        <w:wordWrap w:val="0"/>
        <w:overflowPunct w:val="0"/>
        <w:topLinePunct w:val="0"/>
        <w:autoSpaceDE/>
        <w:autoSpaceDN/>
        <w:bidi w:val="0"/>
        <w:spacing w:line="572" w:lineRule="exact"/>
        <w:ind w:right="0"/>
        <w:jc w:val="both"/>
        <w:textAlignment w:val="auto"/>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第二章 流动人员人事档案管理</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服务</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机构和</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职责</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lang w:val="en-US" w:eastAsia="zh-CN"/>
        </w:rPr>
      </w:pP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五</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 xml:space="preserve">条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流动人员人事档案管理</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服务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机构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（以下简称档案管理服务机构）包括</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县</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级</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以上</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（含县级）人民政府设立的公共就业和人才服务机构，以及经省级人力资源社会保障行政部门授权的单位。</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其他</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任何</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未经授权</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的单位</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不得</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开展</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管理服务工作。</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严禁个人保管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本人或他人</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人事档案。</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六</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档案管理服务机构应当提供以下服务：</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（一）档案的接收、转递</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（二）档案材料的收集、鉴别和归档</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（三）档案的整理和保管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（四）为符合相关规定的单位提供档案查（借）阅服务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（五）依据档案记载出具存档、经历、亲属关系等相关证明材料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u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（六）为相关单位提供入党、参军、录（聘）用、出国（境）等政审考察服务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u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七</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党员组织关系的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接转</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等。</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七</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流动人员人事档案按有利于工作和档案利用的原则，跨地区</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就业创业</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本人选择，</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由其户籍所在地或现工作单位所在地的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市州、县（市区）档案管理服务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机构管理。</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机关、国有企事业单位工作人员或职工、军队文职人员与用人单位解除或终止人事（劳动）关系后未就业的，其档案转由其原用人单位同级</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或流动人员户籍所在地</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档案管理服务机构接收。各级档案管理服务机构承担同级在市场监管、民政、司法、注册会计等部门注册（或登记管理）的非公有制经济组织或社会组织聘用人员的人事档案管理。</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八</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条</w:t>
      </w:r>
      <w:r>
        <w:rPr>
          <w:rFonts w:hint="default" w:ascii="Times New Roman" w:hAnsi="Times New Roman" w:eastAsia="仿宋_GB2312" w:cs="Times New Roman"/>
          <w:color w:val="000000" w:themeColor="text1"/>
          <w:spacing w:val="0"/>
          <w:kern w:val="0"/>
          <w:sz w:val="32"/>
          <w:szCs w:val="32"/>
          <w:highlight w:val="none"/>
          <w:shd w:val="clear" w:color="auto" w:fill="FFFFFF"/>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t>档案管理服务机构应当提供免费的流动人员人事档案基本公共服务，不得收取档案保管费、查阅费、证明费、转递费等名目的费用。</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九</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条</w:t>
      </w:r>
      <w:r>
        <w:rPr>
          <w:rFonts w:hint="default" w:ascii="Times New Roman" w:hAnsi="Times New Roman" w:eastAsia="仿宋_GB2312" w:cs="Times New Roman"/>
          <w:b/>
          <w:bCs/>
          <w:color w:val="000000" w:themeColor="text1"/>
          <w:spacing w:val="0"/>
          <w:kern w:val="0"/>
          <w:sz w:val="32"/>
          <w:szCs w:val="32"/>
          <w:highlight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t>流动人员人事档案基本公共服务相关经费列入本级财政预算，参考保管的流动人员人事档案数量等因素合理确定经费数额。</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 xml:space="preserve">第十条 </w:t>
      </w:r>
      <w:r>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t>档案管理服务机构应当保证工作力量，选配政治素质好、专业能力强、作风正派的人员专职从事流动人员人事档案工作，关键核心岗位应当选配中共党员。按照规定实行回避制度，从严管理工作人员，加强业务培训，强化激励保障。</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0"/>
          <w:sz w:val="32"/>
          <w:szCs w:val="32"/>
          <w:highlight w:val="none"/>
          <w:shd w:val="clear" w:color="auto" w:fill="FFFFFF"/>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第三章 流动人员人事档案</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管理</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服务内容、标准及流程</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lang w:val="en-US" w:eastAsia="zh-CN"/>
        </w:rPr>
      </w:pP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一</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转入申请</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流动人员人事档案管理分为个人存档和单位集体委托存档两种形式：</w:t>
      </w:r>
    </w:p>
    <w:p>
      <w:pPr>
        <w:keepNext w:val="0"/>
        <w:keepLines w:val="0"/>
        <w:pageBreakBefore w:val="0"/>
        <w:widowControl w:val="0"/>
        <w:numPr>
          <w:ilvl w:val="0"/>
          <w:numId w:val="1"/>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个人</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存档</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申请材料：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1.在</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户籍所在地存档</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需提供：</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存档人员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有效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身份证</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件</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及</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户籍卡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2.在现</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工作单位所在地存档</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需提供：</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存档人员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有效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身份</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证件</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劳动合同或就业协议书。</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singl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在</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原工作单位所在地存档</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需提供：</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存档人员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有效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身份证</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件及社保参保缴费明细证明。</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4.</w:t>
      </w:r>
      <w:r>
        <w:rPr>
          <w:rFonts w:hint="default" w:ascii="Times New Roman" w:hAnsi="Times New Roman" w:eastAsia="仿宋_GB2312" w:cs="Times New Roman"/>
          <w:b w:val="0"/>
          <w:bCs w:val="0"/>
          <w:color w:val="000000" w:themeColor="text1"/>
          <w:spacing w:val="0"/>
          <w:sz w:val="32"/>
          <w:szCs w:val="32"/>
          <w:highlight w:val="none"/>
          <w:u w:val="none"/>
          <w:lang w:val="zh-CN" w:eastAsia="zh-CN"/>
          <w14:textFill>
            <w14:solidFill>
              <w14:schemeClr w14:val="tx1"/>
            </w14:solidFill>
          </w14:textFill>
        </w:rPr>
        <w:t>未就业的应届</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高校</w:t>
      </w:r>
      <w:r>
        <w:rPr>
          <w:rFonts w:hint="default" w:ascii="Times New Roman" w:hAnsi="Times New Roman" w:eastAsia="仿宋_GB2312" w:cs="Times New Roman"/>
          <w:b w:val="0"/>
          <w:bCs w:val="0"/>
          <w:color w:val="000000" w:themeColor="text1"/>
          <w:spacing w:val="0"/>
          <w:sz w:val="32"/>
          <w:szCs w:val="32"/>
          <w:highlight w:val="none"/>
          <w:u w:val="none"/>
          <w:lang w:val="zh-CN" w:eastAsia="zh-CN"/>
          <w14:textFill>
            <w14:solidFill>
              <w14:schemeClr w14:val="tx1"/>
            </w14:solidFill>
          </w14:textFill>
        </w:rPr>
        <w:t>毕业生</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在户籍所在地存档</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时，应填写档案转递申请表，高校档案管理部门根据学生填写的档案转递单位填写档案转递通知单，并附档案目录清单，以机要通信、专人送取或邮政特快等给据邮件方式转递，严禁个人自带档案，无需开具《</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流动人员人事档案</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调档函》。</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办理流程：</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b w:val="0"/>
          <w:bCs w:val="0"/>
          <w:color w:val="000000" w:themeColor="text1"/>
          <w:spacing w:val="0"/>
          <w:sz w:val="32"/>
          <w:szCs w:val="32"/>
          <w:highlight w:val="none"/>
          <w:u w:val="none"/>
          <w:lang w:val="zh-CN" w:eastAsia="zh-CN"/>
          <w14:textFill>
            <w14:solidFill>
              <w14:schemeClr w14:val="tx1"/>
            </w14:solidFill>
          </w14:textFill>
        </w:rPr>
        <w:t>存档人</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持申请</w:t>
      </w:r>
      <w:r>
        <w:rPr>
          <w:rFonts w:hint="default" w:ascii="Times New Roman" w:hAnsi="Times New Roman" w:eastAsia="仿宋_GB2312" w:cs="Times New Roman"/>
          <w:b w:val="0"/>
          <w:bCs w:val="0"/>
          <w:color w:val="000000" w:themeColor="text1"/>
          <w:spacing w:val="0"/>
          <w:sz w:val="32"/>
          <w:szCs w:val="32"/>
          <w:highlight w:val="none"/>
          <w:u w:val="none"/>
          <w:lang w:val="zh-CN" w:eastAsia="zh-CN"/>
          <w14:textFill>
            <w14:solidFill>
              <w14:schemeClr w14:val="tx1"/>
            </w14:solidFill>
          </w14:textFill>
        </w:rPr>
        <w:t>材料</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向拟接收档案管理服务机构申请档案转入。</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2.工作人员对提交材料进行审核，审核合格后，开具《流动人员人事档案调档函》。</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3.存档人员持《流动人员人事档案调档函》回原存档单位办理转档手续。</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原</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在</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机关、国有企事业单位</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的</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工作人员或职工、军队文职人员</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需提供</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与用人单位解除或终止人事（劳动）关系</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证明材料。</w:t>
      </w:r>
    </w:p>
    <w:p>
      <w:pPr>
        <w:keepNext w:val="0"/>
        <w:keepLines w:val="0"/>
        <w:pageBreakBefore w:val="0"/>
        <w:widowControl w:val="0"/>
        <w:numPr>
          <w:ilvl w:val="0"/>
          <w:numId w:val="0"/>
        </w:numPr>
        <w:kinsoku/>
        <w:wordWrap w:val="0"/>
        <w:overflowPunct w:val="0"/>
        <w:topLinePunct w:val="0"/>
        <w:autoSpaceDE/>
        <w:autoSpaceDN/>
        <w:bidi w:val="0"/>
        <w:adjustRightInd/>
        <w:snapToGrid/>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2.凡委托他人代办业务的，另需提供委托书（附件1）及存档人员有效身份证件复印件和经办人有效身份证件原件及复印件</w:t>
      </w:r>
      <w:r>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adjustRightInd/>
        <w:snapToGrid/>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val="zh-CN"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t>3.个人存档申请分为窗口办理和网上办理两种方式，窗口办理时限为即日办结，网上办理时限为3个工作日内办结。</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）单位集体委托</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存档</w:t>
      </w:r>
    </w:p>
    <w:p>
      <w:pPr>
        <w:keepNext w:val="0"/>
        <w:keepLines w:val="0"/>
        <w:pageBreakBefore w:val="0"/>
        <w:widowControl w:val="0"/>
        <w:kinsoku/>
        <w:wordWrap w:val="0"/>
        <w:overflowPunct w:val="0"/>
        <w:topLinePunct w:val="0"/>
        <w:autoSpaceDE/>
        <w:autoSpaceDN/>
        <w:bidi w:val="0"/>
        <w:adjustRightInd w:val="0"/>
        <w:snapToGrid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申请材料：</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单位</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工商营业执照或组织机构代码证等</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注册登记</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的</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有效</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证件</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2.单位开具的介绍信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3.单位法人有效身份证复印件。</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4.经办人员有效身份证</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件。</w:t>
      </w:r>
    </w:p>
    <w:p>
      <w:pPr>
        <w:keepNext w:val="0"/>
        <w:keepLines w:val="0"/>
        <w:pageBreakBefore w:val="0"/>
        <w:widowControl w:val="0"/>
        <w:kinsoku/>
        <w:wordWrap w:val="0"/>
        <w:overflowPunct w:val="0"/>
        <w:topLinePunct w:val="0"/>
        <w:autoSpaceDE/>
        <w:autoSpaceDN/>
        <w:bidi w:val="0"/>
        <w:adjustRightInd w:val="0"/>
        <w:snapToGrid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办理流程：</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单位</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持申请材料，</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填写《</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单位委托集体存档申请书</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》（附件</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2</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向其注册机构同级的档案管理服务机构</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申请开设单位委托集体存档账户。</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i w:val="0"/>
          <w:iCs w:val="0"/>
          <w:caps w:val="0"/>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2.工作人员对提交材料进行审核，审核合格后，</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签订</w:t>
      </w:r>
      <w:r>
        <w:rPr>
          <w:rStyle w:val="12"/>
          <w:rFonts w:hint="eastAsia"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流动人员人事档案单位委托集体存档服务协议</w:t>
      </w:r>
      <w:r>
        <w:rPr>
          <w:rStyle w:val="12"/>
          <w:rFonts w:hint="eastAsia"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（附件3）</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3.出示单位盖章的《拟委托存档人员名单》（附件4）、拟委托存档人员的劳动（聘用）合同。</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4.工作人员对提交材料进行审核，审核合格后，开具《流动人员人事档案调档函》。</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5.存档（经办）人员持《流动人员人事档案调档函》回原存档单位办理转档手续。</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6.存档单位注销集体账户时，档案管理服务机构应当配合转递相关流动人员人事档案，或调整为个人存档。</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原</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在</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机关、国有企事业单位</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的</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工作人员或职工、军队文职人员</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需提供</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与用人单位解除或终止人事（劳动）关系</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证明材料。</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单位</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经办人员可通过网上办理提交单位</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工商营业执照或组织机构代码证等</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注册登记</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的</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有效</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证件</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原件照片进行资格预审，预审时限为3个工作日内。预审通过的，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可根据预审结果持申请材料前往</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拟接收档案管理服务机构办理相关事项。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 xml:space="preserve">条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流动人员人事档案接收</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接收流动人员人事档案时实行告知承诺制。拟接收的档案管理服务机构应当对照材料目录清单认真审核甄别，对缺少关键材料的，一次性告知所缺材料及其可能造成的影响，经本人作出书面知情说明、承诺补充材料后予以接收，或与原工作单位协商退回并补充材料；对缺少非关键材料的，应当采取先存后补方式予以接收，并督促指导流动人员补充相关缺失材料。</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（二）关键材料一般是指用于核定流动人员的出生日期、参加工作时间、入党时间、学历学位、工作经历等重要信息的材料。   </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三</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行政</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工资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介绍信、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转正定级表、</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调整改派手续</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、就业报到证</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等材料不再作为接收审核流动人员人事档案必备材料。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办理流程：</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pP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1.</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档案管理服务机构接收档案</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时</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应</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查验档案的密封状况，</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对档案的真实性、准确性、完整性、规范性进行审核。</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14:textFill>
            <w14:solidFill>
              <w14:schemeClr w14:val="tx1"/>
            </w14:solidFill>
          </w14:textFill>
        </w:rPr>
      </w:pP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2.符合接收要求的，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按照应采必采原则，</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及时</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在</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人事档案信息管理系统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对档案基础信息进行采集，分配档案位置后入库</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保存。不符合要求的，应退回原档案管理单位。</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3.档案接收后，应在原档案管理单位开具的档案转递通知单回执上盖章后寄回。</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pP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已就业人员档案。</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已就业人员档案是指已参加社会工作，档案在原工作单位或档案管理服务机构管理的人员档案。已就业人员档案材料</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eastAsia="zh-CN"/>
          <w14:textFill>
            <w14:solidFill>
              <w14:schemeClr w14:val="tx1"/>
            </w14:solidFill>
          </w14:textFill>
        </w:rPr>
        <w:t>范围包括</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履历</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自传</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和思想类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考核鉴定类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学历学位、专业技术职称</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职务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学术评鉴和教育培训类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政审、审计和审核类材料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党、团类材料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表彰奖励</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违规违纪违法处理处分类材料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工资、任免、出国和会议代表类材料</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其他可供</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组织参</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考的材料</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高校毕业生档案。毕业生档案材料主要包括高中毕业生登记表或中专毕业生登记表；高校招生考生报名登记表；学历成绩表；高校毕业生登记表；党、团类材料等。</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国家承认的非统招学历人员档案。国家承认的非统招学历人员档案是指无其他正式人事档案，初或高中毕业后未考取统招的大中专院校且毕业的人员档案。档案材料主要包括高中毕业生登记表、高校毕业生登记表、成绩单和国家教育部学信网学历认证报告（或学历电子注册备案表打印件）等。</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highlight w:val="none"/>
          <w:u w:val="none"/>
          <w:lang w:val="en-US" w:eastAsia="zh-CN"/>
          <w14:textFill>
            <w14:solidFill>
              <w14:schemeClr w14:val="tx1"/>
            </w14:solidFill>
          </w14:textFill>
        </w:rPr>
        <w:t>4</w:t>
      </w:r>
      <w:r>
        <w:rPr>
          <w:rFonts w:hint="default" w:ascii="Times New Roman" w:hAnsi="Times New Roman" w:eastAsia="仿宋_GB2312" w:cs="Times New Roman"/>
          <w:color w:val="000000" w:themeColor="text1"/>
          <w:spacing w:val="0"/>
          <w:kern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留学回国人员档案。留学回国人员留学前已有人事档案的，应将国外留学相关材料（包含国外学历学位证书、成绩单及教育部留学服务中心的学历学位认证报告原件用于现场审核）的复印件作为补充材料与原人事档案合并归档；留学前无人事档案的，则将国外留学相关材料的复印件用于新建档案。</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三</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 xml:space="preserve">条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流动人员人事档案转出</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个人存档转出</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申请材料：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《调档函》</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2.存档人员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有效身份证</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件</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（二）单位集体委托存档转出</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申请材料：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《调档函》。</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2.存档人员</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有效身份证</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件</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委托存档单位介绍信（</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附件5</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4.委托存档单位辞职、辞退或解除（终止）劳动合同（聘用合同）的证明。</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办理流程：</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存档（经办）人员持申请材料向档案管理服务机构申请调档。</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档案管理服务机构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审核申请材料并核实存档信息，审核合格后，</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办理档案转出登记</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手续。</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u w:val="none"/>
          <w:lang w:val="zh-CN" w:eastAsia="zh-CN"/>
          <w14:textFill>
            <w14:solidFill>
              <w14:schemeClr w14:val="tx1"/>
            </w14:solidFill>
          </w14:textFill>
        </w:rPr>
        <w:t>档案管理服务机构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通过</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机要通信、专人送取或邮政特快等给据邮件方式</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转递档案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4.存档人员如在存档公共就业和人才服务机构办理了户口和党员组织关系挂靠的，应在转档前迁出户口、转出党员组织关系。</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开具《调档函》的单位应是</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县级以上（含县级）人民政府设立的公共就业和人才服务机构，以及经省级人力资源社会保障行政部门授权的单位、</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国有企事业单位、党政机关或军队</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。其它非</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公有制经济组织或社会组织</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开具的《调档函》不予调转。</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档案转出前应认真核对，确保人档一致，防止错寄、漏寄。</w:t>
      </w:r>
    </w:p>
    <w:p>
      <w:pPr>
        <w:keepNext w:val="0"/>
        <w:keepLines w:val="0"/>
        <w:pageBreakBefore w:val="0"/>
        <w:widowControl w:val="0"/>
        <w:numPr>
          <w:ilvl w:val="0"/>
          <w:numId w:val="0"/>
        </w:numPr>
        <w:kinsoku/>
        <w:wordWrap w:val="0"/>
        <w:overflowPunct w:val="0"/>
        <w:topLinePunct w:val="0"/>
        <w:autoSpaceDE/>
        <w:autoSpaceDN/>
        <w:bidi w:val="0"/>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凡委托他人代办业务的，另需提供委托书及存档人员有效身份证件复印件和经办人有效身份证件原件及复印件</w:t>
      </w:r>
      <w:r>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t>4.档案转出分为窗口办理和网上办理两种方式，窗口办理时限为即日受理，网上办理时限为3个工作日内受理。</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singl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应对</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转出的档案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按规定进行审核</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对符合转递规定的，填写材料目录清单后严密包封，并填写档案转递通知单，</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于10个工作日内进行转递；对不符合转递规定的，不得转出。</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6.</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转递应当通过机要通信、专人送取或邮政特快专递等给据邮件方式进行。对曾属于党政领导干部、机关公务员、参照公务员法管理的机关（单位）工作人员（工勤人员除外），国有企事业单位领导人员、管理人员和专业技术人员，军队文职人员人事档案的，应当通过机要通信或专人送取方式进行转递。严禁个人自带档案。</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7.</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档案转出后，应</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将机要编号或</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EMS单号录入</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信息</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管理系统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，并将调档函件、</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《流动人员人事档案转递通知单</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存根》和</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机要单</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或</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EMS快递单</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等资料及时整理</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归入文书档案保存，以便后续</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核查。</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 xml:space="preserve">条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流动人员人事档案材料收集</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、鉴别和归档</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申请材料：</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个人存档提供：存档</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人</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员有效身份证件、档案材料原件。</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单位集体委托存档提供：存档（经办）人员有效身份证件、档案材料原件、委托存档单位介绍信。</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办理流程：</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存档（经办）人员持申请材料向</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现存档单位提交申请</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2.工作人员对</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材料进行鉴别，</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是否属于归档范围</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。属于归档范围的，将材料归入档案；不属于归档范围的，予以退回。不符合要求的归档材料，告知材料形成单位重新制作或补办手续。</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3.</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对补充档案材料进行收集登记，</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并在</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5个工作日内将材料归入本人档案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1.凡委托他人代办业务的，另需提供委托书及存档人员有效身份证件复印件和经办人有效身份证件原件及复印件</w:t>
      </w:r>
      <w:r>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Style w:val="12"/>
          <w:rFonts w:hint="default" w:ascii="Times New Roman" w:hAnsi="Times New Roman" w:eastAsia="仿宋_GB2312" w:cs="Times New Roman"/>
          <w:b w:val="0"/>
          <w:bCs/>
          <w:i w:val="0"/>
          <w:iCs w:val="0"/>
          <w:caps w:val="0"/>
          <w:color w:val="000000" w:themeColor="text1"/>
          <w:spacing w:val="0"/>
          <w:kern w:val="2"/>
          <w:sz w:val="32"/>
          <w:szCs w:val="32"/>
          <w:highlight w:val="none"/>
          <w:u w:val="none"/>
          <w:shd w:val="clear" w:color="auto" w:fill="FFFFFF"/>
          <w:lang w:val="en-US" w:eastAsia="zh-CN" w:bidi="ar-SA"/>
          <w14:textFill>
            <w14:solidFill>
              <w14:schemeClr w14:val="tx1"/>
            </w14:solidFill>
          </w14:textFill>
        </w:rPr>
        <w:t>2.档案管理服务机构应加强与存档人员本人、工作单位及相关部门的联系，督促及时补充材料，充实档案内容。</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3.</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14:textFill>
            <w14:solidFill>
              <w14:schemeClr w14:val="tx1"/>
            </w14:solidFill>
          </w14:textFill>
        </w:rPr>
        <w:t>收集的档案材料应属于档案组成类别要求，且为原件、真实完整和有效的材料。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证书、证件等特殊情况需用复印件存档的，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应由材料制作单位</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注明复制时间并加盖</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公章。</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4.档案管理服务机构应</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严格审核归档材料，重点审核归档材料是否办理完毕，是否对象明确、完整</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齐全</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、文字清楚、内容真实、填写规范、手续完备。对</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符合归档要求的材料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，要履行签收登记手续，</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并更新档案数据库有关信息。</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成套材料必须头尾完整，缺少的档案材料应当进行登记并及时收集补充</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Style w:val="12"/>
          <w:rFonts w:hint="default" w:ascii="Times New Roman" w:hAnsi="Times New Roman" w:eastAsia="仿宋_GB2312" w:cs="Times New Roman"/>
          <w:b w:val="0"/>
          <w:bCs/>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归档材料填写不规范，手续不完备，或</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材料上的姓名、出生时间、参加工作时间和入党时间等与档案记载不一致的，材料形成部门应当重新制作</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或补办手续。</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6.</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归档材料应采用</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16开型（260㎜×184㎜）或国际标准</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A4</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纸</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型</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297</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210mm</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）的公文用纸，</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材料左边应留有</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20</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25mm的装订边</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字迹材料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应当符合档案保护的要求。</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7.归档时应认真核对存档人相关信息，确保材料准确归入本人档案。</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8.已完成数字化加工的档案，收集的补充材料应在归档前进行数字化加工。</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五</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 xml:space="preserve">条 </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流动人员人事档案材料整理</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档案管理服务机构开展流动人员人事档案整理工作按照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《关于印发〈湖南省流动人员人事档案整理工作标准〉〈湖南省流动人员人事档案数字化扫描工作标准〉的通知》（湘人服〔</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2021</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13号</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执行。</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整理要求。</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档案管理服务机构应按照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分类准确、编排有序、目录清楚、装订整齐</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的要求整理档案，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使每卷档案达到完整、真实、条理、精炼、实用的要求。</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整理（含数字化加工）程序</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分类。</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应根据材料的主要内容或用途确定类别，包括</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第一类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履历</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第二类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自传</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和思想类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第三类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考核鉴定类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第四类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学历学位、专业技术职称</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职务</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学术评鉴和教育培训类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第五类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政审、审计和审核类材料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第六类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党、团类材料。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第七类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表彰奖励</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类</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第八类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违规违纪违法处理处分类材料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第九类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工资、任免、出国和会议代表类材料</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第十类</w:t>
      </w:r>
      <w:r>
        <w:rPr>
          <w:rFonts w:hint="default" w:ascii="Times New Roman" w:hAnsi="Times New Roman" w:eastAsia="仿宋_GB2312" w:cs="Times New Roman"/>
          <w:color w:val="000000" w:themeColor="text1"/>
          <w:spacing w:val="0"/>
          <w:sz w:val="32"/>
          <w:szCs w:val="32"/>
          <w:highlight w:val="none"/>
          <w:u w:val="none"/>
          <w:lang w:val="e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其他可供</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组织参</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考的材料。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2.排序。应根据档案材料形成时间或材料内容的主次关系进行排序。</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材料编目。</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应根据档案材料类别及排列顺序编写档案材料目录。</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技术加工。档案材料载体变质或字迹褪色不清时，应采用修复、复印等方法进行抢救。对纸张不规则、破损、卷角、折皱的材料，应使用折叠、裱糊等方法进行加工。加工应不影响材料的完整且不损伤字迹。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5</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材料扫描与图像处理</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扫描图像必须完整、清晰且与原件一致，不得漏扫、重扫。图像文字清晰，便于清楚阅读。</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6</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材料装订。装订前应将材料上的</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曲别针、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大头针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及有锈迹的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订书钉等金属物拆除，再理齐全卷材料，在材料左侧竖直打上装订孔，装订成卷。</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7.质检入库。在档案整理（含数字化加工）完毕后，应及时分批次按标准对档案整理、档案数字化成果进行质检，经质检合格的，方能入库。</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六</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阅</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阅</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服务事项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政治审查、发展党员、党员教育、党员管理等。</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t>选拔</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录</w:t>
      </w:r>
      <w:r>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t>（聘）</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用、考核、考察、任免、调配、职级晋升、教育培养、职称评聘、表彰奖励、工资待遇、公务员登记备案、退（离）休、社会保险、治丧等</w:t>
      </w:r>
      <w:r>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3.因公出国（境），</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人才引进、培养、评选、推送等</w:t>
      </w:r>
      <w:r>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巡视、巡察，选人用人检查、违规选人用人问题查核，组织</w:t>
      </w:r>
      <w:r>
        <w:rPr>
          <w:rStyle w:val="15"/>
          <w:rFonts w:hint="default" w:ascii="Times New Roman" w:hAnsi="Times New Roman" w:eastAsia="仿宋_GB2312" w:cs="Times New Roman"/>
          <w:color w:val="000000" w:themeColor="text1"/>
          <w:spacing w:val="-6"/>
          <w:sz w:val="32"/>
          <w:szCs w:val="32"/>
          <w:highlight w:val="none"/>
          <w14:textFill>
            <w14:solidFill>
              <w14:schemeClr w14:val="tx1"/>
            </w14:solidFill>
          </w14:textFill>
        </w:rPr>
        <w:t>处理，党纪政务处分，涉嫌违法犯罪的调查取证、案件查办等</w:t>
      </w:r>
      <w:r>
        <w:rPr>
          <w:rStyle w:val="15"/>
          <w:rFonts w:hint="default" w:ascii="Times New Roman" w:hAnsi="Times New Roman" w:eastAsia="仿宋_GB2312" w:cs="Times New Roman"/>
          <w:color w:val="000000" w:themeColor="text1"/>
          <w:spacing w:val="-6"/>
          <w:sz w:val="32"/>
          <w:szCs w:val="32"/>
          <w:highlight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经具有干部管理权限的党委（党组）、组织人事部门批准的编史修志，撰写大事记、人物传记，举办展览、纪念活动等</w:t>
      </w:r>
      <w:r>
        <w:rPr>
          <w:rStyle w:val="15"/>
          <w:rFonts w:hint="default" w:ascii="Times New Roman" w:hAnsi="Times New Roman" w:eastAsia="仿宋_GB2312" w:cs="Times New Roman"/>
          <w:color w:val="000000" w:themeColor="text1"/>
          <w:spacing w:val="0"/>
          <w:sz w:val="32"/>
          <w:szCs w:val="32"/>
          <w:highlight w:val="none"/>
          <w:lang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6.</w:t>
      </w:r>
      <w:r>
        <w:rPr>
          <w:rStyle w:val="15"/>
          <w:rFonts w:hint="default" w:ascii="Times New Roman" w:hAnsi="Times New Roman" w:eastAsia="仿宋_GB2312" w:cs="Times New Roman"/>
          <w:color w:val="000000" w:themeColor="text1"/>
          <w:spacing w:val="0"/>
          <w:sz w:val="32"/>
          <w:szCs w:val="32"/>
          <w:highlight w:val="none"/>
          <w14:textFill>
            <w14:solidFill>
              <w14:schemeClr w14:val="tx1"/>
            </w14:solidFill>
          </w14:textFill>
        </w:rPr>
        <w:t>其他因工作需要利用的事项。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阅</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服务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要求</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0"/>
          <w:sz w:val="32"/>
          <w:szCs w:val="32"/>
          <w:highlight w:val="none"/>
          <w:u w:val="none"/>
          <w:shd w:val="clear" w:color="auto" w:fill="FFFFFF"/>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b w:val="0"/>
          <w:bCs w:val="0"/>
          <w:color w:val="000000" w:themeColor="text1"/>
          <w:spacing w:val="0"/>
          <w:kern w:val="0"/>
          <w:sz w:val="32"/>
          <w:szCs w:val="32"/>
          <w:highlight w:val="none"/>
          <w:u w:val="none"/>
          <w:shd w:val="clear" w:color="auto" w:fill="FFFFFF"/>
          <w:lang w:val="en-US" w:eastAsia="zh-CN"/>
          <w14:textFill>
            <w14:solidFill>
              <w14:schemeClr w14:val="tx1"/>
            </w14:solidFill>
          </w14:textFill>
        </w:rPr>
        <w:t>档案管理服务机构应设置专门的阅档室。</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0"/>
          <w:sz w:val="32"/>
          <w:szCs w:val="32"/>
          <w:highlight w:val="none"/>
          <w:u w:val="none"/>
          <w:shd w:val="clear" w:color="auto" w:fill="FFFFFF"/>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14:textFill>
            <w14:solidFill>
              <w14:schemeClr w14:val="tx1"/>
            </w14:solidFill>
          </w14:textFill>
        </w:rPr>
        <w:t>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14:textFill>
            <w14:solidFill>
              <w14:schemeClr w14:val="tx1"/>
            </w14:solidFill>
          </w14:textFill>
        </w:rPr>
        <w:t>阅单位应派专人（两名以上，一般为中共党员）进行人事档案查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14:textFill>
            <w14:solidFill>
              <w14:schemeClr w14:val="tx1"/>
            </w14:solidFill>
          </w14:textFill>
        </w:rPr>
        <w:t>阅。查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14:textFill>
            <w14:solidFill>
              <w14:schemeClr w14:val="tx1"/>
            </w14:solidFill>
          </w14:textFill>
        </w:rPr>
        <w:t>阅人应持有效身份证件和所在单位介绍信以及被查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14:textFill>
            <w14:solidFill>
              <w14:schemeClr w14:val="tx1"/>
            </w14:solidFill>
          </w14:textFill>
        </w:rPr>
        <w:t>阅人有效身份证件复印件。</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档案管理服务机构应告知查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借</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阅人</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不得涂改、圈划、抽取、撤换、伪造、损毁档案材料，不得泄露或擅自向外公布档案内容</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档案管理服务机构应告知查（借）阅人</w:t>
      </w:r>
      <w:r>
        <w:rPr>
          <w:rFonts w:hint="default" w:ascii="Times New Roman" w:hAnsi="Times New Roman" w:eastAsia="仿宋_GB2312" w:cs="Times New Roman"/>
          <w:b w:val="0"/>
          <w:bCs w:val="0"/>
          <w:color w:val="000000" w:themeColor="text1"/>
          <w:spacing w:val="0"/>
          <w:kern w:val="0"/>
          <w:sz w:val="32"/>
          <w:szCs w:val="32"/>
          <w:highlight w:val="none"/>
          <w:u w:val="none"/>
          <w:shd w:val="clear" w:color="auto" w:fill="FFFFFF"/>
          <w:lang w:val="en-US" w:eastAsia="zh-CN"/>
          <w14:textFill>
            <w14:solidFill>
              <w14:schemeClr w14:val="tx1"/>
            </w14:solidFill>
          </w14:textFill>
        </w:rPr>
        <w:t>在规定时限内完成查阅，</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查（借）阅人</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不得擅自复制、拍摄档案内容</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查</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借</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阅单位确因工作需要从档案中取证的，应</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说明理由，经档案管理服务机构审核同意后复制或拍摄。</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档案管理服务机构对高级专业技术人员、涉及国家秘密的流动人员人事档案要从严保管，严格查阅手续。</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6.</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任何个人不得查（借）阅本人、配偶、直系血亲、三代以内旁系血亲、近姻亲人员的人事档案</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（三）档案查阅流程</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申请材料：</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1.个人存档提供：查阅单位介绍信、查阅人有效身份证件和被查阅人有效身份证复印件。</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2.单位集体委托存档提供：查阅单位介绍信、查阅人有效身份证件、被查阅人有效身份证复印件和委托存档单位介绍信。</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办理流程：</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b w:val="0"/>
          <w:bCs w:val="0"/>
          <w:i w:val="0"/>
          <w:iCs w:val="0"/>
          <w:caps w:val="0"/>
          <w:color w:val="000000" w:themeColor="text1"/>
          <w:spacing w:val="0"/>
          <w:sz w:val="32"/>
          <w:szCs w:val="32"/>
          <w:highlight w:val="none"/>
          <w:u w:val="none"/>
          <w14:textFill>
            <w14:solidFill>
              <w14:schemeClr w14:val="tx1"/>
            </w14:solidFill>
          </w14:textFill>
        </w:rPr>
      </w:pP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1</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查阅人持申请材料向档案管理服务机构申请。</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b w:val="0"/>
          <w:bCs w:val="0"/>
          <w:i w:val="0"/>
          <w:iCs w:val="0"/>
          <w:caps w:val="0"/>
          <w:color w:val="000000" w:themeColor="text1"/>
          <w:spacing w:val="0"/>
          <w:sz w:val="32"/>
          <w:szCs w:val="32"/>
          <w:highlight w:val="none"/>
          <w:u w:val="none"/>
          <w14:textFill>
            <w14:solidFill>
              <w14:schemeClr w14:val="tx1"/>
            </w14:solidFill>
          </w14:textFill>
        </w:rPr>
      </w:pP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2</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档案管理服务机构审核查阅申请材料，履行查阅登记手续，根据规定和需要提供档案材料。</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firstLine="640" w:firstLineChars="200"/>
        <w:jc w:val="both"/>
        <w:textAlignment w:val="auto"/>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pP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eastAsia="zh-CN"/>
          <w14:textFill>
            <w14:solidFill>
              <w14:schemeClr w14:val="tx1"/>
            </w14:solidFill>
          </w14:textFill>
        </w:rPr>
        <w:t>3</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查阅人按要求查阅档案。</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firstLine="640" w:firstLineChars="200"/>
        <w:jc w:val="both"/>
        <w:textAlignment w:val="auto"/>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pP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4.</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查阅结束后，</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工作人员</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应</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认真检查核对档案材料，</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核对无误后入库</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管理</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，查阅申请材料</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归入文书档案保存</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（四）档案借阅流程</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申请材料：</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1.个人存档提供：单位借阅函件、借阅人有效身份证件和存档人员有效身份证复印件。</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b w:val="0"/>
          <w:bCs w:val="0"/>
          <w:i w:val="0"/>
          <w:iCs w:val="0"/>
          <w:caps w:val="0"/>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2.单位集体委托存档提供：</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单位借阅函件、</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借阅人有效身份证件和存档人员有效身份证复印件</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、委托存档单位介绍信。</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t>办理流程：</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1.借</w:t>
      </w:r>
      <w:r>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t>阅人持申请材料向档案管理服务机构申请。</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2.档案管理服务机构审核借阅申请材料，履行借阅审批和登记手续，告知借阅人归还日期，</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按照规范转递档案</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rightChars="0" w:firstLine="640" w:firstLineChars="200"/>
        <w:jc w:val="both"/>
        <w:textAlignment w:val="auto"/>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3.</w:t>
      </w:r>
      <w:r>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t>工作人员应严格审核</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借</w:t>
      </w:r>
      <w:r>
        <w:rPr>
          <w:rFonts w:hint="default" w:ascii="Times New Roman" w:hAnsi="Times New Roman" w:eastAsia="仿宋_GB2312" w:cs="Times New Roman"/>
          <w:b w:val="0"/>
          <w:bCs w:val="0"/>
          <w:color w:val="000000" w:themeColor="text1"/>
          <w:spacing w:val="0"/>
          <w:kern w:val="2"/>
          <w:sz w:val="32"/>
          <w:szCs w:val="32"/>
          <w:highlight w:val="none"/>
          <w:u w:val="none"/>
          <w:lang w:val="zh-CN" w:eastAsia="zh-CN" w:bidi="ar-SA"/>
          <w14:textFill>
            <w14:solidFill>
              <w14:schemeClr w14:val="tx1"/>
            </w14:solidFill>
          </w14:textFill>
        </w:rPr>
        <w:t>阅单位、借阅事由、借阅人身份及单位介绍信等有关证明材料。应根据需要确定提供的档案材料，并做好借阅备案登记。</w:t>
      </w:r>
    </w:p>
    <w:p>
      <w:pPr>
        <w:pStyle w:val="8"/>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adjustRightInd/>
        <w:snapToGrid/>
        <w:spacing w:before="0" w:beforeAutospacing="0" w:after="0" w:afterAutospacing="0" w:line="572" w:lineRule="exact"/>
        <w:ind w:left="0" w:right="0" w:rightChars="0" w:firstLine="640" w:firstLineChars="200"/>
        <w:jc w:val="both"/>
        <w:textAlignment w:val="auto"/>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4.档案归还时，工作人员</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应</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认真检查核对档案材料，</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核对无误后入库</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管理</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w:t>
      </w:r>
      <w:r>
        <w:rPr>
          <w:rFonts w:hint="default" w:ascii="Times New Roman" w:hAnsi="Times New Roman" w:eastAsia="仿宋_GB2312" w:cs="Times New Roman"/>
          <w:b w:val="0"/>
          <w:bCs w:val="0"/>
          <w:color w:val="000000" w:themeColor="text1"/>
          <w:spacing w:val="0"/>
          <w:kern w:val="2"/>
          <w:sz w:val="32"/>
          <w:szCs w:val="32"/>
          <w:highlight w:val="none"/>
          <w:u w:val="none"/>
          <w:lang w:val="en-US" w:eastAsia="zh-CN" w:bidi="ar-SA"/>
          <w14:textFill>
            <w14:solidFill>
              <w14:schemeClr w14:val="tx1"/>
            </w14:solidFill>
          </w14:textFill>
        </w:rPr>
        <w:t>借</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14:textFill>
            <w14:solidFill>
              <w14:schemeClr w14:val="tx1"/>
            </w14:solidFill>
          </w14:textFill>
        </w:rPr>
        <w:t>阅申请材料</w:t>
      </w:r>
      <w:r>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t>归入文书档案保存。</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1.</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档案一般不</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予</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外借。确因工作需要必须外借的，借阅单位</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应当履行审批手续，</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按照规范转递档案，借出时间不得超过三个月。</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归还时应当认真核对档案材料。</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Style w:val="12"/>
          <w:rFonts w:hint="default" w:ascii="Times New Roman" w:hAnsi="Times New Roman" w:eastAsia="仿宋_GB2312" w:cs="Times New Roman"/>
          <w:b w:val="0"/>
          <w:bCs w:val="0"/>
          <w:i w:val="0"/>
          <w:iCs w:val="0"/>
          <w:caps w:val="0"/>
          <w:color w:val="000000" w:themeColor="text1"/>
          <w:spacing w:val="0"/>
          <w:sz w:val="32"/>
          <w:szCs w:val="32"/>
          <w:highlight w:val="none"/>
          <w:u w:val="none"/>
          <w:shd w:val="clear" w:color="auto" w:fill="FFFFFF"/>
          <w:lang w:val="en-US" w:eastAsia="zh-CN"/>
          <w14:textFill>
            <w14:solidFill>
              <w14:schemeClr w14:val="tx1"/>
            </w14:solidFill>
          </w14:textFill>
        </w:rPr>
      </w:pP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2.档案管理服务机构</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每月月底前</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需</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检查核对借出档案</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档案材料</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的</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归还情况，逾期</w:t>
      </w:r>
      <w:r>
        <w:rPr>
          <w:rFonts w:hint="default" w:ascii="Times New Roman" w:hAnsi="Times New Roman" w:eastAsia="仿宋_GB2312" w:cs="Times New Roman"/>
          <w:b w:val="0"/>
          <w:bCs w:val="0"/>
          <w:color w:val="000000" w:themeColor="text1"/>
          <w:spacing w:val="0"/>
          <w:sz w:val="32"/>
          <w:szCs w:val="32"/>
          <w:highlight w:val="none"/>
          <w:u w:val="none"/>
          <w:lang w:eastAsia="zh-CN"/>
          <w14:textFill>
            <w14:solidFill>
              <w14:schemeClr w14:val="tx1"/>
            </w14:solidFill>
          </w14:textFill>
        </w:rPr>
        <w:t>未归还的</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t>应通过推送短信催还，并跟踪归还情况</w:t>
      </w:r>
      <w:r>
        <w:rPr>
          <w:rFonts w:hint="default" w:ascii="Times New Roman" w:hAnsi="Times New Roman" w:eastAsia="仿宋_GB2312" w:cs="Times New Roman"/>
          <w:b w:val="0"/>
          <w:bCs w:val="0"/>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七</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依据档案记载出具相关证明</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流动人员及其亲属因办理个人合法权益保障等事项申请开具相关证明，档案管理服务机构可依据档案材料记载出具存档、经历、亲属关系等相关证明材料。</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申请材料：</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1.个人存档提供：存档人员有效身份证件。</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2.单位集体委托存档提供：存档（经办）人员有效身份证件</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委托存档单位介绍信。</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办理流程：</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1.存档（经办）人员持申请材料向档案管理服务机构申请。</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2.档案管理服务机构审核申请材料。</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val="0"/>
        <w:overflowPunct w:val="0"/>
        <w:topLinePunct w:val="0"/>
        <w:autoSpaceDE/>
        <w:autoSpaceDN/>
        <w:bidi w:val="0"/>
        <w:spacing w:before="0" w:beforeAutospacing="0" w:after="0" w:after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3.档案管理服务机构依据存档情况，出具存档证明；依据档案材料记载内容，出具经历、亲属关系等相关证明。</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1.凡委托他人代办业务的，另需提供委托书及存档人员有效身份证件复印件和经办人有效身份证件原件及复印件</w:t>
      </w:r>
      <w:r>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adjustRightInd/>
        <w:snapToGrid/>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t>2.目前存档证明可通过网上申请办理，</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经历、亲属关系等相关证明需窗口办理。</w:t>
      </w:r>
      <w:r>
        <w:rPr>
          <w:rFonts w:hint="default" w:ascii="Times New Roman" w:hAnsi="Times New Roman" w:eastAsia="仿宋_GB2312" w:cs="Times New Roman"/>
          <w:color w:val="000000" w:themeColor="text1"/>
          <w:spacing w:val="0"/>
          <w:sz w:val="32"/>
          <w:szCs w:val="32"/>
          <w:highlight w:val="none"/>
          <w:shd w:val="clear" w:color="auto" w:fill="FFFFFF"/>
          <w:lang w:val="en-US" w:eastAsia="zh-CN"/>
          <w14:textFill>
            <w14:solidFill>
              <w14:schemeClr w14:val="tx1"/>
            </w14:solidFill>
          </w14:textFill>
        </w:rPr>
        <w:t>窗口受理时限为即日办结，网上办理时限为3个工作日内办结。</w:t>
      </w:r>
    </w:p>
    <w:p>
      <w:pPr>
        <w:keepNext w:val="0"/>
        <w:keepLines w:val="0"/>
        <w:pageBreakBefore w:val="0"/>
        <w:widowControl w:val="0"/>
        <w:numPr>
          <w:ilvl w:val="0"/>
          <w:numId w:val="0"/>
        </w:numPr>
        <w:kinsoku/>
        <w:wordWrap w:val="0"/>
        <w:overflowPunct w:val="0"/>
        <w:topLinePunct w:val="0"/>
        <w:autoSpaceDE/>
        <w:autoSpaceDN/>
        <w:bidi w:val="0"/>
        <w:adjustRightInd/>
        <w:snapToGrid/>
        <w:spacing w:beforeAutospacing="0"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档案管理服务机构应确保出具证明的内容与档案实际记载相关内容一致。档案中无记载的，应在材料形成单位补齐相关材料后出具。确需复印档案材料作为旁证的，应在复印件上注明</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与原件一致</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及复印日期，并加盖公章。</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八</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为相关单位提供政审（考察）服务</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依据档案材料记载出具政审证明，或填写录用政审表格或入党政审表格等。</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政审（考察）服务类别：参军政审、录用考察、入党政审、出国（境）政审、升学政审以及其他政审。</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申请材料：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1.个人存档提供：存档人员有效身份证件、政审（考察）相关函件或表格。</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2.单位集体委托存档提供：存档（经办）人员有效身份证件、政审（考察）相关函件或表格、因公出国任务批件和组团名单、委托存档单位介绍信。</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办理流程：</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1.存档（经办）人员持申请材料向档案管理服务机构申请。</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2.档案管理服务机构审核申请材料。</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w:t>
      </w:r>
      <w:r>
        <w:rPr>
          <w:rFonts w:hint="default" w:ascii="Times New Roman" w:hAnsi="Times New Roman" w:eastAsia="仿宋_GB2312" w:cs="Times New Roman"/>
          <w:color w:val="000000" w:themeColor="text1"/>
          <w:spacing w:val="-11"/>
          <w:sz w:val="32"/>
          <w:szCs w:val="32"/>
          <w:highlight w:val="none"/>
          <w:u w:val="none"/>
          <w:lang w:val="en-US" w:eastAsia="zh-CN"/>
          <w14:textFill>
            <w14:solidFill>
              <w14:schemeClr w14:val="tx1"/>
            </w14:solidFill>
          </w14:textFill>
        </w:rPr>
        <w:t>档案管理服务机构依据档案记载出具相应政审（考察）意见。</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第十</w:t>
      </w:r>
      <w:r>
        <w:rPr>
          <w:rFonts w:hint="eastAsia"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九</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 流动党员组织关系相关服务</w:t>
      </w:r>
    </w:p>
    <w:p>
      <w:pPr>
        <w:keepNext w:val="0"/>
        <w:keepLines w:val="0"/>
        <w:pageBreakBefore w:val="0"/>
        <w:widowControl w:val="0"/>
        <w:numPr>
          <w:ilvl w:val="0"/>
          <w:numId w:val="0"/>
        </w:numPr>
        <w:tabs>
          <w:tab w:val="left" w:pos="2138"/>
        </w:tabs>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（一）党组织关系转出</w:t>
      </w:r>
    </w:p>
    <w:p>
      <w:pPr>
        <w:keepNext w:val="0"/>
        <w:keepLines w:val="0"/>
        <w:pageBreakBefore w:val="0"/>
        <w:widowControl w:val="0"/>
        <w:numPr>
          <w:ilvl w:val="0"/>
          <w:numId w:val="0"/>
        </w:numPr>
        <w:tabs>
          <w:tab w:val="left" w:pos="2138"/>
        </w:tabs>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申请材料：</w:t>
      </w:r>
    </w:p>
    <w:p>
      <w:pPr>
        <w:keepNext w:val="0"/>
        <w:keepLines w:val="0"/>
        <w:pageBreakBefore w:val="0"/>
        <w:widowControl w:val="0"/>
        <w:numPr>
          <w:ilvl w:val="0"/>
          <w:numId w:val="0"/>
        </w:numPr>
        <w:tabs>
          <w:tab w:val="left" w:pos="2138"/>
        </w:tabs>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1.存档（经办）人员有效身份证件。</w:t>
      </w:r>
    </w:p>
    <w:p>
      <w:pPr>
        <w:keepNext w:val="0"/>
        <w:keepLines w:val="0"/>
        <w:pageBreakBefore w:val="0"/>
        <w:widowControl w:val="0"/>
        <w:numPr>
          <w:ilvl w:val="0"/>
          <w:numId w:val="0"/>
        </w:numPr>
        <w:tabs>
          <w:tab w:val="left" w:pos="2138"/>
        </w:tabs>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2.</w:t>
      </w:r>
      <w:r>
        <w:rPr>
          <w:rFonts w:hint="default" w:ascii="Times New Roman" w:hAnsi="Times New Roman" w:eastAsia="仿宋_GB2312" w:cs="Times New Roman"/>
          <w:color w:val="000000" w:themeColor="text1"/>
          <w:spacing w:val="-11"/>
          <w:sz w:val="32"/>
          <w:szCs w:val="32"/>
          <w:highlight w:val="none"/>
          <w:u w:val="none"/>
          <w:lang w:val="en-US" w:eastAsia="zh-CN"/>
          <w14:textFill>
            <w14:solidFill>
              <w14:schemeClr w14:val="tx1"/>
            </w14:solidFill>
          </w14:textFill>
        </w:rPr>
        <w:t>接收地党组织所开党组织关系接收函（接收地党组织盖章）。</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办理流程：</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1.存档（经办）人员持申请材料向档案管理服务机构申请党组织关系转出。</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档案管理服务机构</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审核申请材料并核实转出信息，审核通过后，在全国党员系统</w:t>
      </w:r>
      <w:r>
        <w:rPr>
          <w:rFonts w:hint="default" w:ascii="Times New Roman" w:hAnsi="Times New Roman" w:eastAsia="仿宋_GB2312" w:cs="Times New Roman"/>
          <w:color w:val="000000" w:themeColor="text1"/>
          <w:spacing w:val="0"/>
          <w:kern w:val="2"/>
          <w:sz w:val="32"/>
          <w:szCs w:val="32"/>
          <w:highlight w:val="none"/>
          <w:u w:val="none"/>
          <w:lang w:val="zh-CN" w:eastAsia="zh-CN" w:bidi="ar-SA"/>
          <w14:textFill>
            <w14:solidFill>
              <w14:schemeClr w14:val="tx1"/>
            </w14:solidFill>
          </w14:textFill>
        </w:rPr>
        <w:t>办理党组织关系转出。</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注意事项：</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lang w:val="en-US" w:eastAsia="zh-CN"/>
          <w14:textFill>
            <w14:solidFill>
              <w14:schemeClr w14:val="tx1"/>
            </w14:solidFill>
          </w14:textFill>
        </w:rPr>
        <w:t>凡委托他人代办业务的，另需提供委托书及存档人员有效身份证件复印件和经办人有效身份证件原件及复印件</w:t>
      </w:r>
      <w:r>
        <w:rPr>
          <w:rFonts w:hint="default" w:ascii="Times New Roman" w:hAnsi="Times New Roman" w:eastAsia="仿宋_GB2312" w:cs="Times New Roman"/>
          <w:color w:val="000000" w:themeColor="text1"/>
          <w:spacing w:val="0"/>
          <w:sz w:val="32"/>
          <w:szCs w:val="32"/>
          <w:highlight w:val="none"/>
          <w:shd w:val="clear" w:color="auto" w:fill="FFFFFF"/>
          <w:lang w:eastAsia="zh-CN"/>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（二）党费</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交</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纳</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按省（市）直工委相关文件进行党费的收缴。</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第四章 流动人员人事档案保管</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lang w:eastAsia="zh-CN"/>
        </w:rPr>
      </w:pP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eastAsia" w:ascii="黑体" w:hAnsi="黑体" w:eastAsia="黑体" w:cs="黑体"/>
          <w:color w:val="000000" w:themeColor="text1"/>
          <w:spacing w:val="0"/>
          <w:sz w:val="32"/>
          <w:szCs w:val="32"/>
          <w:highlight w:val="none"/>
          <w:u w:val="none"/>
          <w14:textFill>
            <w14:solidFill>
              <w14:schemeClr w14:val="tx1"/>
            </w14:solidFill>
          </w14:textFill>
        </w:rPr>
        <w:t>第</w:t>
      </w:r>
      <w:r>
        <w:rPr>
          <w:rFonts w:hint="eastAsia" w:ascii="黑体" w:hAnsi="黑体" w:eastAsia="黑体" w:cs="黑体"/>
          <w:color w:val="000000" w:themeColor="text1"/>
          <w:spacing w:val="0"/>
          <w:sz w:val="32"/>
          <w:szCs w:val="32"/>
          <w:highlight w:val="none"/>
          <w:u w:val="none"/>
          <w:lang w:eastAsia="zh-CN"/>
          <w14:textFill>
            <w14:solidFill>
              <w14:schemeClr w14:val="tx1"/>
            </w14:solidFill>
          </w14:textFill>
        </w:rPr>
        <w:t>二十</w:t>
      </w:r>
      <w:r>
        <w:rPr>
          <w:rFonts w:hint="eastAsia" w:ascii="黑体" w:hAnsi="黑体" w:eastAsia="黑体" w:cs="黑体"/>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保管</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要求</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对档案进行系统存放，维护档案的完整与安全。保管要求和工作内容包括：</w:t>
      </w:r>
      <w:bookmarkStart w:id="0" w:name="_GoBack"/>
      <w:bookmarkEnd w:id="0"/>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（一）档案管理服务机构应</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建</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设</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坚固的专用档案库房，配置铁质档案柜</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、档案密集架</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等档案装具</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档案库房、</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阅档</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室</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档案整理（含数字化加工）场所、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档案管理服务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人员办公室应分开。</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（三）保持档案库房、档案整理（含数字化加工）场所的清洁，配备必要的设备，采取安全措施，以</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符合</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防火、防盗、防尘、防水、防潮、防高温、防日光及紫外线照射、防有害生物、防污染等</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九防</w:t>
      </w:r>
      <w:r>
        <w:rPr>
          <w:rFonts w:hint="eastAsia"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要求。</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档案存放应编排有序、便于查找。</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（五）档案利用出库时应登记，利用结束后当天入库保存。</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（六）库存档案应采取分类管理。对死亡人员档案、无主档案等要分别登记管理。</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（七）</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应定期将档案实物与档案名册、档案信息数据库进行核对</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一</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流动人员人事档案</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安全保密</w:t>
      </w:r>
    </w:p>
    <w:p>
      <w:pPr>
        <w:keepNext w:val="0"/>
        <w:keepLines w:val="0"/>
        <w:pageBreakBefore w:val="0"/>
        <w:widowControl w:val="0"/>
        <w:numPr>
          <w:ilvl w:val="0"/>
          <w:numId w:val="0"/>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档案管理服务机构应建立健全安全保密制度，采取科学有效的管理措施和技术手段，对档案管理服务全过程实行严格监督和检查，确保档案原件不被篡改、伪造或损毁，档案信息不被非法利用、更改或销毁。</w:t>
      </w:r>
    </w:p>
    <w:p>
      <w:pPr>
        <w:keepNext w:val="0"/>
        <w:keepLines w:val="0"/>
        <w:pageBreakBefore w:val="0"/>
        <w:widowControl w:val="0"/>
        <w:numPr>
          <w:ilvl w:val="0"/>
          <w:numId w:val="2"/>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档案管理服务机构应建立权责明确、覆盖档案管理服务全过程的岗位责任制，明确各岗位的安全保密责任。</w:t>
      </w:r>
    </w:p>
    <w:p>
      <w:pPr>
        <w:keepNext w:val="0"/>
        <w:keepLines w:val="0"/>
        <w:pageBreakBefore w:val="0"/>
        <w:widowControl w:val="0"/>
        <w:numPr>
          <w:ilvl w:val="0"/>
          <w:numId w:val="2"/>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档案管理服务人员不得违规新建、重建、接收、转递、保管、利用、销毁档案。</w:t>
      </w:r>
    </w:p>
    <w:p>
      <w:pPr>
        <w:keepNext w:val="0"/>
        <w:keepLines w:val="0"/>
        <w:pageBreakBefore w:val="0"/>
        <w:widowControl w:val="0"/>
        <w:numPr>
          <w:ilvl w:val="0"/>
          <w:numId w:val="2"/>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档案管理服务人员在档案管理服务全过程中，不得涂改、抽取、撤换、伪造、损毁档案材料，不得泄露或擅自复制、拍摄、向外公布档案内容。</w:t>
      </w:r>
    </w:p>
    <w:p>
      <w:pPr>
        <w:keepNext w:val="0"/>
        <w:keepLines w:val="0"/>
        <w:pageBreakBefore w:val="0"/>
        <w:widowControl w:val="0"/>
        <w:numPr>
          <w:ilvl w:val="0"/>
          <w:numId w:val="2"/>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档案管理服务机构应加强对档案管理服务人员的安全教育培训，提高安全防护意识，提升人员安全素质。</w:t>
      </w:r>
    </w:p>
    <w:p>
      <w:pPr>
        <w:keepNext w:val="0"/>
        <w:keepLines w:val="0"/>
        <w:pageBreakBefore w:val="0"/>
        <w:widowControl w:val="0"/>
        <w:numPr>
          <w:ilvl w:val="0"/>
          <w:numId w:val="2"/>
        </w:numPr>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档案管理服务人员工作变动时，应履行交接手续，交接材料应由交接双方签字确认后归入文书档案。</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第五章 流动人员人事档案管理信息化建设</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rPr>
      </w:pP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各级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公共就业和人才服务机构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应大力加强</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流动人员</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人事档案信息化建设工作，加快档案电子化、数字化工作，同时高度重视档案信息安全，利用</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流动人员</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人事档案信息管理系统对档案日常工作进行管理。</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三</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各级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公共就业和人才服务机构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应完整记录流动人员姓名、性别、身份证号码、政治面貌、学历、职称、工作单位、档案转递等信息，建立</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省级集中档案基础信息资源库</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鼓励和支持</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有条件的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档案管理</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服务机构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积极开展纸质档案扫描、图像处理、数据存储备份等工作</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逐步建立数字档案资源库，为档案</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一窗式办理</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提供基础</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各级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公共就业和人才服务机构</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要积极探索</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互联网+</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模式，通过网上申请、后台审核、网上反馈或预约现场办理等，逐步推进档案管理服务线下向线上延伸，提高档案管理服务的科学化和便民化水平。</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singl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五</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公共就业和人才服务机构要充分利用档案管理服务信息系统形成的数据资源，</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对流动人员数量、结构、分布、流向等开展统计分析，逐步建立档案基本情况统计分析制度。强化档案数据资源与政务数据资源的关联分析和融合利用，建立与</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人力资源社会保障持卡人员基础信息库、单位基础信息库等基础信息库的关联，实现与就业创业、社会保障、人事人才、劳动关系等业务信息共享，推动与教育、公安、民政、卫生健康、工商等部门资源数据互认</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六</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各级</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公共就业和人才服务机构</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应</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加强对信息技术人员和业务人员的培训，确保档案信息系统在档案管理服务工作中的应用效果。</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第六章 流动人员人事档案管理窗口服务人员工作规范</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二</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七</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语言</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文明</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一</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公共场合应使用普通话，用敬语，应语调亲切，语速语音适中、语态谦和，以服务对象能听清楚而又不影响周围人办事为宜。</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在各场合中文明礼貌用语。在使用电话、办理业务、接受咨询时语气平和，窗口服务时应使用</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您好</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请稍等</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请出示XXX文件（资料）</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让您久等了</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谢谢</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再见</w:t>
      </w:r>
      <w:r>
        <w:rPr>
          <w:rFonts w:hint="eastAsia"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等礼貌用语。</w:t>
      </w:r>
    </w:p>
    <w:p>
      <w:pPr>
        <w:pStyle w:val="4"/>
        <w:keepNext w:val="0"/>
        <w:keepLines w:val="0"/>
        <w:pageBreakBefore w:val="0"/>
        <w:widowControl w:val="0"/>
        <w:kinsoku/>
        <w:wordWrap w:val="0"/>
        <w:overflowPunct w:val="0"/>
        <w:topLinePunct w:val="0"/>
        <w:autoSpaceDE/>
        <w:autoSpaceDN/>
        <w:bidi w:val="0"/>
        <w:adjustRightInd/>
        <w:snapToGrid/>
        <w:spacing w:after="0"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三</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接听电话时，应在铃声响起三声之内拿起电话，并满足以下要求：</w:t>
      </w:r>
    </w:p>
    <w:p>
      <w:pPr>
        <w:pStyle w:val="4"/>
        <w:keepNext w:val="0"/>
        <w:keepLines w:val="0"/>
        <w:pageBreakBefore w:val="0"/>
        <w:widowControl w:val="0"/>
        <w:kinsoku/>
        <w:wordWrap w:val="0"/>
        <w:overflowPunct w:val="0"/>
        <w:topLinePunct w:val="0"/>
        <w:autoSpaceDE/>
        <w:autoSpaceDN/>
        <w:bidi w:val="0"/>
        <w:adjustRightInd/>
        <w:snapToGrid/>
        <w:spacing w:after="0"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1.通话开始后标准用语为：</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您好，这里是XXXXXX（档案管理服务机构名称），请问有什么可以帮到您？</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p>
    <w:p>
      <w:pPr>
        <w:pStyle w:val="4"/>
        <w:keepNext w:val="0"/>
        <w:keepLines w:val="0"/>
        <w:pageBreakBefore w:val="0"/>
        <w:widowControl w:val="0"/>
        <w:kinsoku/>
        <w:wordWrap w:val="0"/>
        <w:overflowPunct w:val="0"/>
        <w:topLinePunct w:val="0"/>
        <w:autoSpaceDE/>
        <w:autoSpaceDN/>
        <w:bidi w:val="0"/>
        <w:adjustRightInd/>
        <w:snapToGrid/>
        <w:spacing w:after="0"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2.电话交谈时应简明扼要，避免占线时间过长。</w:t>
      </w:r>
    </w:p>
    <w:p>
      <w:pPr>
        <w:pStyle w:val="4"/>
        <w:keepNext w:val="0"/>
        <w:keepLines w:val="0"/>
        <w:pageBreakBefore w:val="0"/>
        <w:widowControl w:val="0"/>
        <w:kinsoku/>
        <w:wordWrap w:val="0"/>
        <w:overflowPunct w:val="0"/>
        <w:topLinePunct w:val="0"/>
        <w:autoSpaceDE/>
        <w:autoSpaceDN/>
        <w:bidi w:val="0"/>
        <w:adjustRightInd/>
        <w:snapToGrid/>
        <w:spacing w:after="0"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3.通话时如遇其他咨询，应请同事立即接待；如遇其他来电未能接听的，应及时回拨。</w:t>
      </w:r>
    </w:p>
    <w:p>
      <w:pPr>
        <w:pStyle w:val="4"/>
        <w:keepNext w:val="0"/>
        <w:keepLines w:val="0"/>
        <w:pageBreakBefore w:val="0"/>
        <w:widowControl w:val="0"/>
        <w:kinsoku/>
        <w:wordWrap w:val="0"/>
        <w:overflowPunct w:val="0"/>
        <w:topLinePunct w:val="0"/>
        <w:autoSpaceDE/>
        <w:autoSpaceDN/>
        <w:bidi w:val="0"/>
        <w:adjustRightInd/>
        <w:snapToGrid/>
        <w:spacing w:after="0"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4.通话结束时应礼貌道别。</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default"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八</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行为文明</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（一）工作期间，应做到五个</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一样</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、两个</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不得</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1.五个</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一样</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即：受理、咨询一样热情；生人、</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熟</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人一样和气；干部、群众一样尊重；忙时、闲时一样耐心；来早、来晚一样接待。</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2.两个</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不得</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即：工作时间无正当理由不得拒绝受理办件；不得以任何理由拒绝口头或书面、网络业务咨询。</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站姿、坐姿端正，精神应饱满、富有热情。</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b w:val="0"/>
          <w:bCs w:val="0"/>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三</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保持仪态端正，不得靠、趴工作台面，不得将腿放在工作台或电脑主机上，不得双手抱于胸前、跷二郎腿，不得单手指人。</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不能吃东西、吸烟会客、串岗闲聊、看报纸小说杂志、大声喧哗、吹口哨、玩手机、长时间接打电话（如有工作电话时长超过5分钟，可请同事顶岗）、把玩核桃、玉件等</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手把件</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或玩物。</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五</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不得在服务对象面前剪指甲、整理发型、化妆补妆、挖耳朵、掏鼻子、剔牙齿。不正对着服务对象打哈欠、打喷嚏。</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二十九</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仪容</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仪表</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（一）保持着装平整干净、仪表端庄。不得披衣，不得挽卷裤腿、衣袖，不得佩戴帽子（特殊情况除外），不得佩戴夸张饰品。</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保持仪容整洁，讲究个人卫生。男士不留长发、大鬓角、卷发（自然卷除外）、剃光头或蓄长胡须。女性不得染指甲、染彩发、浓妆艳抹、不得使用香味过浓的香水、上班期间应将长发束起或盘发。</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w:t>
      </w:r>
      <w:r>
        <w:rPr>
          <w:rFonts w:hint="default" w:ascii="Times New Roman" w:hAnsi="Times New Roman" w:eastAsia="黑体" w:cs="Times New Roman"/>
          <w:color w:val="000000" w:themeColor="text1"/>
          <w:spacing w:val="0"/>
          <w:sz w:val="32"/>
          <w:szCs w:val="32"/>
          <w:highlight w:val="none"/>
          <w:u w:val="none"/>
          <w:lang w:eastAsia="zh-CN"/>
          <w14:textFill>
            <w14:solidFill>
              <w14:schemeClr w14:val="tx1"/>
            </w14:solidFill>
          </w14:textFill>
        </w:rPr>
        <w:t>三十</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服务质量</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（一）实行首接责任制，对能办理的事项给予明确答复，对不能办理的说明理由。</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（二）</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书写的联系函、批件等，应表述完整、字迹清楚、准确无误。</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（三）</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必须一次性告知服务对象其申办事项所需的全部资料，并主动介绍下一步应如何办理。</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（四）</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服务窗口必须做到人不离岗，确实有重大事情需暂时离岗，应放置</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暂停服务</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提示牌，窗口显示屏调整为</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暂停服务</w:t>
      </w:r>
      <w:r>
        <w:rPr>
          <w:rFonts w:hint="eastAsia"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，并引导服务对象至其他窗口办理。</w:t>
      </w:r>
    </w:p>
    <w:p>
      <w:pPr>
        <w:keepNext w:val="0"/>
        <w:keepLines w:val="0"/>
        <w:pageBreakBefore w:val="0"/>
        <w:widowControl w:val="0"/>
        <w:numPr>
          <w:ilvl w:val="0"/>
          <w:numId w:val="0"/>
        </w:numPr>
        <w:kinsoku/>
        <w:wordWrap w:val="0"/>
        <w:overflowPunct w:val="0"/>
        <w:topLinePunct w:val="0"/>
        <w:autoSpaceDE/>
        <w:autoSpaceDN/>
        <w:bidi w:val="0"/>
        <w:adjustRightInd/>
        <w:snapToGrid/>
        <w:spacing w:line="572" w:lineRule="exact"/>
        <w:ind w:left="0" w:leftChars="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（五）</w:t>
      </w:r>
      <w:r>
        <w:rPr>
          <w:rFonts w:hint="default" w:ascii="Times New Roman" w:hAnsi="Times New Roman" w:eastAsia="仿宋_GB2312" w:cs="Times New Roman"/>
          <w:color w:val="000000" w:themeColor="text1"/>
          <w:spacing w:val="0"/>
          <w:kern w:val="2"/>
          <w:sz w:val="32"/>
          <w:szCs w:val="32"/>
          <w:highlight w:val="none"/>
          <w:u w:val="none"/>
          <w:lang w:val="en-US" w:eastAsia="zh-CN" w:bidi="ar-SA"/>
          <w14:textFill>
            <w14:solidFill>
              <w14:schemeClr w14:val="tx1"/>
            </w14:solidFill>
          </w14:textFill>
        </w:rPr>
        <w:t>遵纪守法，办事公道，不收礼，不吃请，不搞权钱交易。</w:t>
      </w: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（六）</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尽可能缩短办理时限，提前办结事项，提高办事效率，方便存档人员。</w:t>
      </w:r>
    </w:p>
    <w:p>
      <w:pPr>
        <w:keepNext w:val="0"/>
        <w:keepLines w:val="0"/>
        <w:pageBreakBefore w:val="0"/>
        <w:widowControl w:val="0"/>
        <w:kinsoku/>
        <w:wordWrap w:val="0"/>
        <w:overflowPunct w:val="0"/>
        <w:topLinePunct w:val="0"/>
        <w:autoSpaceDE/>
        <w:autoSpaceDN/>
        <w:bidi w:val="0"/>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p>
    <w:p>
      <w:pPr>
        <w:keepNext w:val="0"/>
        <w:keepLines w:val="0"/>
        <w:pageBreakBefore w:val="0"/>
        <w:widowControl w:val="0"/>
        <w:kinsoku/>
        <w:wordWrap w:val="0"/>
        <w:overflowPunct w:val="0"/>
        <w:topLinePunct w:val="0"/>
        <w:autoSpaceDE/>
        <w:autoSpaceDN/>
        <w:bidi w:val="0"/>
        <w:adjustRightInd/>
        <w:snapToGrid/>
        <w:spacing w:line="572" w:lineRule="exact"/>
        <w:ind w:left="0" w:right="0" w:firstLine="0" w:firstLineChars="0"/>
        <w:jc w:val="center"/>
        <w:textAlignment w:val="auto"/>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第七章 附则</w:t>
      </w:r>
    </w:p>
    <w:p>
      <w:pPr>
        <w:pStyle w:val="7"/>
        <w:keepNext w:val="0"/>
        <w:keepLines w:val="0"/>
        <w:pageBreakBefore w:val="0"/>
        <w:widowControl w:val="0"/>
        <w:kinsoku/>
        <w:topLinePunct w:val="0"/>
        <w:autoSpaceDE/>
        <w:autoSpaceDN/>
        <w:bidi w:val="0"/>
        <w:spacing w:line="572" w:lineRule="exact"/>
        <w:textAlignment w:val="auto"/>
        <w:rPr>
          <w:rFonts w:hint="default" w:ascii="Times New Roman" w:hAnsi="Times New Roman" w:cs="Times New Roman"/>
          <w:sz w:val="32"/>
          <w:szCs w:val="32"/>
        </w:rPr>
      </w:pPr>
    </w:p>
    <w:p>
      <w:pPr>
        <w:keepNext w:val="0"/>
        <w:keepLines w:val="0"/>
        <w:pageBreakBefore w:val="0"/>
        <w:widowControl w:val="0"/>
        <w:shd w:val="clear" w:color="auto" w:fill="FFFFFF"/>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第三十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一</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对于违反相关规定和纪律的，依据有关规定予以纠正；根据情节轻重，给予批评教育、组织处理或者党纪政务处分，并视情追究相关人员责任。涉嫌违法犯罪的，按照国家法律法规处理。</w:t>
      </w:r>
    </w:p>
    <w:p>
      <w:pPr>
        <w:keepNext w:val="0"/>
        <w:keepLines w:val="0"/>
        <w:pageBreakBefore w:val="0"/>
        <w:widowControl w:val="0"/>
        <w:shd w:val="clear" w:color="auto" w:fill="FFFFFF"/>
        <w:kinsoku/>
        <w:wordWrap w:val="0"/>
        <w:overflowPunct w:val="0"/>
        <w:topLinePunct w:val="0"/>
        <w:autoSpaceDE/>
        <w:autoSpaceDN/>
        <w:bidi w:val="0"/>
        <w:adjustRightInd/>
        <w:snapToGrid/>
        <w:spacing w:line="572" w:lineRule="exact"/>
        <w:ind w:left="0" w:right="0" w:firstLine="640" w:firstLineChars="200"/>
        <w:jc w:val="both"/>
        <w:textAlignment w:val="auto"/>
        <w:rPr>
          <w:rFonts w:hint="default" w:ascii="Times New Roman" w:hAnsi="Times New Roman" w:eastAsia="仿宋_GB2312" w:cs="Times New Roman"/>
          <w:color w:val="000000" w:themeColor="text1"/>
          <w:spacing w:val="-11"/>
          <w:sz w:val="32"/>
          <w:szCs w:val="32"/>
          <w:highlight w:val="none"/>
          <w:u w:val="none"/>
          <w14:textFill>
            <w14:solidFill>
              <w14:schemeClr w14:val="tx1"/>
            </w14:solidFill>
          </w14:textFill>
        </w:rPr>
      </w:pP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第三十</w:t>
      </w:r>
      <w:r>
        <w:rPr>
          <w:rFonts w:hint="eastAsia" w:ascii="Times New Roman" w:hAnsi="Times New Roman" w:eastAsia="黑体" w:cs="Times New Roman"/>
          <w:color w:val="000000" w:themeColor="text1"/>
          <w:spacing w:val="0"/>
          <w:sz w:val="32"/>
          <w:szCs w:val="32"/>
          <w:highlight w:val="none"/>
          <w:u w:val="none"/>
          <w:lang w:val="en-US" w:eastAsia="zh-CN"/>
          <w14:textFill>
            <w14:solidFill>
              <w14:schemeClr w14:val="tx1"/>
            </w14:solidFill>
          </w14:textFill>
        </w:rPr>
        <w:t>二</w:t>
      </w:r>
      <w:r>
        <w:rPr>
          <w:rFonts w:hint="default" w:ascii="Times New Roman" w:hAnsi="Times New Roman" w:eastAsia="黑体" w:cs="Times New Roman"/>
          <w:color w:val="000000" w:themeColor="text1"/>
          <w:spacing w:val="0"/>
          <w:sz w:val="32"/>
          <w:szCs w:val="32"/>
          <w:highlight w:val="none"/>
          <w:u w:val="none"/>
          <w14:textFill>
            <w14:solidFill>
              <w14:schemeClr w14:val="tx1"/>
            </w14:solidFill>
          </w14:textFill>
        </w:rPr>
        <w:t>条</w:t>
      </w:r>
      <w:r>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t xml:space="preserve"> </w:t>
      </w:r>
      <w:r>
        <w:rPr>
          <w:rFonts w:hint="default" w:ascii="Times New Roman" w:hAnsi="Times New Roman" w:eastAsia="仿宋_GB2312" w:cs="Times New Roman"/>
          <w:color w:val="000000" w:themeColor="text1"/>
          <w:spacing w:val="-11"/>
          <w:sz w:val="32"/>
          <w:szCs w:val="32"/>
          <w:highlight w:val="none"/>
          <w:u w:val="none"/>
          <w14:textFill>
            <w14:solidFill>
              <w14:schemeClr w14:val="tx1"/>
            </w14:solidFill>
          </w14:textFill>
        </w:rPr>
        <w:t>本规</w:t>
      </w:r>
      <w:r>
        <w:rPr>
          <w:rFonts w:hint="default" w:ascii="Times New Roman" w:hAnsi="Times New Roman" w:eastAsia="仿宋_GB2312" w:cs="Times New Roman"/>
          <w:color w:val="000000" w:themeColor="text1"/>
          <w:spacing w:val="-11"/>
          <w:sz w:val="32"/>
          <w:szCs w:val="32"/>
          <w:highlight w:val="none"/>
          <w:u w:val="none"/>
          <w:lang w:val="en-US" w:eastAsia="zh-CN"/>
          <w14:textFill>
            <w14:solidFill>
              <w14:schemeClr w14:val="tx1"/>
            </w14:solidFill>
          </w14:textFill>
        </w:rPr>
        <w:t>程自</w:t>
      </w:r>
      <w:r>
        <w:rPr>
          <w:rFonts w:hint="eastAsia" w:ascii="Times New Roman" w:hAnsi="Times New Roman" w:eastAsia="仿宋_GB2312" w:cs="Times New Roman"/>
          <w:color w:val="000000" w:themeColor="text1"/>
          <w:spacing w:val="-11"/>
          <w:sz w:val="32"/>
          <w:szCs w:val="32"/>
          <w:highlight w:val="none"/>
          <w:u w:val="none"/>
          <w:lang w:val="en-US" w:eastAsia="zh-CN"/>
          <w14:textFill>
            <w14:solidFill>
              <w14:schemeClr w14:val="tx1"/>
            </w14:solidFill>
          </w14:textFill>
        </w:rPr>
        <w:t>2024年6月19日起施行</w:t>
      </w:r>
      <w:r>
        <w:rPr>
          <w:rFonts w:hint="default" w:ascii="Times New Roman" w:hAnsi="Times New Roman" w:eastAsia="仿宋_GB2312" w:cs="Times New Roman"/>
          <w:color w:val="000000" w:themeColor="text1"/>
          <w:spacing w:val="-11"/>
          <w:sz w:val="32"/>
          <w:szCs w:val="32"/>
          <w:highlight w:val="none"/>
          <w:u w:val="none"/>
          <w:lang w:val="en-US" w:eastAsia="zh-CN"/>
          <w14:textFill>
            <w14:solidFill>
              <w14:schemeClr w14:val="tx1"/>
            </w14:solidFill>
          </w14:textFill>
        </w:rPr>
        <w:t>，有效期2年</w:t>
      </w:r>
      <w:r>
        <w:rPr>
          <w:rFonts w:hint="default" w:ascii="Times New Roman" w:hAnsi="Times New Roman" w:eastAsia="仿宋_GB2312" w:cs="Times New Roman"/>
          <w:color w:val="000000" w:themeColor="text1"/>
          <w:spacing w:val="-11"/>
          <w:sz w:val="32"/>
          <w:szCs w:val="32"/>
          <w:highlight w:val="none"/>
          <w:u w:val="none"/>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572" w:lineRule="exact"/>
        <w:ind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14:textFill>
            <w14:solidFill>
              <w14:schemeClr w14:val="tx1"/>
            </w14:solidFill>
          </w14:textFill>
        </w:rPr>
      </w:pPr>
    </w:p>
    <w:p>
      <w:pPr>
        <w:keepNext w:val="0"/>
        <w:keepLines w:val="0"/>
        <w:pageBreakBefore w:val="0"/>
        <w:widowControl w:val="0"/>
        <w:kinsoku/>
        <w:wordWrap/>
        <w:overflowPunct/>
        <w:topLinePunct w:val="0"/>
        <w:autoSpaceDE/>
        <w:autoSpaceDN/>
        <w:bidi w:val="0"/>
        <w:spacing w:line="572" w:lineRule="exact"/>
        <w:ind w:firstLine="640" w:firstLineChars="2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eastAsia="zh-CN"/>
          <w14:textFill>
            <w14:solidFill>
              <w14:schemeClr w14:val="tx1"/>
            </w14:solidFill>
          </w14:textFill>
        </w:rPr>
        <w:t>附件：</w:t>
      </w: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1.委托书</w:t>
      </w:r>
    </w:p>
    <w:p>
      <w:pPr>
        <w:keepNext w:val="0"/>
        <w:keepLines w:val="0"/>
        <w:pageBreakBefore w:val="0"/>
        <w:widowControl w:val="0"/>
        <w:kinsoku/>
        <w:wordWrap/>
        <w:overflowPunct/>
        <w:topLinePunct w:val="0"/>
        <w:autoSpaceDE/>
        <w:autoSpaceDN/>
        <w:bidi w:val="0"/>
        <w:spacing w:line="572" w:lineRule="exact"/>
        <w:ind w:firstLine="1600" w:firstLineChars="5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 xml:space="preserve">2.单位委托集体存档申请书 </w:t>
      </w:r>
    </w:p>
    <w:p>
      <w:pPr>
        <w:keepNext w:val="0"/>
        <w:keepLines w:val="0"/>
        <w:pageBreakBefore w:val="0"/>
        <w:widowControl w:val="0"/>
        <w:kinsoku/>
        <w:wordWrap/>
        <w:overflowPunct/>
        <w:topLinePunct w:val="0"/>
        <w:autoSpaceDE/>
        <w:autoSpaceDN/>
        <w:bidi w:val="0"/>
        <w:spacing w:line="572" w:lineRule="exact"/>
        <w:ind w:firstLine="1600" w:firstLineChars="5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3.流动人员人事档案单位委托集体存档服务协议</w:t>
      </w:r>
    </w:p>
    <w:p>
      <w:pPr>
        <w:keepNext w:val="0"/>
        <w:keepLines w:val="0"/>
        <w:pageBreakBefore w:val="0"/>
        <w:widowControl w:val="0"/>
        <w:kinsoku/>
        <w:wordWrap/>
        <w:overflowPunct/>
        <w:topLinePunct w:val="0"/>
        <w:autoSpaceDE/>
        <w:autoSpaceDN/>
        <w:bidi w:val="0"/>
        <w:spacing w:line="572" w:lineRule="exact"/>
        <w:ind w:firstLine="1600" w:firstLineChars="5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4.拟存档人员名单</w:t>
      </w:r>
    </w:p>
    <w:p>
      <w:pPr>
        <w:keepNext w:val="0"/>
        <w:keepLines w:val="0"/>
        <w:pageBreakBefore w:val="0"/>
        <w:widowControl w:val="0"/>
        <w:kinsoku/>
        <w:wordWrap/>
        <w:overflowPunct/>
        <w:topLinePunct w:val="0"/>
        <w:autoSpaceDE/>
        <w:autoSpaceDN/>
        <w:bidi w:val="0"/>
        <w:spacing w:line="572" w:lineRule="exact"/>
        <w:ind w:firstLine="1600" w:firstLineChars="500"/>
        <w:jc w:val="both"/>
        <w:textAlignment w:val="auto"/>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pPr>
      <w:r>
        <w:rPr>
          <w:rFonts w:hint="default" w:ascii="Times New Roman" w:hAnsi="Times New Roman" w:eastAsia="仿宋_GB2312" w:cs="Times New Roman"/>
          <w:color w:val="000000" w:themeColor="text1"/>
          <w:spacing w:val="0"/>
          <w:sz w:val="32"/>
          <w:szCs w:val="32"/>
          <w:highlight w:val="none"/>
          <w:u w:val="none"/>
          <w:lang w:val="en-US" w:eastAsia="zh-CN"/>
          <w14:textFill>
            <w14:solidFill>
              <w14:schemeClr w14:val="tx1"/>
            </w14:solidFill>
          </w14:textFill>
        </w:rPr>
        <w:t>5.介绍信</w:t>
      </w:r>
    </w:p>
    <w:p>
      <w:pPr>
        <w:pStyle w:val="6"/>
        <w:keepNext w:val="0"/>
        <w:keepLines w:val="0"/>
        <w:pageBreakBefore w:val="0"/>
        <w:widowControl w:val="0"/>
        <w:kinsoku/>
        <w:wordWrap w:val="0"/>
        <w:overflowPunct/>
        <w:topLinePunct w:val="0"/>
        <w:autoSpaceDE/>
        <w:autoSpaceDN/>
        <w:bidi w:val="0"/>
        <w:adjustRightInd/>
        <w:snapToGrid w:val="0"/>
        <w:spacing w:line="572" w:lineRule="exact"/>
        <w:ind w:firstLine="640" w:firstLineChars="200"/>
        <w:jc w:val="both"/>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sectPr>
          <w:pgSz w:w="11850" w:h="16783"/>
          <w:pgMar w:top="2098" w:right="1474" w:bottom="1984" w:left="1588" w:header="851" w:footer="1587" w:gutter="0"/>
          <w:pgNumType w:fmt="decimal"/>
          <w:cols w:space="0" w:num="1"/>
          <w:rtlGutter w:val="0"/>
          <w:docGrid w:type="lines" w:linePitch="312" w:charSpace="0"/>
        </w:sectPr>
      </w:pPr>
    </w:p>
    <w:p>
      <w:pPr>
        <w:numPr>
          <w:ilvl w:val="0"/>
          <w:numId w:val="0"/>
        </w:numPr>
        <w:jc w:val="left"/>
        <w:rPr>
          <w:rFonts w:hint="default" w:ascii="黑体" w:hAnsi="黑体" w:eastAsia="黑体" w:cs="黑体"/>
          <w:kern w:val="2"/>
          <w:sz w:val="32"/>
          <w:szCs w:val="40"/>
          <w:lang w:val="en-US" w:eastAsia="zh-CN" w:bidi="ar-SA"/>
        </w:rPr>
      </w:pPr>
      <w:r>
        <w:rPr>
          <w:rFonts w:hint="eastAsia" w:ascii="黑体" w:hAnsi="黑体" w:eastAsia="黑体" w:cs="黑体"/>
          <w:kern w:val="2"/>
          <w:sz w:val="32"/>
          <w:szCs w:val="40"/>
          <w:lang w:val="en-US" w:eastAsia="zh-CN" w:bidi="ar-SA"/>
        </w:rPr>
        <w:t>附件</w:t>
      </w:r>
      <w:r>
        <w:rPr>
          <w:rFonts w:hint="default" w:ascii="黑体" w:hAnsi="黑体" w:eastAsia="黑体" w:cs="黑体"/>
          <w:kern w:val="2"/>
          <w:sz w:val="32"/>
          <w:szCs w:val="40"/>
          <w:lang w:val="en-US" w:eastAsia="zh-CN" w:bidi="ar-SA"/>
        </w:rPr>
        <w:t>1</w:t>
      </w:r>
    </w:p>
    <w:p>
      <w:pPr>
        <w:jc w:val="center"/>
        <w:rPr>
          <w:rFonts w:hint="eastAsia" w:ascii="黑体" w:hAnsi="黑体" w:eastAsia="黑体"/>
          <w:b/>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4"/>
          <w:szCs w:val="44"/>
          <w14:textFill>
            <w14:solidFill>
              <w14:schemeClr w14:val="tx1"/>
            </w14:solidFill>
          </w14:textFill>
        </w:rPr>
        <w:t>委 托 书</w:t>
      </w:r>
    </w:p>
    <w:p>
      <w:pPr>
        <w:jc w:val="center"/>
        <w:rPr>
          <w:rFonts w:hint="eastAsia" w:ascii="仿宋" w:hAnsi="仿宋" w:eastAsia="仿宋" w:cs="仿宋"/>
          <w:color w:val="000000" w:themeColor="text1"/>
          <w:sz w:val="44"/>
          <w:szCs w:val="44"/>
          <w14:textFill>
            <w14:solidFill>
              <w14:schemeClr w14:val="tx1"/>
            </w14:solidFill>
          </w14:textFill>
        </w:rPr>
      </w:pPr>
    </w:p>
    <w:p>
      <w:pPr>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kinsoku/>
        <w:wordWrap w:val="0"/>
        <w:overflowPunct/>
        <w:topLinePunct w:val="0"/>
        <w:autoSpaceDE/>
        <w:autoSpaceDN/>
        <w:bidi w:val="0"/>
        <w:adjustRightInd/>
        <w:snapToGrid/>
        <w:ind w:firstLine="640" w:firstLineChars="2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本人姓名：</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，身份证号：</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，因</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原因未能亲自来贵处办理</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业务，现委托姓名</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，身份证号</w:t>
      </w:r>
      <w:r>
        <w:rPr>
          <w:rFonts w:hint="eastAsia" w:ascii="仿宋_GB2312" w:hAnsi="仿宋_GB2312" w:eastAsia="仿宋_GB2312" w:cs="仿宋_GB2312"/>
          <w:color w:val="000000" w:themeColor="text1"/>
          <w:sz w:val="32"/>
          <w:szCs w:val="32"/>
          <w:u w:val="single"/>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作为本人的合法代理人，全权代表本人办理以上事项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被委托人</w:t>
      </w:r>
      <w:r>
        <w:rPr>
          <w:rFonts w:hint="eastAsia" w:ascii="仿宋_GB2312" w:hAnsi="仿宋_GB2312" w:eastAsia="仿宋_GB2312" w:cs="仿宋_GB2312"/>
          <w:color w:val="000000" w:themeColor="text1"/>
          <w:sz w:val="32"/>
          <w:szCs w:val="32"/>
          <w14:textFill>
            <w14:solidFill>
              <w14:schemeClr w14:val="tx1"/>
            </w14:solidFill>
          </w14:textFill>
        </w:rPr>
        <w:t>在办理上述事项过程中所签署的有关文件，我均予以认可，并承担所有的法律责任。</w:t>
      </w:r>
    </w:p>
    <w:p>
      <w:pPr>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委托期限：自签字之日起至上述事项办完为止。</w:t>
      </w:r>
    </w:p>
    <w:p>
      <w:pPr>
        <w:ind w:firstLine="435"/>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firstLine="2560" w:firstLineChars="8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委托人（本人手写签名并按手印）：</w:t>
      </w:r>
    </w:p>
    <w:p>
      <w:pPr>
        <w:keepNext w:val="0"/>
        <w:keepLines w:val="0"/>
        <w:pageBreakBefore w:val="0"/>
        <w:widowControl w:val="0"/>
        <w:kinsoku/>
        <w:wordWrap/>
        <w:overflowPunct/>
        <w:topLinePunct w:val="0"/>
        <w:autoSpaceDE/>
        <w:autoSpaceDN/>
        <w:bidi w:val="0"/>
        <w:adjustRightInd/>
        <w:snapToGrid/>
        <w:ind w:firstLine="2560" w:firstLineChars="8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委托人联系电话：</w:t>
      </w:r>
    </w:p>
    <w:p>
      <w:pPr>
        <w:keepNext w:val="0"/>
        <w:keepLines w:val="0"/>
        <w:pageBreakBefore w:val="0"/>
        <w:widowControl w:val="0"/>
        <w:kinsoku/>
        <w:wordWrap/>
        <w:overflowPunct/>
        <w:topLinePunct w:val="0"/>
        <w:autoSpaceDE/>
        <w:autoSpaceDN/>
        <w:bidi w:val="0"/>
        <w:adjustRightInd/>
        <w:snapToGrid/>
        <w:ind w:firstLine="2560" w:firstLineChars="8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被委托人（本人手写签字）：</w:t>
      </w:r>
    </w:p>
    <w:p>
      <w:pPr>
        <w:keepNext w:val="0"/>
        <w:keepLines w:val="0"/>
        <w:pageBreakBefore w:val="0"/>
        <w:widowControl w:val="0"/>
        <w:kinsoku/>
        <w:wordWrap/>
        <w:overflowPunct/>
        <w:topLinePunct w:val="0"/>
        <w:autoSpaceDE/>
        <w:autoSpaceDN/>
        <w:bidi w:val="0"/>
        <w:adjustRightInd/>
        <w:snapToGrid/>
        <w:ind w:firstLine="2560" w:firstLineChars="8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被委托人联系电话：</w:t>
      </w:r>
    </w:p>
    <w:p>
      <w:pPr>
        <w:keepNext w:val="0"/>
        <w:keepLines w:val="0"/>
        <w:pageBreakBefore w:val="0"/>
        <w:widowControl w:val="0"/>
        <w:kinsoku/>
        <w:wordWrap/>
        <w:overflowPunct/>
        <w:topLinePunct w:val="0"/>
        <w:autoSpaceDE/>
        <w:autoSpaceDN/>
        <w:bidi w:val="0"/>
        <w:adjustRightInd/>
        <w:snapToGrid/>
        <w:ind w:firstLine="2560" w:firstLineChars="800"/>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日期：         年     月    日</w:t>
      </w:r>
    </w:p>
    <w:p>
      <w:pPr>
        <w:ind w:firstLine="435"/>
        <w:rPr>
          <w:rFonts w:hint="eastAsia"/>
          <w:color w:val="000000" w:themeColor="text1"/>
          <w:sz w:val="28"/>
          <w:szCs w:val="28"/>
          <w14:textFill>
            <w14:solidFill>
              <w14:schemeClr w14:val="tx1"/>
            </w14:solidFill>
          </w14:textFill>
        </w:rPr>
      </w:pPr>
    </w:p>
    <w:p>
      <w:pPr>
        <w:ind w:firstLine="435"/>
        <w:rPr>
          <w:rFonts w:hint="eastAsia" w:ascii="楷体_GB2312" w:hAnsi="楷体_GB2312" w:eastAsia="楷体_GB2312" w:cs="楷体_GB2312"/>
          <w:b/>
          <w:bCs w:val="0"/>
          <w:color w:val="000000" w:themeColor="text1"/>
          <w:sz w:val="24"/>
          <w:szCs w:val="32"/>
          <w14:textFill>
            <w14:solidFill>
              <w14:schemeClr w14:val="tx1"/>
            </w14:solidFill>
          </w14:textFill>
        </w:rPr>
      </w:pPr>
      <w:r>
        <w:rPr>
          <w:rFonts w:hint="eastAsia" w:ascii="楷体_GB2312" w:hAnsi="楷体_GB2312" w:eastAsia="楷体_GB2312" w:cs="楷体_GB2312"/>
          <w:b/>
          <w:bCs w:val="0"/>
          <w:color w:val="000000" w:themeColor="text1"/>
          <w:sz w:val="24"/>
          <w:szCs w:val="32"/>
          <w14:textFill>
            <w14:solidFill>
              <w14:schemeClr w14:val="tx1"/>
            </w14:solidFill>
          </w14:textFill>
        </w:rPr>
        <w:t>（另需附上</w:t>
      </w:r>
      <w:r>
        <w:rPr>
          <w:rFonts w:hint="eastAsia" w:ascii="楷体_GB2312" w:hAnsi="楷体_GB2312" w:eastAsia="楷体_GB2312" w:cs="楷体_GB2312"/>
          <w:b/>
          <w:bCs w:val="0"/>
          <w:color w:val="000000" w:themeColor="text1"/>
          <w:sz w:val="24"/>
          <w:szCs w:val="32"/>
          <w:lang w:val="en-US" w:eastAsia="zh-CN"/>
          <w14:textFill>
            <w14:solidFill>
              <w14:schemeClr w14:val="tx1"/>
            </w14:solidFill>
          </w14:textFill>
        </w:rPr>
        <w:t>存档</w:t>
      </w:r>
      <w:r>
        <w:rPr>
          <w:rFonts w:hint="eastAsia" w:ascii="楷体_GB2312" w:hAnsi="楷体_GB2312" w:eastAsia="楷体_GB2312" w:cs="楷体_GB2312"/>
          <w:b/>
          <w:bCs w:val="0"/>
          <w:color w:val="000000" w:themeColor="text1"/>
          <w:sz w:val="24"/>
          <w:szCs w:val="32"/>
          <w14:textFill>
            <w14:solidFill>
              <w14:schemeClr w14:val="tx1"/>
            </w14:solidFill>
          </w14:textFill>
        </w:rPr>
        <w:t>人</w:t>
      </w:r>
      <w:r>
        <w:rPr>
          <w:rFonts w:hint="eastAsia" w:ascii="楷体_GB2312" w:hAnsi="楷体_GB2312" w:eastAsia="楷体_GB2312" w:cs="楷体_GB2312"/>
          <w:b/>
          <w:bCs w:val="0"/>
          <w:color w:val="000000" w:themeColor="text1"/>
          <w:sz w:val="24"/>
          <w:szCs w:val="32"/>
          <w:lang w:val="en-US" w:eastAsia="zh-CN"/>
          <w14:textFill>
            <w14:solidFill>
              <w14:schemeClr w14:val="tx1"/>
            </w14:solidFill>
          </w14:textFill>
        </w:rPr>
        <w:t>有效</w:t>
      </w:r>
      <w:r>
        <w:rPr>
          <w:rFonts w:hint="eastAsia" w:ascii="楷体_GB2312" w:hAnsi="楷体_GB2312" w:eastAsia="楷体_GB2312" w:cs="楷体_GB2312"/>
          <w:b/>
          <w:bCs w:val="0"/>
          <w:color w:val="000000" w:themeColor="text1"/>
          <w:sz w:val="24"/>
          <w:szCs w:val="32"/>
          <w14:textFill>
            <w14:solidFill>
              <w14:schemeClr w14:val="tx1"/>
            </w14:solidFill>
          </w14:textFill>
        </w:rPr>
        <w:t>身份证复印件</w:t>
      </w:r>
      <w:r>
        <w:rPr>
          <w:rFonts w:hint="eastAsia" w:ascii="楷体_GB2312" w:hAnsi="楷体_GB2312" w:eastAsia="楷体_GB2312" w:cs="楷体_GB2312"/>
          <w:b/>
          <w:bCs w:val="0"/>
          <w:color w:val="000000" w:themeColor="text1"/>
          <w:sz w:val="24"/>
          <w:szCs w:val="32"/>
          <w:lang w:val="en-US" w:eastAsia="zh-CN"/>
          <w14:textFill>
            <w14:solidFill>
              <w14:schemeClr w14:val="tx1"/>
            </w14:solidFill>
          </w14:textFill>
        </w:rPr>
        <w:t>和经办</w:t>
      </w:r>
      <w:r>
        <w:rPr>
          <w:rFonts w:hint="eastAsia" w:ascii="楷体_GB2312" w:hAnsi="楷体_GB2312" w:eastAsia="楷体_GB2312" w:cs="楷体_GB2312"/>
          <w:b/>
          <w:bCs w:val="0"/>
          <w:color w:val="000000" w:themeColor="text1"/>
          <w:sz w:val="24"/>
          <w:szCs w:val="32"/>
          <w14:textFill>
            <w14:solidFill>
              <w14:schemeClr w14:val="tx1"/>
            </w14:solidFill>
          </w14:textFill>
        </w:rPr>
        <w:t>人</w:t>
      </w:r>
      <w:r>
        <w:rPr>
          <w:rFonts w:hint="eastAsia" w:ascii="楷体_GB2312" w:hAnsi="楷体_GB2312" w:eastAsia="楷体_GB2312" w:cs="楷体_GB2312"/>
          <w:b/>
          <w:bCs w:val="0"/>
          <w:color w:val="000000" w:themeColor="text1"/>
          <w:sz w:val="24"/>
          <w:szCs w:val="32"/>
          <w:lang w:val="en-US" w:eastAsia="zh-CN"/>
          <w14:textFill>
            <w14:solidFill>
              <w14:schemeClr w14:val="tx1"/>
            </w14:solidFill>
          </w14:textFill>
        </w:rPr>
        <w:t>有效</w:t>
      </w:r>
      <w:r>
        <w:rPr>
          <w:rFonts w:hint="eastAsia" w:ascii="楷体_GB2312" w:hAnsi="楷体_GB2312" w:eastAsia="楷体_GB2312" w:cs="楷体_GB2312"/>
          <w:b/>
          <w:bCs w:val="0"/>
          <w:color w:val="000000" w:themeColor="text1"/>
          <w:sz w:val="24"/>
          <w:szCs w:val="32"/>
          <w14:textFill>
            <w14:solidFill>
              <w14:schemeClr w14:val="tx1"/>
            </w14:solidFill>
          </w14:textFill>
        </w:rPr>
        <w:t>身份证</w:t>
      </w:r>
      <w:r>
        <w:rPr>
          <w:rFonts w:hint="eastAsia" w:ascii="楷体_GB2312" w:hAnsi="楷体_GB2312" w:eastAsia="楷体_GB2312" w:cs="楷体_GB2312"/>
          <w:b/>
          <w:bCs w:val="0"/>
          <w:color w:val="000000" w:themeColor="text1"/>
          <w:sz w:val="24"/>
          <w:szCs w:val="32"/>
          <w:lang w:val="en-US" w:eastAsia="zh-CN"/>
          <w14:textFill>
            <w14:solidFill>
              <w14:schemeClr w14:val="tx1"/>
            </w14:solidFill>
          </w14:textFill>
        </w:rPr>
        <w:t>件</w:t>
      </w:r>
      <w:r>
        <w:rPr>
          <w:rFonts w:hint="eastAsia" w:ascii="楷体_GB2312" w:hAnsi="楷体_GB2312" w:eastAsia="楷体_GB2312" w:cs="楷体_GB2312"/>
          <w:b/>
          <w:bCs w:val="0"/>
          <w:color w:val="000000" w:themeColor="text1"/>
          <w:sz w:val="24"/>
          <w:szCs w:val="32"/>
          <w14:textFill>
            <w14:solidFill>
              <w14:schemeClr w14:val="tx1"/>
            </w14:solidFill>
          </w14:textFill>
        </w:rPr>
        <w:t>原件和复印件）</w:t>
      </w:r>
    </w:p>
    <w:p>
      <w:pPr>
        <w:numPr>
          <w:ilvl w:val="0"/>
          <w:numId w:val="0"/>
        </w:numPr>
        <w:jc w:val="left"/>
        <w:rPr>
          <w:rFonts w:hint="default" w:cstheme="minorBidi"/>
          <w:color w:val="000000" w:themeColor="text1"/>
          <w:kern w:val="2"/>
          <w:sz w:val="32"/>
          <w:szCs w:val="40"/>
          <w:lang w:val="en-US" w:eastAsia="zh-CN" w:bidi="ar-SA"/>
          <w14:textFill>
            <w14:solidFill>
              <w14:schemeClr w14:val="tx1"/>
            </w14:solidFill>
          </w14:textFill>
        </w:rPr>
        <w:sectPr>
          <w:pgSz w:w="11850" w:h="16783"/>
          <w:pgMar w:top="2098" w:right="1474" w:bottom="1984" w:left="1588" w:header="851" w:footer="1587" w:gutter="0"/>
          <w:pgNumType w:fmt="decimal"/>
          <w:cols w:space="0" w:num="1"/>
          <w:rtlGutter w:val="0"/>
          <w:docGrid w:type="lines" w:linePitch="312" w:charSpace="0"/>
        </w:sectPr>
      </w:pPr>
    </w:p>
    <w:p>
      <w:pPr>
        <w:numPr>
          <w:ilvl w:val="0"/>
          <w:numId w:val="0"/>
        </w:numPr>
        <w:jc w:val="left"/>
        <w:rPr>
          <w:rFonts w:hint="default" w:ascii="黑体" w:hAnsi="黑体" w:eastAsia="黑体" w:cs="黑体"/>
          <w:kern w:val="2"/>
          <w:sz w:val="32"/>
          <w:szCs w:val="40"/>
          <w:lang w:val="en-US" w:eastAsia="zh-CN" w:bidi="ar-SA"/>
        </w:rPr>
      </w:pPr>
      <w:r>
        <w:rPr>
          <w:rFonts w:hint="eastAsia" w:ascii="黑体" w:hAnsi="黑体" w:eastAsia="黑体" w:cs="黑体"/>
          <w:kern w:val="2"/>
          <w:sz w:val="32"/>
          <w:szCs w:val="40"/>
          <w:lang w:val="en-US" w:eastAsia="zh-CN" w:bidi="ar-SA"/>
        </w:rPr>
        <w:t>附件</w:t>
      </w:r>
      <w:r>
        <w:rPr>
          <w:rFonts w:hint="default" w:ascii="黑体" w:hAnsi="黑体" w:eastAsia="黑体" w:cs="黑体"/>
          <w:kern w:val="2"/>
          <w:sz w:val="32"/>
          <w:szCs w:val="40"/>
          <w:lang w:val="en-US" w:eastAsia="zh-CN" w:bidi="ar-SA"/>
        </w:rPr>
        <w:t>2</w:t>
      </w:r>
    </w:p>
    <w:p>
      <w:pPr>
        <w:numPr>
          <w:ilvl w:val="0"/>
          <w:numId w:val="0"/>
        </w:numPr>
        <w:jc w:val="center"/>
        <w:rPr>
          <w:rFonts w:hint="eastAsia" w:ascii="方正小标宋简体" w:hAnsi="方正小标宋简体" w:eastAsia="方正小标宋简体" w:cs="方正小标宋简体"/>
          <w:b/>
          <w:bCs/>
          <w:color w:val="000000" w:themeColor="text1"/>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highlight w:val="none"/>
          <w:lang w:val="en-US" w:eastAsia="zh-CN"/>
          <w14:textFill>
            <w14:solidFill>
              <w14:schemeClr w14:val="tx1"/>
            </w14:solidFill>
          </w14:textFill>
        </w:rPr>
        <w:t>单位委托集体存档申请书</w:t>
      </w:r>
    </w:p>
    <w:p>
      <w:pPr>
        <w:numPr>
          <w:ilvl w:val="0"/>
          <w:numId w:val="3"/>
        </w:numPr>
        <w:jc w:val="left"/>
        <w:rPr>
          <w:rFonts w:hint="eastAsia" w:ascii="黑体" w:hAnsi="黑体" w:eastAsia="黑体" w:cs="黑体"/>
          <w:color w:val="000000" w:themeColor="text1"/>
          <w:kern w:val="2"/>
          <w:sz w:val="32"/>
          <w:szCs w:val="40"/>
          <w:lang w:val="en-US" w:eastAsia="zh-CN" w:bidi="ar-SA"/>
          <w14:textFill>
            <w14:solidFill>
              <w14:schemeClr w14:val="tx1"/>
            </w14:solidFill>
          </w14:textFill>
        </w:rPr>
      </w:pPr>
      <w:r>
        <w:rPr>
          <w:rFonts w:hint="eastAsia" w:ascii="黑体" w:hAnsi="黑体" w:eastAsia="黑体" w:cs="黑体"/>
          <w:color w:val="000000" w:themeColor="text1"/>
          <w:kern w:val="2"/>
          <w:sz w:val="32"/>
          <w:szCs w:val="40"/>
          <w:lang w:val="en-US" w:eastAsia="zh-CN" w:bidi="ar-SA"/>
          <w14:textFill>
            <w14:solidFill>
              <w14:schemeClr w14:val="tx1"/>
            </w14:solidFill>
          </w14:textFill>
        </w:rPr>
        <w:t>申请单位基本情况介绍</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7"/>
        <w:gridCol w:w="1863"/>
        <w:gridCol w:w="2550"/>
        <w:gridCol w:w="21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单位名称</w:t>
            </w:r>
          </w:p>
        </w:tc>
        <w:tc>
          <w:tcPr>
            <w:tcW w:w="1863" w:type="dxa"/>
          </w:tcPr>
          <w:p>
            <w:pPr>
              <w:numPr>
                <w:ilvl w:val="0"/>
                <w:numId w:val="0"/>
              </w:numPr>
              <w:jc w:val="left"/>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p>
        </w:tc>
        <w:tc>
          <w:tcPr>
            <w:tcW w:w="2550"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证照号</w:t>
            </w:r>
          </w:p>
        </w:tc>
        <w:tc>
          <w:tcPr>
            <w:tcW w:w="2118" w:type="dxa"/>
          </w:tcPr>
          <w:p>
            <w:pPr>
              <w:numPr>
                <w:ilvl w:val="0"/>
                <w:numId w:val="0"/>
              </w:numPr>
              <w:jc w:val="left"/>
              <w:rPr>
                <w:rFonts w:hint="eastAsia" w:ascii="仿宋_GB2312" w:hAnsi="仿宋_GB2312" w:eastAsia="仿宋_GB2312" w:cs="仿宋_GB2312"/>
                <w:color w:val="000000" w:themeColor="text1"/>
                <w:kern w:val="2"/>
                <w:sz w:val="32"/>
                <w:szCs w:val="40"/>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单位地址</w:t>
            </w:r>
          </w:p>
        </w:tc>
        <w:tc>
          <w:tcPr>
            <w:tcW w:w="6531" w:type="dxa"/>
            <w:gridSpan w:val="3"/>
          </w:tcPr>
          <w:p>
            <w:pPr>
              <w:numPr>
                <w:ilvl w:val="0"/>
                <w:numId w:val="0"/>
              </w:numPr>
              <w:jc w:val="left"/>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法人姓名</w:t>
            </w:r>
          </w:p>
        </w:tc>
        <w:tc>
          <w:tcPr>
            <w:tcW w:w="1863" w:type="dxa"/>
          </w:tcPr>
          <w:p>
            <w:pPr>
              <w:numPr>
                <w:ilvl w:val="0"/>
                <w:numId w:val="0"/>
              </w:numPr>
              <w:jc w:val="left"/>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p>
        </w:tc>
        <w:tc>
          <w:tcPr>
            <w:tcW w:w="2550"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法人联系电话</w:t>
            </w:r>
          </w:p>
        </w:tc>
        <w:tc>
          <w:tcPr>
            <w:tcW w:w="2118" w:type="dxa"/>
          </w:tcPr>
          <w:p>
            <w:pPr>
              <w:numPr>
                <w:ilvl w:val="0"/>
                <w:numId w:val="0"/>
              </w:numPr>
              <w:jc w:val="left"/>
              <w:rPr>
                <w:rFonts w:hint="eastAsia" w:ascii="仿宋_GB2312" w:hAnsi="仿宋_GB2312" w:eastAsia="仿宋_GB2312" w:cs="仿宋_GB2312"/>
                <w:color w:val="000000" w:themeColor="text1"/>
                <w:kern w:val="2"/>
                <w:sz w:val="32"/>
                <w:szCs w:val="40"/>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法人身份证号</w:t>
            </w:r>
          </w:p>
        </w:tc>
        <w:tc>
          <w:tcPr>
            <w:tcW w:w="6531" w:type="dxa"/>
            <w:gridSpan w:val="3"/>
          </w:tcPr>
          <w:p>
            <w:pPr>
              <w:numPr>
                <w:ilvl w:val="0"/>
                <w:numId w:val="0"/>
              </w:numPr>
              <w:jc w:val="left"/>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经办人姓名</w:t>
            </w:r>
          </w:p>
        </w:tc>
        <w:tc>
          <w:tcPr>
            <w:tcW w:w="1863" w:type="dxa"/>
          </w:tcPr>
          <w:p>
            <w:pPr>
              <w:numPr>
                <w:ilvl w:val="0"/>
                <w:numId w:val="0"/>
              </w:numPr>
              <w:jc w:val="left"/>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p>
        </w:tc>
        <w:tc>
          <w:tcPr>
            <w:tcW w:w="2550"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经办人联系电话</w:t>
            </w:r>
          </w:p>
        </w:tc>
        <w:tc>
          <w:tcPr>
            <w:tcW w:w="2118" w:type="dxa"/>
          </w:tcPr>
          <w:p>
            <w:pPr>
              <w:numPr>
                <w:ilvl w:val="0"/>
                <w:numId w:val="0"/>
              </w:numPr>
              <w:jc w:val="left"/>
              <w:rPr>
                <w:rFonts w:hint="eastAsia" w:ascii="仿宋_GB2312" w:hAnsi="仿宋_GB2312" w:eastAsia="仿宋_GB2312" w:cs="仿宋_GB2312"/>
                <w:color w:val="000000" w:themeColor="text1"/>
                <w:kern w:val="2"/>
                <w:sz w:val="32"/>
                <w:szCs w:val="40"/>
                <w:vertAlign w:val="baseline"/>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37" w:type="dxa"/>
          </w:tcPr>
          <w:p>
            <w:pPr>
              <w:numPr>
                <w:ilvl w:val="0"/>
                <w:numId w:val="0"/>
              </w:numPr>
              <w:jc w:val="distribute"/>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0"/>
                <w:szCs w:val="30"/>
                <w:vertAlign w:val="baseline"/>
                <w:lang w:val="en-US" w:eastAsia="zh-CN" w:bidi="ar-SA"/>
                <w14:textFill>
                  <w14:solidFill>
                    <w14:schemeClr w14:val="tx1"/>
                  </w14:solidFill>
                </w14:textFill>
              </w:rPr>
              <w:t>经办人身份号</w:t>
            </w:r>
          </w:p>
        </w:tc>
        <w:tc>
          <w:tcPr>
            <w:tcW w:w="6531" w:type="dxa"/>
            <w:gridSpan w:val="3"/>
          </w:tcPr>
          <w:p>
            <w:pPr>
              <w:numPr>
                <w:ilvl w:val="0"/>
                <w:numId w:val="0"/>
              </w:numPr>
              <w:jc w:val="left"/>
              <w:rPr>
                <w:rFonts w:hint="eastAsia" w:ascii="仿宋_GB2312" w:hAnsi="仿宋_GB2312" w:eastAsia="仿宋_GB2312" w:cs="仿宋_GB2312"/>
                <w:color w:val="000000" w:themeColor="text1"/>
                <w:kern w:val="2"/>
                <w:sz w:val="32"/>
                <w:szCs w:val="40"/>
                <w:vertAlign w:val="baseline"/>
                <w:lang w:val="en-US" w:eastAsia="zh-CN" w:bidi="ar-SA"/>
                <w14:textFill>
                  <w14:solidFill>
                    <w14:schemeClr w14:val="tx1"/>
                  </w14:solidFill>
                </w14:textFill>
              </w:rPr>
            </w:pPr>
          </w:p>
        </w:tc>
      </w:tr>
    </w:tbl>
    <w:p>
      <w:pPr>
        <w:numPr>
          <w:ilvl w:val="0"/>
          <w:numId w:val="3"/>
        </w:numPr>
        <w:jc w:val="left"/>
        <w:rPr>
          <w:rFonts w:hint="eastAsia" w:ascii="黑体" w:hAnsi="黑体" w:eastAsia="黑体" w:cs="黑体"/>
          <w:color w:val="000000" w:themeColor="text1"/>
          <w:kern w:val="2"/>
          <w:sz w:val="32"/>
          <w:szCs w:val="40"/>
          <w:vertAlign w:val="baseline"/>
          <w:lang w:val="en-US" w:eastAsia="zh-CN" w:bidi="ar-SA"/>
          <w14:textFill>
            <w14:solidFill>
              <w14:schemeClr w14:val="tx1"/>
            </w14:solidFill>
          </w14:textFill>
        </w:rPr>
      </w:pPr>
      <w:r>
        <w:rPr>
          <w:rFonts w:hint="eastAsia" w:ascii="黑体" w:hAnsi="黑体" w:eastAsia="黑体" w:cs="黑体"/>
          <w:color w:val="000000" w:themeColor="text1"/>
          <w:kern w:val="2"/>
          <w:sz w:val="32"/>
          <w:szCs w:val="40"/>
          <w:lang w:val="en-US" w:eastAsia="zh-CN" w:bidi="ar-SA"/>
          <w14:textFill>
            <w14:solidFill>
              <w14:schemeClr w14:val="tx1"/>
            </w14:solidFill>
          </w14:textFill>
        </w:rPr>
        <w:t>开户理由（请根据本单位申请的实际理由填写）</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57" w:hRule="atLeast"/>
          <w:jc w:val="center"/>
        </w:trPr>
        <w:tc>
          <w:tcPr>
            <w:tcW w:w="8693" w:type="dxa"/>
          </w:tcPr>
          <w:p>
            <w:pPr>
              <w:numPr>
                <w:ilvl w:val="0"/>
                <w:numId w:val="0"/>
              </w:numPr>
              <w:jc w:val="left"/>
              <w:rPr>
                <w:rFonts w:hint="eastAsia" w:ascii="黑体" w:hAnsi="黑体" w:eastAsia="黑体" w:cs="黑体"/>
                <w:color w:val="000000" w:themeColor="text1"/>
                <w:kern w:val="2"/>
                <w:sz w:val="32"/>
                <w:szCs w:val="40"/>
                <w:vertAlign w:val="baseline"/>
                <w:lang w:val="en-US" w:eastAsia="zh-CN" w:bidi="ar-SA"/>
                <w14:textFill>
                  <w14:solidFill>
                    <w14:schemeClr w14:val="tx1"/>
                  </w14:solidFill>
                </w14:textFill>
              </w:rPr>
            </w:pPr>
          </w:p>
        </w:tc>
      </w:tr>
    </w:tbl>
    <w:p>
      <w:pPr>
        <w:numPr>
          <w:ilvl w:val="0"/>
          <w:numId w:val="3"/>
        </w:numPr>
        <w:jc w:val="left"/>
        <w:rPr>
          <w:rFonts w:hint="eastAsia" w:ascii="黑体" w:hAnsi="黑体" w:eastAsia="黑体" w:cs="黑体"/>
          <w:color w:val="000000" w:themeColor="text1"/>
          <w:kern w:val="2"/>
          <w:sz w:val="32"/>
          <w:szCs w:val="40"/>
          <w:lang w:val="en-US" w:eastAsia="zh-CN" w:bidi="ar-SA"/>
          <w14:textFill>
            <w14:solidFill>
              <w14:schemeClr w14:val="tx1"/>
            </w14:solidFill>
          </w14:textFill>
        </w:rPr>
      </w:pPr>
      <w:r>
        <w:rPr>
          <w:rFonts w:hint="eastAsia" w:ascii="黑体" w:hAnsi="黑体" w:eastAsia="黑体" w:cs="黑体"/>
          <w:color w:val="000000" w:themeColor="text1"/>
          <w:kern w:val="2"/>
          <w:sz w:val="32"/>
          <w:szCs w:val="40"/>
          <w:lang w:val="en-US" w:eastAsia="zh-CN" w:bidi="ar-SA"/>
          <w14:textFill>
            <w14:solidFill>
              <w14:schemeClr w14:val="tx1"/>
            </w14:solidFill>
          </w14:textFill>
        </w:rPr>
        <w:t>开户申请</w:t>
      </w:r>
    </w:p>
    <w:p>
      <w:pPr>
        <w:numPr>
          <w:ilvl w:val="0"/>
          <w:numId w:val="0"/>
        </w:numPr>
        <w:ind w:firstLine="640" w:firstLineChars="200"/>
        <w:jc w:val="left"/>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lang w:val="en-US" w:eastAsia="zh-CN" w:bidi="ar-SA"/>
          <w14:textFill>
            <w14:solidFill>
              <w14:schemeClr w14:val="tx1"/>
            </w14:solidFill>
          </w14:textFill>
        </w:rPr>
        <w:t>现拟安排</w:t>
      </w:r>
      <w:r>
        <w:rPr>
          <w:rFonts w:hint="eastAsia" w:ascii="仿宋_GB2312" w:hAnsi="仿宋_GB2312" w:eastAsia="仿宋_GB2312" w:cs="仿宋_GB2312"/>
          <w:color w:val="000000" w:themeColor="text1"/>
          <w:kern w:val="2"/>
          <w:sz w:val="32"/>
          <w:szCs w:val="32"/>
          <w:u w:val="single"/>
          <w:lang w:val="en-US" w:eastAsia="zh-CN" w:bidi="ar-SA"/>
          <w14:textFill>
            <w14:solidFill>
              <w14:schemeClr w14:val="tx1"/>
            </w14:solidFill>
          </w14:textFill>
        </w:rPr>
        <w:t xml:space="preserve">         </w:t>
      </w:r>
      <w:r>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t>同志作为人事专员负责承办本单位委托集体存档业务。</w:t>
      </w:r>
    </w:p>
    <w:p>
      <w:pPr>
        <w:numPr>
          <w:ilvl w:val="0"/>
          <w:numId w:val="0"/>
        </w:numPr>
        <w:ind w:firstLine="640" w:firstLineChars="200"/>
        <w:jc w:val="left"/>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pPr>
    </w:p>
    <w:p>
      <w:pPr>
        <w:numPr>
          <w:ilvl w:val="0"/>
          <w:numId w:val="0"/>
        </w:numPr>
        <w:jc w:val="right"/>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pPr>
      <w:r>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t>（单位盖章）</w:t>
      </w:r>
    </w:p>
    <w:p>
      <w:pPr>
        <w:pStyle w:val="6"/>
        <w:keepNext w:val="0"/>
        <w:keepLines w:val="0"/>
        <w:pageBreakBefore w:val="0"/>
        <w:widowControl w:val="0"/>
        <w:kinsoku/>
        <w:wordWrap w:val="0"/>
        <w:overflowPunct/>
        <w:topLinePunct w:val="0"/>
        <w:autoSpaceDE/>
        <w:autoSpaceDN/>
        <w:bidi w:val="0"/>
        <w:adjustRightInd/>
        <w:snapToGrid w:val="0"/>
        <w:spacing w:line="572" w:lineRule="exact"/>
        <w:jc w:val="both"/>
        <w:textAlignment w:val="auto"/>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sectPr>
          <w:pgSz w:w="11850" w:h="16783"/>
          <w:pgMar w:top="2098" w:right="1474" w:bottom="1984" w:left="1588" w:header="851" w:footer="1587" w:gutter="0"/>
          <w:pgNumType w:fmt="decimal"/>
          <w:cols w:space="0" w:num="1"/>
          <w:rtlGutter w:val="0"/>
          <w:docGrid w:type="lines" w:linePitch="312" w:charSpace="0"/>
        </w:sectPr>
      </w:pPr>
      <w:r>
        <w:rPr>
          <w:rFonts w:hint="eastAsia" w:ascii="仿宋_GB2312" w:hAnsi="仿宋_GB2312" w:eastAsia="仿宋_GB2312" w:cs="仿宋_GB2312"/>
          <w:color w:val="000000" w:themeColor="text1"/>
          <w:kern w:val="2"/>
          <w:sz w:val="32"/>
          <w:szCs w:val="32"/>
          <w:u w:val="none"/>
          <w:lang w:val="en-US" w:eastAsia="zh-CN" w:bidi="ar-SA"/>
          <w14:textFill>
            <w14:solidFill>
              <w14:schemeClr w14:val="tx1"/>
            </w14:solidFill>
          </w14:textFill>
        </w:rPr>
        <w:t xml:space="preserve">                                          年   月   日</w:t>
      </w:r>
    </w:p>
    <w:p>
      <w:pPr>
        <w:keepNext w:val="0"/>
        <w:keepLines w:val="0"/>
        <w:pageBreakBefore w:val="0"/>
        <w:widowControl w:val="0"/>
        <w:numPr>
          <w:ilvl w:val="0"/>
          <w:numId w:val="0"/>
        </w:numPr>
        <w:kinsoku/>
        <w:overflowPunct/>
        <w:topLinePunct w:val="0"/>
        <w:autoSpaceDE/>
        <w:autoSpaceDN/>
        <w:bidi w:val="0"/>
        <w:adjustRightInd/>
        <w:spacing w:line="579" w:lineRule="exact"/>
        <w:jc w:val="both"/>
        <w:textAlignment w:val="auto"/>
        <w:rPr>
          <w:rFonts w:hint="default" w:ascii="黑体" w:hAnsi="黑体" w:eastAsia="黑体" w:cs="黑体"/>
          <w:color w:val="000000" w:themeColor="text1"/>
          <w:kern w:val="2"/>
          <w:sz w:val="32"/>
          <w:szCs w:val="40"/>
          <w:lang w:val="en-US" w:eastAsia="zh-CN" w:bidi="ar-SA"/>
          <w14:textFill>
            <w14:solidFill>
              <w14:schemeClr w14:val="tx1"/>
            </w14:solidFill>
          </w14:textFill>
        </w:rPr>
      </w:pPr>
      <w:r>
        <w:rPr>
          <w:rFonts w:hint="default" w:ascii="黑体" w:hAnsi="黑体" w:eastAsia="黑体" w:cs="黑体"/>
          <w:kern w:val="2"/>
          <w:sz w:val="32"/>
          <w:szCs w:val="40"/>
          <w:lang w:val="en-US" w:eastAsia="zh-CN" w:bidi="ar-SA"/>
        </w:rPr>
        <w:t>附件3</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default" w:ascii="Times New Roman" w:hAnsi="Times New Roman" w:eastAsia="方正小标宋简体" w:cs="Times New Roman"/>
          <w:b w:val="0"/>
          <w:bCs w:val="0"/>
          <w:color w:val="000000" w:themeColor="text1"/>
          <w:sz w:val="44"/>
          <w:szCs w:val="44"/>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default" w:ascii="Times New Roman" w:hAnsi="Times New Roman" w:eastAsia="方正小标宋简体" w:cs="Times New Roman"/>
          <w:b w:val="0"/>
          <w:bCs w:val="0"/>
          <w:color w:val="000000" w:themeColor="text1"/>
          <w:sz w:val="44"/>
          <w:szCs w:val="44"/>
          <w:lang w:val="en-US" w:eastAsia="zh-CN"/>
          <w14:textFill>
            <w14:solidFill>
              <w14:schemeClr w14:val="tx1"/>
            </w14:solidFill>
          </w14:textFill>
        </w:rPr>
      </w:pPr>
      <w:r>
        <w:rPr>
          <w:rFonts w:hint="default" w:ascii="Times New Roman" w:hAnsi="Times New Roman" w:eastAsia="方正小标宋简体" w:cs="Times New Roman"/>
          <w:b w:val="0"/>
          <w:bCs w:val="0"/>
          <w:color w:val="000000" w:themeColor="text1"/>
          <w:sz w:val="44"/>
          <w:szCs w:val="44"/>
          <w:lang w:val="en-US" w:eastAsia="zh-CN"/>
          <w14:textFill>
            <w14:solidFill>
              <w14:schemeClr w14:val="tx1"/>
            </w14:solidFill>
          </w14:textFill>
        </w:rPr>
        <w:t>流动人员人事档案单位委托集体存档服务协议</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default" w:ascii="Times New Roman" w:hAnsi="Times New Roman" w:cs="Times New Roman" w:eastAsiaTheme="majorEastAsia"/>
          <w:b/>
          <w:bCs/>
          <w:color w:val="000000" w:themeColor="text1"/>
          <w:sz w:val="36"/>
          <w:szCs w:val="36"/>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甲方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乙方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default" w:ascii="仿宋_GB2312" w:hAnsi="仿宋_GB2312" w:eastAsia="仿宋_GB2312" w:cs="仿宋_GB2312"/>
          <w:color w:val="000000" w:themeColor="text1"/>
          <w:sz w:val="32"/>
          <w:szCs w:val="32"/>
          <w:lang w:val="e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依据</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《中共中央组织部 人力资源社会保障部等五部门关于进一步加强流动人员人事档案管理服务工作的通知》（人社部发</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shd w:val="clear" w:color="auto" w:fill="FFFFFF"/>
          <w14:textFill>
            <w14:solidFill>
              <w14:schemeClr w14:val="tx1"/>
            </w14:solidFill>
          </w14:textFill>
        </w:rPr>
        <w:t>20</w:t>
      </w:r>
      <w:r>
        <w:rPr>
          <w:rFonts w:hint="default" w:ascii="Times New Roman" w:hAnsi="Times New Roman" w:eastAsia="仿宋_GB2312" w:cs="Times New Roman"/>
          <w:color w:val="000000" w:themeColor="text1"/>
          <w:spacing w:val="0"/>
          <w:kern w:val="0"/>
          <w:sz w:val="32"/>
          <w:szCs w:val="32"/>
          <w:shd w:val="clear" w:color="auto" w:fill="FFFFFF"/>
          <w:lang w:val="en-US" w:eastAsia="zh-CN"/>
          <w14:textFill>
            <w14:solidFill>
              <w14:schemeClr w14:val="tx1"/>
            </w14:solidFill>
          </w14:textFill>
        </w:rPr>
        <w:t>14</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90</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号）、《中共中央组织部 人力资源社会保障部等五部门关于印发〈流动人员人事档案管理服务规定〉的通知》（人社部发</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shd w:val="clear" w:color="auto" w:fill="FFFFFF"/>
          <w14:textFill>
            <w14:solidFill>
              <w14:schemeClr w14:val="tx1"/>
            </w14:solidFill>
          </w14:textFill>
        </w:rPr>
        <w:t>20</w:t>
      </w:r>
      <w:r>
        <w:rPr>
          <w:rFonts w:hint="default" w:ascii="Times New Roman" w:hAnsi="Times New Roman" w:eastAsia="仿宋_GB2312" w:cs="Times New Roman"/>
          <w:color w:val="000000" w:themeColor="text1"/>
          <w:spacing w:val="0"/>
          <w:kern w:val="0"/>
          <w:sz w:val="32"/>
          <w:szCs w:val="32"/>
          <w:shd w:val="clear" w:color="auto" w:fill="FFFFFF"/>
          <w:lang w:val="en-US" w:eastAsia="zh-CN"/>
          <w14:textFill>
            <w14:solidFill>
              <w14:schemeClr w14:val="tx1"/>
            </w14:solidFill>
          </w14:textFill>
        </w:rPr>
        <w:t>21</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112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号）、《关于贯彻落实中共中央组织部 人力资源社会保障部等五部门&lt;流动人员人事档案管理服务规定&gt;有关事项的通知》（湘人社规</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pacing w:val="0"/>
          <w:kern w:val="0"/>
          <w:sz w:val="32"/>
          <w:szCs w:val="32"/>
          <w:shd w:val="clear" w:color="auto" w:fill="FFFFFF"/>
          <w14:textFill>
            <w14:solidFill>
              <w14:schemeClr w14:val="tx1"/>
            </w14:solidFill>
          </w14:textFill>
        </w:rPr>
        <w:t>20</w:t>
      </w:r>
      <w:r>
        <w:rPr>
          <w:rFonts w:hint="default" w:ascii="Times New Roman" w:hAnsi="Times New Roman" w:eastAsia="仿宋_GB2312" w:cs="Times New Roman"/>
          <w:color w:val="000000" w:themeColor="text1"/>
          <w:spacing w:val="0"/>
          <w:kern w:val="0"/>
          <w:sz w:val="32"/>
          <w:szCs w:val="32"/>
          <w:shd w:val="clear" w:color="auto" w:fill="FFFFFF"/>
          <w:lang w:val="en-US" w:eastAsia="zh-CN"/>
          <w14:textFill>
            <w14:solidFill>
              <w14:schemeClr w14:val="tx1"/>
            </w14:solidFill>
          </w14:textFill>
        </w:rPr>
        <w:t>23</w:t>
      </w:r>
      <w:r>
        <w:rPr>
          <w:rFonts w:hint="eastAsia" w:ascii="仿宋_GB2312" w:hAnsi="仿宋_GB2312" w:eastAsia="仿宋_GB2312" w:cs="仿宋_GB2312"/>
          <w:color w:val="000000" w:themeColor="text1"/>
          <w:spacing w:val="0"/>
          <w:kern w:val="0"/>
          <w:sz w:val="32"/>
          <w:szCs w:val="32"/>
          <w:shd w:val="clear" w:color="auto" w:fill="FFFFFF"/>
          <w14:textFill>
            <w14:solidFill>
              <w14:schemeClr w14:val="tx1"/>
            </w14:solidFill>
          </w14:textFill>
        </w:rPr>
        <w:t>〕</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号）</w:t>
      </w:r>
      <w:r>
        <w:rPr>
          <w:rFonts w:hint="eastAsia" w:ascii="仿宋_GB2312" w:hAnsi="仿宋_GB2312" w:eastAsia="仿宋_GB2312" w:cs="仿宋_GB2312"/>
          <w:color w:val="000000" w:themeColor="text1"/>
          <w:sz w:val="32"/>
          <w:szCs w:val="32"/>
          <w14:textFill>
            <w14:solidFill>
              <w14:schemeClr w14:val="tx1"/>
            </w14:solidFill>
          </w14:textFill>
        </w:rPr>
        <w:t>有关规定，甲、乙双方本着自愿协商的原则，就</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单位委托集体存档</w:t>
      </w:r>
      <w:r>
        <w:rPr>
          <w:rFonts w:hint="eastAsia" w:ascii="仿宋_GB2312" w:hAnsi="仿宋_GB2312" w:eastAsia="仿宋_GB2312" w:cs="仿宋_GB2312"/>
          <w:color w:val="000000" w:themeColor="text1"/>
          <w:sz w:val="32"/>
          <w:szCs w:val="32"/>
          <w14:textFill>
            <w14:solidFill>
              <w14:schemeClr w14:val="tx1"/>
            </w14:solidFill>
          </w14:textFill>
        </w:rPr>
        <w:t>签订以下协议</w:t>
      </w:r>
      <w:r>
        <w:rPr>
          <w:rFonts w:hint="default" w:ascii="仿宋_GB2312" w:hAnsi="仿宋_GB2312" w:eastAsia="仿宋_GB2312" w:cs="仿宋_GB2312"/>
          <w:color w:val="000000" w:themeColor="text1"/>
          <w:sz w:val="32"/>
          <w:szCs w:val="32"/>
          <w:lang w:val="en"/>
          <w14:textFill>
            <w14:solidFill>
              <w14:schemeClr w14:val="tx1"/>
            </w14:solidFill>
          </w14:textFill>
        </w:rPr>
        <w:t>：</w:t>
      </w:r>
    </w:p>
    <w:p>
      <w:pPr>
        <w:keepNext w:val="0"/>
        <w:keepLines w:val="0"/>
        <w:pageBreakBefore w:val="0"/>
        <w:widowControl w:val="0"/>
        <w:numPr>
          <w:ilvl w:val="0"/>
          <w:numId w:val="4"/>
        </w:numPr>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本协议为</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年固定期限协议，</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服务</w:t>
      </w:r>
      <w:r>
        <w:rPr>
          <w:rFonts w:hint="eastAsia" w:ascii="仿宋_GB2312" w:hAnsi="仿宋_GB2312" w:eastAsia="仿宋_GB2312" w:cs="仿宋_GB2312"/>
          <w:color w:val="000000" w:themeColor="text1"/>
          <w:sz w:val="32"/>
          <w:szCs w:val="32"/>
          <w14:textFill>
            <w14:solidFill>
              <w14:schemeClr w14:val="tx1"/>
            </w14:solidFill>
          </w14:textFill>
        </w:rPr>
        <w:t>期限自</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年</w:t>
      </w:r>
    </w:p>
    <w:p>
      <w:pPr>
        <w:keepNext w:val="0"/>
        <w:keepLines w:val="0"/>
        <w:pageBreakBefore w:val="0"/>
        <w:widowControl w:val="0"/>
        <w:numPr>
          <w:ilvl w:val="0"/>
          <w:numId w:val="0"/>
        </w:numPr>
        <w:kinsoku/>
        <w:wordWrap/>
        <w:overflowPunct/>
        <w:topLinePunct w:val="0"/>
        <w:autoSpaceDE/>
        <w:autoSpaceDN/>
        <w:bidi w:val="0"/>
        <w:adjustRightInd/>
        <w:snapToGrid/>
        <w:spacing w:line="579" w:lineRule="exact"/>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日至</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年</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2"/>
          <w:szCs w:val="32"/>
          <w14:textFill>
            <w14:solidFill>
              <w14:schemeClr w14:val="tx1"/>
            </w14:solidFill>
          </w14:textFill>
        </w:rPr>
        <w:t>日。协议期满前一个月乙方可持相关材料申请续签。</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协议</w:t>
      </w:r>
      <w:r>
        <w:rPr>
          <w:rFonts w:hint="eastAsia" w:ascii="仿宋_GB2312" w:hAnsi="仿宋_GB2312" w:eastAsia="仿宋_GB2312" w:cs="仿宋_GB2312"/>
          <w:color w:val="000000" w:themeColor="text1"/>
          <w:sz w:val="32"/>
          <w:szCs w:val="32"/>
          <w14:textFill>
            <w14:solidFill>
              <w14:schemeClr w14:val="tx1"/>
            </w14:solidFill>
          </w14:textFill>
        </w:rPr>
        <w:t>期限内，甲方根据乙方委托，管理乙方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聘用员工的</w:t>
      </w:r>
      <w:r>
        <w:rPr>
          <w:rFonts w:hint="eastAsia" w:ascii="仿宋_GB2312" w:hAnsi="仿宋_GB2312" w:eastAsia="仿宋_GB2312" w:cs="仿宋_GB2312"/>
          <w:color w:val="000000" w:themeColor="text1"/>
          <w:sz w:val="32"/>
          <w:szCs w:val="32"/>
          <w14:textFill>
            <w14:solidFill>
              <w14:schemeClr w14:val="tx1"/>
            </w14:solidFill>
          </w14:textFill>
        </w:rPr>
        <w:t>人事档案，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免费提供：档案的接收、转递；档案材料的收集、鉴别和归档；档案的整理和保管；为符合相关规定的单位提供档案查（借）阅服务；依据档案记载出具存档、经历、亲属关系等相关证明材料；为相关单位提供入党、参军、录（聘）用、出国（境）等政审考察服务</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三、为确保甲方顺利为乙方提供以上</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档案管理服务</w:t>
      </w:r>
      <w:r>
        <w:rPr>
          <w:rFonts w:hint="eastAsia" w:ascii="仿宋_GB2312" w:hAnsi="仿宋_GB2312" w:eastAsia="仿宋_GB2312" w:cs="仿宋_GB2312"/>
          <w:color w:val="000000" w:themeColor="text1"/>
          <w:sz w:val="32"/>
          <w:szCs w:val="32"/>
          <w14:textFill>
            <w14:solidFill>
              <w14:schemeClr w14:val="tx1"/>
            </w14:solidFill>
          </w14:textFill>
        </w:rPr>
        <w:t>业务，乙方应切实履行以下责任</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乙方未在省内其他公共就业和人才服务机构办理单位委托</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集体存档服务</w:t>
      </w:r>
      <w:r>
        <w:rPr>
          <w:rFonts w:hint="eastAsia" w:ascii="仿宋_GB2312" w:hAnsi="仿宋_GB2312" w:eastAsia="仿宋_GB2312" w:cs="仿宋_GB2312"/>
          <w:color w:val="000000" w:themeColor="text1"/>
          <w:sz w:val="32"/>
          <w:szCs w:val="32"/>
          <w14:textFill>
            <w14:solidFill>
              <w14:schemeClr w14:val="tx1"/>
            </w14:solidFill>
          </w14:textFill>
        </w:rPr>
        <w:t>业务</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2</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.乙方</w:t>
      </w:r>
      <w:r>
        <w:rPr>
          <w:rFonts w:hint="eastAsia" w:ascii="仿宋_GB2312" w:hAnsi="仿宋_GB2312" w:eastAsia="仿宋_GB2312" w:cs="仿宋_GB2312"/>
          <w:color w:val="000000" w:themeColor="text1"/>
          <w:sz w:val="32"/>
          <w:szCs w:val="32"/>
          <w14:textFill>
            <w14:solidFill>
              <w14:schemeClr w14:val="tx1"/>
            </w14:solidFill>
          </w14:textFill>
        </w:rPr>
        <w:t>安排人事专员负责与甲方联系、承办有关</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集体存档服务</w:t>
      </w:r>
      <w:r>
        <w:rPr>
          <w:rFonts w:hint="eastAsia" w:ascii="仿宋_GB2312" w:hAnsi="仿宋_GB2312" w:eastAsia="仿宋_GB2312" w:cs="仿宋_GB2312"/>
          <w:color w:val="000000" w:themeColor="text1"/>
          <w:sz w:val="32"/>
          <w:szCs w:val="32"/>
          <w14:textFill>
            <w14:solidFill>
              <w14:schemeClr w14:val="tx1"/>
            </w14:solidFill>
          </w14:textFill>
        </w:rPr>
        <w:t>业务</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3</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办理业务时，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乙方</w:t>
      </w:r>
      <w:r>
        <w:rPr>
          <w:rFonts w:hint="eastAsia" w:ascii="仿宋_GB2312" w:hAnsi="仿宋_GB2312" w:eastAsia="仿宋_GB2312" w:cs="仿宋_GB2312"/>
          <w:color w:val="000000" w:themeColor="text1"/>
          <w:sz w:val="32"/>
          <w:szCs w:val="32"/>
          <w14:textFill>
            <w14:solidFill>
              <w14:schemeClr w14:val="tx1"/>
            </w14:solidFill>
          </w14:textFill>
        </w:rPr>
        <w:t>向甲方提供的信息及时、准确、有效</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4</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协议</w:t>
      </w:r>
      <w:r>
        <w:rPr>
          <w:rFonts w:hint="eastAsia" w:ascii="仿宋_GB2312" w:hAnsi="仿宋_GB2312" w:eastAsia="仿宋_GB2312" w:cs="仿宋_GB2312"/>
          <w:color w:val="000000" w:themeColor="text1"/>
          <w:sz w:val="32"/>
          <w:szCs w:val="32"/>
          <w14:textFill>
            <w14:solidFill>
              <w14:schemeClr w14:val="tx1"/>
            </w14:solidFill>
          </w14:textFill>
        </w:rPr>
        <w:t>期间形成的职称、学历、奖惩等新增档案材料及时送交甲方归入乙方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聘用</w:t>
      </w:r>
      <w:r>
        <w:rPr>
          <w:rFonts w:hint="eastAsia" w:ascii="仿宋_GB2312" w:hAnsi="仿宋_GB2312" w:eastAsia="仿宋_GB2312" w:cs="仿宋_GB2312"/>
          <w:color w:val="000000" w:themeColor="text1"/>
          <w:sz w:val="32"/>
          <w:szCs w:val="32"/>
          <w14:textFill>
            <w14:solidFill>
              <w14:schemeClr w14:val="tx1"/>
            </w14:solidFill>
          </w14:textFill>
        </w:rPr>
        <w:t>员工档案，员工年度考核表每年</w:t>
      </w:r>
      <w:r>
        <w:rPr>
          <w:rFonts w:hint="default" w:ascii="Times New Roman" w:hAnsi="Times New Roman" w:eastAsia="仿宋_GB2312" w:cs="Times New Roman"/>
          <w:color w:val="000000" w:themeColor="text1"/>
          <w:sz w:val="32"/>
          <w:szCs w:val="32"/>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月底前移交甲方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.乙方存档（经办）人员</w:t>
      </w:r>
      <w:r>
        <w:rPr>
          <w:rFonts w:hint="eastAsia" w:ascii="仿宋_GB2312" w:hAnsi="仿宋_GB2312" w:eastAsia="仿宋_GB2312" w:cs="仿宋_GB2312"/>
          <w:color w:val="000000" w:themeColor="text1"/>
          <w:sz w:val="32"/>
          <w:szCs w:val="32"/>
          <w:highlight w:val="none"/>
          <w:lang w:val="en-US" w:eastAsia="zh-CN"/>
          <w14:textFill>
            <w14:solidFill>
              <w14:schemeClr w14:val="tx1"/>
            </w14:solidFill>
          </w14:textFill>
        </w:rPr>
        <w:t>办理档案相关业务时，均需提供单位开具的介绍信，个人有效身份证件不能作为唯一有效材料进行审核。</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6</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乙方与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办理存档</w:t>
      </w:r>
      <w:r>
        <w:rPr>
          <w:rFonts w:hint="eastAsia" w:ascii="仿宋_GB2312" w:hAnsi="仿宋_GB2312" w:eastAsia="仿宋_GB2312" w:cs="仿宋_GB2312"/>
          <w:color w:val="000000" w:themeColor="text1"/>
          <w:sz w:val="32"/>
          <w:szCs w:val="32"/>
          <w14:textFill>
            <w14:solidFill>
              <w14:schemeClr w14:val="tx1"/>
            </w14:solidFill>
          </w14:textFill>
        </w:rPr>
        <w:t>员工终止（或解除）劳动合同关系后，应在与其终止（或解除）劳动合同关系</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后</w:t>
      </w:r>
      <w:r>
        <w:rPr>
          <w:rFonts w:hint="eastAsia" w:ascii="仿宋_GB2312" w:hAnsi="仿宋_GB2312" w:eastAsia="仿宋_GB2312" w:cs="仿宋_GB2312"/>
          <w:color w:val="000000" w:themeColor="text1"/>
          <w:sz w:val="32"/>
          <w:szCs w:val="32"/>
          <w14:textFill>
            <w14:solidFill>
              <w14:schemeClr w14:val="tx1"/>
            </w14:solidFill>
          </w14:textFill>
        </w:rPr>
        <w:t>一个月之内书面通知甲方，同时，乙方必须告知员工在终止（或解除）劳动合同关系起一个月内，到甲方办理档案转出或</w:t>
      </w:r>
      <w:r>
        <w:rPr>
          <w:rFonts w:hint="eastAsia" w:ascii="仿宋_GB2312" w:hAnsi="仿宋_GB2312" w:eastAsia="仿宋_GB2312" w:cs="仿宋_GB2312"/>
          <w:b w:val="0"/>
          <w:bCs w:val="0"/>
          <w:color w:val="000000" w:themeColor="text1"/>
          <w:sz w:val="32"/>
          <w:szCs w:val="32"/>
          <w:highlight w:val="none"/>
          <w:u w:val="none"/>
          <w:lang w:val="en-US" w:eastAsia="zh-CN"/>
          <w14:textFill>
            <w14:solidFill>
              <w14:schemeClr w14:val="tx1"/>
            </w14:solidFill>
          </w14:textFill>
        </w:rPr>
        <w:t>将存档方式调整为个人存档。</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7</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乙方如有下列情况，应于一个月内书面通知甲方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仿宋_GB2312" w:hAnsi="仿宋_GB2312" w:eastAsia="仿宋_GB2312" w:cs="仿宋_GB2312"/>
          <w:color w:val="000000" w:themeColor="text1"/>
          <w:sz w:val="32"/>
          <w:szCs w:val="32"/>
          <w:lang w:val="e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1</w:t>
      </w:r>
      <w:r>
        <w:rPr>
          <w:rFonts w:hint="default" w:ascii="仿宋_GB2312" w:hAnsi="仿宋_GB2312" w:eastAsia="仿宋_GB2312" w:cs="仿宋_GB2312"/>
          <w:color w:val="000000" w:themeColor="text1"/>
          <w:sz w:val="32"/>
          <w:szCs w:val="32"/>
          <w:lang w:val="e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信息变更。具体包括单位名称、地点、联系方式、联系人等变化。单位提供《</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流动人员人事档案单位委托集体存档服务协议书</w:t>
      </w:r>
      <w:r>
        <w:rPr>
          <w:rFonts w:hint="eastAsia" w:ascii="仿宋_GB2312" w:hAnsi="仿宋_GB2312" w:eastAsia="仿宋_GB2312" w:cs="仿宋_GB2312"/>
          <w:color w:val="000000" w:themeColor="text1"/>
          <w:sz w:val="32"/>
          <w:szCs w:val="32"/>
          <w14:textFill>
            <w14:solidFill>
              <w14:schemeClr w14:val="tx1"/>
            </w14:solidFill>
          </w14:textFill>
        </w:rPr>
        <w:t>》、有关部门出具的变更证明、单位有效证照副本的原件及复印件，办理变更手续</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仿宋_GB2312" w:hAnsi="仿宋_GB2312" w:eastAsia="仿宋_GB2312" w:cs="仿宋_GB2312"/>
          <w:color w:val="000000" w:themeColor="text1"/>
          <w:sz w:val="32"/>
          <w:szCs w:val="32"/>
          <w:lang w:val="e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2</w:t>
      </w:r>
      <w:r>
        <w:rPr>
          <w:rFonts w:hint="default" w:ascii="仿宋_GB2312" w:hAnsi="仿宋_GB2312" w:eastAsia="仿宋_GB2312" w:cs="仿宋_GB2312"/>
          <w:color w:val="000000" w:themeColor="text1"/>
          <w:sz w:val="32"/>
          <w:szCs w:val="32"/>
          <w:lang w:val="e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单位注销。单位应提供有关部门出具的注销证明和《</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流动人员人事档案单位委托集体存档服务协议书</w:t>
      </w:r>
      <w:r>
        <w:rPr>
          <w:rFonts w:hint="eastAsia" w:ascii="仿宋_GB2312" w:hAnsi="仿宋_GB2312" w:eastAsia="仿宋_GB2312" w:cs="仿宋_GB2312"/>
          <w:color w:val="000000" w:themeColor="text1"/>
          <w:sz w:val="32"/>
          <w:szCs w:val="32"/>
          <w14:textFill>
            <w14:solidFill>
              <w14:schemeClr w14:val="tx1"/>
            </w14:solidFill>
          </w14:textFill>
        </w:rPr>
        <w:t>》办理销户及委托存档人员的档案转</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出</w:t>
      </w:r>
      <w:r>
        <w:rPr>
          <w:rFonts w:hint="eastAsia" w:ascii="仿宋_GB2312" w:hAnsi="仿宋_GB2312" w:eastAsia="仿宋_GB2312" w:cs="仿宋_GB2312"/>
          <w:color w:val="000000" w:themeColor="text1"/>
          <w:sz w:val="32"/>
          <w:szCs w:val="32"/>
          <w14:textFill>
            <w14:solidFill>
              <w14:schemeClr w14:val="tx1"/>
            </w14:solidFill>
          </w14:textFill>
        </w:rPr>
        <w:t>手续</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8</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因乙方违反相关政策规定和协议约定影响办理员工流动、专业技术职务资格考评等相关业务的，责任自负。</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乙方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严禁向聘用</w:t>
      </w:r>
      <w:r>
        <w:rPr>
          <w:rFonts w:hint="eastAsia" w:ascii="仿宋_GB2312" w:hAnsi="仿宋_GB2312" w:eastAsia="仿宋_GB2312" w:cs="仿宋_GB2312"/>
          <w:color w:val="000000" w:themeColor="text1"/>
          <w:sz w:val="32"/>
          <w:szCs w:val="32"/>
          <w14:textFill>
            <w14:solidFill>
              <w14:schemeClr w14:val="tx1"/>
            </w14:solidFill>
          </w14:textFill>
        </w:rPr>
        <w:t>员工</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收取档案保管费、查阅费、证明费、转递费等名目的费用。</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四、根据法律、法规和政策规定，甲方变更有关服务事项时通过发布公告等形式通知，并依据实际情况决定是否更换协议书。</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五、协议期内乙方有违反协议约定情况的，</w:t>
      </w:r>
      <w:r>
        <w:rPr>
          <w:rFonts w:hint="eastAsia" w:ascii="仿宋_GB2312" w:hAnsi="仿宋_GB2312" w:eastAsia="仿宋_GB2312" w:cs="仿宋_GB2312"/>
          <w:color w:val="000000" w:themeColor="text1"/>
          <w:sz w:val="32"/>
          <w:szCs w:val="32"/>
          <w:lang w:eastAsia="zh-CN"/>
          <w14:textFill>
            <w14:solidFill>
              <w14:schemeClr w14:val="tx1"/>
            </w14:solidFill>
          </w14:textFill>
        </w:rPr>
        <w:t>服务</w:t>
      </w:r>
      <w:r>
        <w:rPr>
          <w:rFonts w:hint="eastAsia" w:ascii="仿宋_GB2312" w:hAnsi="仿宋_GB2312" w:eastAsia="仿宋_GB2312" w:cs="仿宋_GB2312"/>
          <w:color w:val="000000" w:themeColor="text1"/>
          <w:sz w:val="32"/>
          <w:szCs w:val="32"/>
          <w14:textFill>
            <w14:solidFill>
              <w14:schemeClr w14:val="tx1"/>
            </w14:solidFill>
          </w14:textFill>
        </w:rPr>
        <w:t>协议自动终止。</w:t>
      </w:r>
    </w:p>
    <w:p>
      <w:pPr>
        <w:keepNext w:val="0"/>
        <w:keepLines w:val="0"/>
        <w:pageBreakBefore w:val="0"/>
        <w:widowControl w:val="0"/>
        <w:kinsoku/>
        <w:wordWrap/>
        <w:overflowPunct/>
        <w:topLinePunct w:val="0"/>
        <w:autoSpaceDE/>
        <w:autoSpaceDN/>
        <w:bidi w:val="0"/>
        <w:adjustRightInd/>
        <w:snapToGrid/>
        <w:spacing w:line="632" w:lineRule="exact"/>
        <w:ind w:firstLine="688"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pacing w:val="12"/>
          <w:kern w:val="0"/>
          <w:sz w:val="32"/>
          <w:szCs w:val="32"/>
          <w:lang w:val="en-US" w:eastAsia="zh-CN"/>
          <w14:textFill>
            <w14:solidFill>
              <w14:schemeClr w14:val="tx1"/>
            </w14:solidFill>
          </w14:textFill>
        </w:rPr>
        <w:t>六、</w:t>
      </w:r>
      <w:r>
        <w:rPr>
          <w:rFonts w:hint="eastAsia" w:ascii="仿宋_GB2312" w:hAnsi="仿宋_GB2312" w:eastAsia="仿宋_GB2312" w:cs="仿宋_GB2312"/>
          <w:color w:val="000000" w:themeColor="text1"/>
          <w:sz w:val="32"/>
          <w:szCs w:val="32"/>
          <w14:textFill>
            <w14:solidFill>
              <w14:schemeClr w14:val="tx1"/>
            </w14:solidFill>
          </w14:textFill>
        </w:rPr>
        <w:t>甲方与乙方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聘用</w:t>
      </w:r>
      <w:r>
        <w:rPr>
          <w:rFonts w:hint="eastAsia" w:ascii="仿宋_GB2312" w:hAnsi="仿宋_GB2312" w:eastAsia="仿宋_GB2312" w:cs="仿宋_GB2312"/>
          <w:color w:val="000000" w:themeColor="text1"/>
          <w:sz w:val="32"/>
          <w:szCs w:val="32"/>
          <w14:textFill>
            <w14:solidFill>
              <w14:schemeClr w14:val="tx1"/>
            </w14:solidFill>
          </w14:textFill>
        </w:rPr>
        <w:t>员工之间没有劳动关系，乙方与</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其聘用</w:t>
      </w:r>
      <w:r>
        <w:rPr>
          <w:rFonts w:hint="eastAsia" w:ascii="仿宋_GB2312" w:hAnsi="仿宋_GB2312" w:eastAsia="仿宋_GB2312" w:cs="仿宋_GB2312"/>
          <w:color w:val="000000" w:themeColor="text1"/>
          <w:sz w:val="32"/>
          <w:szCs w:val="32"/>
          <w14:textFill>
            <w14:solidFill>
              <w14:schemeClr w14:val="tx1"/>
            </w14:solidFill>
          </w14:textFill>
        </w:rPr>
        <w:t>员工之间所发生的任何争议均由乙方自行解决，与甲方无关。</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七、</w:t>
      </w:r>
      <w:r>
        <w:rPr>
          <w:rFonts w:hint="eastAsia" w:ascii="仿宋_GB2312" w:hAnsi="仿宋_GB2312" w:eastAsia="仿宋_GB2312" w:cs="仿宋_GB2312"/>
          <w:color w:val="000000" w:themeColor="text1"/>
          <w:sz w:val="32"/>
          <w:szCs w:val="32"/>
          <w14:textFill>
            <w14:solidFill>
              <w14:schemeClr w14:val="tx1"/>
            </w14:solidFill>
          </w14:textFill>
        </w:rPr>
        <w:t>若履行本协议发生争议，双方应协商解决。未协商或协商不成的，向甲方所在地法院提起诉讼解决。</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八</w:t>
      </w:r>
      <w:r>
        <w:rPr>
          <w:rFonts w:hint="eastAsia" w:ascii="仿宋_GB2312" w:hAnsi="仿宋_GB2312" w:eastAsia="仿宋_GB2312" w:cs="仿宋_GB2312"/>
          <w:color w:val="000000" w:themeColor="text1"/>
          <w:sz w:val="32"/>
          <w:szCs w:val="32"/>
          <w14:textFill>
            <w14:solidFill>
              <w14:schemeClr w14:val="tx1"/>
            </w14:solidFill>
          </w14:textFill>
        </w:rPr>
        <w:t>、本协议一式两份，甲乙双方各执一份，经双方代表签字并加盖公章后生效</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14:textFill>
            <w14:solidFill>
              <w14:schemeClr w14:val="tx1"/>
            </w14:solidFill>
          </w14:textFill>
        </w:rPr>
        <w:t>具有同等法律效力。</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default" w:ascii="仿宋_GB2312" w:hAnsi="仿宋_GB2312" w:eastAsia="仿宋_GB2312" w:cs="仿宋_GB2312"/>
          <w:color w:val="000000" w:themeColor="text1"/>
          <w:sz w:val="32"/>
          <w:szCs w:val="32"/>
          <w:lang w:val="e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九</w:t>
      </w:r>
      <w:r>
        <w:rPr>
          <w:rFonts w:hint="eastAsia" w:ascii="仿宋_GB2312" w:hAnsi="仿宋_GB2312" w:eastAsia="仿宋_GB2312" w:cs="仿宋_GB2312"/>
          <w:color w:val="000000" w:themeColor="text1"/>
          <w:sz w:val="32"/>
          <w:szCs w:val="32"/>
          <w14:textFill>
            <w14:solidFill>
              <w14:schemeClr w14:val="tx1"/>
            </w14:solidFill>
          </w14:textFill>
        </w:rPr>
        <w:t>、经双方协商，补充协议如下</w:t>
      </w:r>
      <w:r>
        <w:rPr>
          <w:rFonts w:hint="default" w:ascii="仿宋_GB2312" w:hAnsi="仿宋_GB2312" w:eastAsia="仿宋_GB2312" w:cs="仿宋_GB2312"/>
          <w:color w:val="000000" w:themeColor="text1"/>
          <w:sz w:val="32"/>
          <w:szCs w:val="32"/>
          <w:lang w:val="e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u w:val="singl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甲方：                        乙方代表签字：</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甲方盖章：                    乙方盖章：</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632"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 xml:space="preserve">  年  月  日                    年  月  日</w:t>
      </w:r>
    </w:p>
    <w:p>
      <w:pPr>
        <w:pStyle w:val="6"/>
        <w:keepNext w:val="0"/>
        <w:keepLines w:val="0"/>
        <w:pageBreakBefore w:val="0"/>
        <w:widowControl w:val="0"/>
        <w:kinsoku/>
        <w:wordWrap w:val="0"/>
        <w:overflowPunct/>
        <w:topLinePunct w:val="0"/>
        <w:autoSpaceDE/>
        <w:autoSpaceDN/>
        <w:bidi w:val="0"/>
        <w:adjustRightInd/>
        <w:snapToGrid w:val="0"/>
        <w:spacing w:line="632" w:lineRule="exact"/>
        <w:jc w:val="both"/>
        <w:textAlignment w:val="auto"/>
        <w:rPr>
          <w:rFonts w:hint="default" w:ascii="仿宋_GB2312" w:hAnsi="仿宋_GB2312" w:eastAsia="仿宋_GB2312" w:cs="仿宋_GB2312"/>
          <w:kern w:val="2"/>
          <w:sz w:val="32"/>
          <w:szCs w:val="32"/>
          <w:u w:val="none"/>
          <w:lang w:val="en-US" w:eastAsia="zh-CN" w:bidi="ar-SA"/>
        </w:rPr>
        <w:sectPr>
          <w:pgSz w:w="11906" w:h="16838"/>
          <w:pgMar w:top="2098" w:right="1474" w:bottom="1984" w:left="1588" w:header="851" w:footer="1587" w:gutter="0"/>
          <w:pgNumType w:fmt="decimal"/>
          <w:cols w:space="0" w:num="1"/>
          <w:rtlGutter w:val="0"/>
          <w:docGrid w:type="lines" w:linePitch="312" w:charSpace="0"/>
        </w:sectPr>
      </w:pPr>
    </w:p>
    <w:p>
      <w:pPr>
        <w:numPr>
          <w:ilvl w:val="0"/>
          <w:numId w:val="0"/>
        </w:numPr>
        <w:jc w:val="left"/>
        <w:rPr>
          <w:rFonts w:hint="eastAsia" w:ascii="黑体" w:hAnsi="黑体" w:eastAsia="黑体" w:cs="黑体"/>
          <w:kern w:val="2"/>
          <w:sz w:val="32"/>
          <w:szCs w:val="40"/>
          <w:lang w:val="en-US" w:eastAsia="zh-CN" w:bidi="ar-SA"/>
        </w:rPr>
      </w:pPr>
      <w:r>
        <w:rPr>
          <w:rFonts w:hint="eastAsia" w:ascii="黑体" w:hAnsi="黑体" w:eastAsia="黑体" w:cs="黑体"/>
          <w:kern w:val="2"/>
          <w:sz w:val="32"/>
          <w:szCs w:val="40"/>
          <w:lang w:val="en-US" w:eastAsia="zh-CN" w:bidi="ar-SA"/>
        </w:rPr>
        <w:t>附件4</w:t>
      </w:r>
    </w:p>
    <w:p>
      <w:pPr>
        <w:pStyle w:val="6"/>
        <w:keepNext w:val="0"/>
        <w:keepLines w:val="0"/>
        <w:pageBreakBefore w:val="0"/>
        <w:widowControl w:val="0"/>
        <w:kinsoku/>
        <w:wordWrap w:val="0"/>
        <w:overflowPunct/>
        <w:topLinePunct w:val="0"/>
        <w:autoSpaceDE/>
        <w:autoSpaceDN/>
        <w:bidi w:val="0"/>
        <w:adjustRightInd/>
        <w:snapToGrid w:val="0"/>
        <w:spacing w:before="157" w:beforeLines="50" w:after="157" w:afterLines="50" w:line="572" w:lineRule="exact"/>
        <w:jc w:val="center"/>
        <w:textAlignment w:val="auto"/>
        <w:rPr>
          <w:rFonts w:hint="eastAsia" w:ascii="方正小标宋简体" w:hAnsi="方正小标宋简体" w:eastAsia="方正小标宋简体" w:cs="方正小标宋简体"/>
          <w:kern w:val="2"/>
          <w:sz w:val="44"/>
          <w:szCs w:val="44"/>
          <w:u w:val="none"/>
          <w:lang w:val="en-US" w:eastAsia="zh-CN" w:bidi="ar-SA"/>
        </w:rPr>
      </w:pPr>
      <w:r>
        <w:rPr>
          <w:rFonts w:hint="eastAsia" w:ascii="方正小标宋简体" w:hAnsi="方正小标宋简体" w:eastAsia="方正小标宋简体" w:cs="方正小标宋简体"/>
          <w:kern w:val="2"/>
          <w:sz w:val="44"/>
          <w:szCs w:val="44"/>
          <w:u w:val="none"/>
          <w:lang w:val="en-US" w:eastAsia="zh-CN" w:bidi="ar-SA"/>
        </w:rPr>
        <w:t>拟存档人员名单</w:t>
      </w:r>
    </w:p>
    <w:p>
      <w:pPr>
        <w:pStyle w:val="6"/>
        <w:keepNext w:val="0"/>
        <w:keepLines w:val="0"/>
        <w:pageBreakBefore w:val="0"/>
        <w:widowControl w:val="0"/>
        <w:kinsoku/>
        <w:wordWrap w:val="0"/>
        <w:overflowPunct/>
        <w:topLinePunct w:val="0"/>
        <w:autoSpaceDE/>
        <w:autoSpaceDN/>
        <w:bidi w:val="0"/>
        <w:adjustRightInd/>
        <w:snapToGrid w:val="0"/>
        <w:spacing w:line="572" w:lineRule="exact"/>
        <w:jc w:val="both"/>
        <w:textAlignment w:val="auto"/>
        <w:rPr>
          <w:rFonts w:hint="eastAsia" w:ascii="楷体_GB2312" w:hAnsi="楷体_GB2312" w:eastAsia="楷体_GB2312" w:cs="楷体_GB2312"/>
          <w:kern w:val="2"/>
          <w:sz w:val="32"/>
          <w:szCs w:val="32"/>
          <w:u w:val="none"/>
          <w:lang w:val="en-US" w:eastAsia="zh-CN" w:bidi="ar-SA"/>
        </w:rPr>
      </w:pPr>
      <w:r>
        <w:rPr>
          <w:rFonts w:hint="eastAsia" w:ascii="楷体_GB2312" w:hAnsi="楷体_GB2312" w:eastAsia="楷体_GB2312" w:cs="楷体_GB2312"/>
          <w:kern w:val="2"/>
          <w:sz w:val="32"/>
          <w:szCs w:val="32"/>
          <w:u w:val="none"/>
          <w:lang w:val="en-US" w:eastAsia="zh-CN" w:bidi="ar-SA"/>
        </w:rPr>
        <w:t>单位</w:t>
      </w:r>
      <w:r>
        <w:rPr>
          <w:rFonts w:hint="default" w:ascii="楷体_GB2312" w:hAnsi="楷体_GB2312" w:eastAsia="楷体_GB2312" w:cs="楷体_GB2312"/>
          <w:kern w:val="2"/>
          <w:sz w:val="32"/>
          <w:szCs w:val="32"/>
          <w:u w:val="none"/>
          <w:lang w:val="en" w:eastAsia="zh-CN" w:bidi="ar-SA"/>
        </w:rPr>
        <w:t>：</w:t>
      </w:r>
      <w:r>
        <w:rPr>
          <w:rFonts w:hint="eastAsia" w:ascii="楷体_GB2312" w:hAnsi="楷体_GB2312" w:eastAsia="楷体_GB2312" w:cs="楷体_GB2312"/>
          <w:kern w:val="2"/>
          <w:sz w:val="32"/>
          <w:szCs w:val="32"/>
          <w:u w:val="none"/>
          <w:lang w:val="en-US" w:eastAsia="zh-CN" w:bidi="ar-SA"/>
        </w:rPr>
        <w:t>（盖章）                                              日期：       年   月   日</w:t>
      </w:r>
    </w:p>
    <w:tbl>
      <w:tblPr>
        <w:tblStyle w:val="9"/>
        <w:tblW w:w="13650" w:type="dxa"/>
        <w:tblInd w:w="-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92"/>
        <w:gridCol w:w="1092"/>
        <w:gridCol w:w="2435"/>
        <w:gridCol w:w="946"/>
        <w:gridCol w:w="1095"/>
        <w:gridCol w:w="4013"/>
        <w:gridCol w:w="1711"/>
        <w:gridCol w:w="156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序号</w:t>
            </w:r>
          </w:p>
        </w:tc>
        <w:tc>
          <w:tcPr>
            <w:tcW w:w="109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姓名</w:t>
            </w:r>
          </w:p>
        </w:tc>
        <w:tc>
          <w:tcPr>
            <w:tcW w:w="24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身份证号</w:t>
            </w:r>
          </w:p>
        </w:tc>
        <w:tc>
          <w:tcPr>
            <w:tcW w:w="94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性别</w:t>
            </w:r>
          </w:p>
        </w:tc>
        <w:tc>
          <w:tcPr>
            <w:tcW w:w="10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民族</w:t>
            </w:r>
          </w:p>
        </w:tc>
        <w:tc>
          <w:tcPr>
            <w:tcW w:w="401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档案原所在机构</w:t>
            </w:r>
          </w:p>
        </w:tc>
        <w:tc>
          <w:tcPr>
            <w:tcW w:w="171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手机号码</w:t>
            </w:r>
          </w:p>
        </w:tc>
        <w:tc>
          <w:tcPr>
            <w:tcW w:w="156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黑体" w:hAnsi="黑体" w:eastAsia="黑体" w:cs="黑体"/>
                <w:i w:val="0"/>
                <w:color w:val="000000"/>
                <w:sz w:val="28"/>
                <w:szCs w:val="28"/>
                <w:u w:val="none"/>
              </w:rPr>
            </w:pPr>
            <w:r>
              <w:rPr>
                <w:rFonts w:hint="eastAsia" w:ascii="黑体" w:hAnsi="黑体" w:eastAsia="黑体" w:cs="黑体"/>
                <w:i w:val="0"/>
                <w:color w:val="000000"/>
                <w:kern w:val="0"/>
                <w:sz w:val="28"/>
                <w:szCs w:val="28"/>
                <w:u w:val="none"/>
                <w:lang w:val="en-US" w:eastAsia="zh-CN" w:bidi="ar"/>
              </w:rPr>
              <w:t>个人签名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24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0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401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7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c>
          <w:tcPr>
            <w:tcW w:w="15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bl>
    <w:p>
      <w:pPr>
        <w:pStyle w:val="6"/>
        <w:keepNext w:val="0"/>
        <w:keepLines w:val="0"/>
        <w:pageBreakBefore w:val="0"/>
        <w:widowControl w:val="0"/>
        <w:kinsoku/>
        <w:wordWrap w:val="0"/>
        <w:overflowPunct/>
        <w:topLinePunct w:val="0"/>
        <w:autoSpaceDE/>
        <w:autoSpaceDN/>
        <w:bidi w:val="0"/>
        <w:adjustRightInd/>
        <w:snapToGrid w:val="0"/>
        <w:spacing w:line="300" w:lineRule="exact"/>
        <w:jc w:val="both"/>
        <w:textAlignment w:val="auto"/>
        <w:rPr>
          <w:rFonts w:hint="eastAsia" w:ascii="楷体_GB2312" w:hAnsi="楷体_GB2312" w:eastAsia="楷体_GB2312" w:cs="楷体_GB2312"/>
          <w:kern w:val="2"/>
          <w:sz w:val="32"/>
          <w:szCs w:val="32"/>
          <w:u w:val="none"/>
          <w:lang w:val="en-US" w:eastAsia="zh-CN" w:bidi="ar-SA"/>
        </w:rPr>
        <w:sectPr>
          <w:pgSz w:w="16838" w:h="11906" w:orient="landscape"/>
          <w:pgMar w:top="1588" w:right="1587" w:bottom="1474" w:left="1587" w:header="851" w:footer="992" w:gutter="0"/>
          <w:pgNumType w:fmt="decimal"/>
          <w:cols w:space="425" w:num="1"/>
          <w:docGrid w:type="lines" w:linePitch="312" w:charSpace="0"/>
        </w:sectPr>
      </w:pPr>
    </w:p>
    <w:p>
      <w:pPr>
        <w:numPr>
          <w:ilvl w:val="0"/>
          <w:numId w:val="0"/>
        </w:numPr>
        <w:jc w:val="left"/>
        <w:rPr>
          <w:rFonts w:hint="eastAsia" w:ascii="黑体" w:hAnsi="黑体" w:eastAsia="黑体" w:cs="黑体"/>
          <w:kern w:val="2"/>
          <w:sz w:val="32"/>
          <w:szCs w:val="40"/>
          <w:lang w:val="en-US" w:eastAsia="zh-CN" w:bidi="ar-SA"/>
        </w:rPr>
      </w:pPr>
      <w:r>
        <w:rPr>
          <w:rFonts w:hint="eastAsia" w:ascii="黑体" w:hAnsi="黑体" w:eastAsia="黑体" w:cs="黑体"/>
          <w:kern w:val="2"/>
          <w:sz w:val="32"/>
          <w:szCs w:val="40"/>
          <w:lang w:val="en-US" w:eastAsia="zh-CN" w:bidi="ar-SA"/>
        </w:rPr>
        <w:t>附件5</w:t>
      </w:r>
    </w:p>
    <w:p>
      <w:pPr>
        <w:jc w:val="center"/>
        <w:rPr>
          <w:rFonts w:hint="eastAsia"/>
          <w:sz w:val="32"/>
          <w:szCs w:val="40"/>
          <w:lang w:eastAsia="zh-CN"/>
        </w:rPr>
      </w:pPr>
      <w:r>
        <w:rPr>
          <w:rFonts w:hint="eastAsia" w:ascii="方正小标宋简体" w:hAnsi="方正小标宋简体" w:eastAsia="方正小标宋简体" w:cs="方正小标宋简体"/>
          <w:b w:val="0"/>
          <w:bCs w:val="0"/>
          <w:sz w:val="44"/>
          <w:szCs w:val="44"/>
          <w:lang w:eastAsia="zh-CN"/>
        </w:rPr>
        <w:t>介绍信</w:t>
      </w:r>
    </w:p>
    <w:p>
      <w:pPr>
        <w:keepNext w:val="0"/>
        <w:keepLines w:val="0"/>
        <w:pageBreakBefore w:val="0"/>
        <w:widowControl w:val="0"/>
        <w:kinsoku/>
        <w:wordWrap/>
        <w:overflowPunct/>
        <w:topLinePunct w:val="0"/>
        <w:autoSpaceDE/>
        <w:autoSpaceDN/>
        <w:bidi w:val="0"/>
        <w:adjustRightInd/>
        <w:snapToGrid/>
        <w:spacing w:line="540" w:lineRule="exact"/>
        <w:jc w:val="left"/>
        <w:textAlignment w:val="auto"/>
        <w:rPr>
          <w:rFonts w:hint="eastAsia" w:ascii="仿宋_GB2312" w:hAnsi="仿宋_GB2312" w:eastAsia="仿宋_GB2312" w:cs="仿宋_GB2312"/>
          <w:sz w:val="32"/>
          <w:szCs w:val="40"/>
          <w:lang w:eastAsia="zh-CN"/>
        </w:rPr>
      </w:pP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jc w:val="left"/>
        <w:textAlignment w:val="auto"/>
        <w:rPr>
          <w:rFonts w:hint="eastAsia"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eastAsia="zh-CN"/>
        </w:rPr>
        <w:t>兹</w:t>
      </w:r>
      <w:r>
        <w:rPr>
          <w:rFonts w:hint="eastAsia" w:ascii="仿宋_GB2312" w:hAnsi="仿宋_GB2312" w:eastAsia="仿宋_GB2312" w:cs="仿宋_GB2312"/>
          <w:sz w:val="32"/>
          <w:szCs w:val="40"/>
          <w:lang w:val="en-US" w:eastAsia="zh-CN"/>
        </w:rPr>
        <w:t>介绍</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u w:val="none"/>
          <w:lang w:val="en-US" w:eastAsia="zh-CN"/>
        </w:rPr>
        <w:t>同志，身份证号码</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u w:val="none"/>
          <w:lang w:val="en-US" w:eastAsia="zh-CN"/>
        </w:rPr>
        <w:t>，前来你处办理</w:t>
      </w:r>
      <w:r>
        <w:rPr>
          <w:rFonts w:hint="eastAsia" w:ascii="仿宋_GB2312" w:hAnsi="仿宋_GB2312" w:eastAsia="仿宋_GB2312" w:cs="仿宋_GB2312"/>
          <w:sz w:val="32"/>
          <w:szCs w:val="40"/>
          <w:u w:val="single"/>
          <w:lang w:val="en-US" w:eastAsia="zh-CN"/>
        </w:rPr>
        <w:t xml:space="preserve">                                 </w:t>
      </w:r>
      <w:r>
        <w:rPr>
          <w:rFonts w:hint="eastAsia" w:ascii="仿宋_GB2312" w:hAnsi="仿宋_GB2312" w:eastAsia="仿宋_GB2312" w:cs="仿宋_GB2312"/>
          <w:sz w:val="32"/>
          <w:szCs w:val="40"/>
          <w:u w:val="none"/>
          <w:lang w:val="en-US" w:eastAsia="zh-CN"/>
        </w:rPr>
        <w:t>事宜。</w:t>
      </w:r>
      <w:r>
        <w:rPr>
          <w:rFonts w:hint="eastAsia" w:ascii="仿宋_GB2312" w:hAnsi="仿宋_GB2312" w:eastAsia="仿宋_GB2312" w:cs="仿宋_GB2312"/>
          <w:sz w:val="32"/>
          <w:szCs w:val="40"/>
          <w:lang w:val="en-US" w:eastAsia="zh-CN"/>
        </w:rPr>
        <w:t>相关事项涉及人员具体名单如下：</w:t>
      </w:r>
    </w:p>
    <w:tbl>
      <w:tblPr>
        <w:tblStyle w:val="10"/>
        <w:tblW w:w="86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1055"/>
        <w:gridCol w:w="2387"/>
        <w:gridCol w:w="2265"/>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28"/>
                <w:szCs w:val="36"/>
                <w:vertAlign w:val="baseline"/>
                <w:lang w:val="en-US" w:eastAsia="zh-CN"/>
              </w:rPr>
            </w:pPr>
            <w:r>
              <w:rPr>
                <w:rFonts w:hint="eastAsia" w:ascii="黑体" w:hAnsi="黑体" w:eastAsia="黑体" w:cs="黑体"/>
                <w:b w:val="0"/>
                <w:bCs w:val="0"/>
                <w:sz w:val="28"/>
                <w:szCs w:val="36"/>
                <w:lang w:val="en-US" w:eastAsia="zh-CN"/>
              </w:rPr>
              <w:t>序号</w:t>
            </w: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28"/>
                <w:szCs w:val="36"/>
                <w:vertAlign w:val="baseline"/>
                <w:lang w:val="en-US" w:eastAsia="zh-CN"/>
              </w:rPr>
            </w:pPr>
            <w:r>
              <w:rPr>
                <w:rFonts w:hint="eastAsia" w:ascii="黑体" w:hAnsi="黑体" w:eastAsia="黑体" w:cs="黑体"/>
                <w:b w:val="0"/>
                <w:bCs w:val="0"/>
                <w:sz w:val="28"/>
                <w:szCs w:val="36"/>
                <w:vertAlign w:val="baseline"/>
                <w:lang w:val="en-US" w:eastAsia="zh-CN"/>
              </w:rPr>
              <w:t>姓名</w:t>
            </w: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28"/>
                <w:szCs w:val="36"/>
                <w:vertAlign w:val="baseline"/>
                <w:lang w:val="en-US" w:eastAsia="zh-CN"/>
              </w:rPr>
            </w:pPr>
            <w:r>
              <w:rPr>
                <w:rFonts w:hint="eastAsia" w:ascii="黑体" w:hAnsi="黑体" w:eastAsia="黑体" w:cs="黑体"/>
                <w:b w:val="0"/>
                <w:bCs w:val="0"/>
                <w:sz w:val="28"/>
                <w:szCs w:val="36"/>
                <w:vertAlign w:val="baseline"/>
                <w:lang w:val="en-US" w:eastAsia="zh-CN"/>
              </w:rPr>
              <w:t>身份证号码</w:t>
            </w: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28"/>
                <w:szCs w:val="36"/>
                <w:vertAlign w:val="baseline"/>
                <w:lang w:val="en-US" w:eastAsia="zh-CN"/>
              </w:rPr>
            </w:pPr>
            <w:r>
              <w:rPr>
                <w:rFonts w:hint="eastAsia" w:ascii="黑体" w:hAnsi="黑体" w:eastAsia="黑体" w:cs="黑体"/>
                <w:b w:val="0"/>
                <w:bCs w:val="0"/>
                <w:sz w:val="28"/>
                <w:szCs w:val="36"/>
                <w:vertAlign w:val="baseline"/>
                <w:lang w:val="en-US" w:eastAsia="zh-CN"/>
              </w:rPr>
              <w:t>电话号码</w:t>
            </w: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28"/>
                <w:szCs w:val="36"/>
                <w:vertAlign w:val="baseline"/>
                <w:lang w:val="en-US" w:eastAsia="zh-CN"/>
              </w:rPr>
            </w:pPr>
            <w:r>
              <w:rPr>
                <w:rFonts w:hint="eastAsia" w:ascii="黑体" w:hAnsi="黑体" w:eastAsia="黑体" w:cs="黑体"/>
                <w:b w:val="0"/>
                <w:bCs w:val="0"/>
                <w:sz w:val="28"/>
                <w:szCs w:val="36"/>
                <w:vertAlign w:val="baseline"/>
                <w:lang w:val="en-US" w:eastAsia="zh-CN"/>
              </w:rPr>
              <w:t>个人签名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105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387"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265"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c>
          <w:tcPr>
            <w:tcW w:w="2010" w:type="dxa"/>
            <w:vAlign w:val="top"/>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sz w:val="28"/>
                <w:szCs w:val="36"/>
                <w:vertAlign w:val="baseline"/>
                <w:lang w:val="en-US" w:eastAsia="zh-CN"/>
              </w:rPr>
            </w:pPr>
          </w:p>
        </w:tc>
      </w:tr>
    </w:tbl>
    <w:p>
      <w:pPr>
        <w:ind w:firstLine="482" w:firstLineChars="200"/>
        <w:jc w:val="left"/>
        <w:rPr>
          <w:rFonts w:hint="eastAsia" w:ascii="楷体_GB2312" w:hAnsi="楷体_GB2312" w:eastAsia="楷体_GB2312" w:cs="楷体_GB2312"/>
          <w:b/>
          <w:bCs/>
          <w:sz w:val="24"/>
          <w:szCs w:val="24"/>
          <w:lang w:val="en-US" w:eastAsia="zh-CN"/>
        </w:rPr>
      </w:pPr>
      <w:r>
        <w:rPr>
          <w:rFonts w:hint="eastAsia" w:ascii="楷体_GB2312" w:hAnsi="楷体_GB2312" w:eastAsia="楷体_GB2312" w:cs="楷体_GB2312"/>
          <w:b/>
          <w:bCs/>
          <w:sz w:val="24"/>
          <w:szCs w:val="24"/>
          <w:lang w:val="en-US" w:eastAsia="zh-CN"/>
        </w:rPr>
        <w:t>注：个人签名处需由存档人员本人签字确认，有本人签名则视为本人对所需办理事项已知情。</w:t>
      </w:r>
    </w:p>
    <w:p>
      <w:pPr>
        <w:jc w:val="left"/>
        <w:rPr>
          <w:rFonts w:hint="eastAsia"/>
          <w:sz w:val="22"/>
          <w:szCs w:val="28"/>
          <w:lang w:val="en-US" w:eastAsia="zh-CN"/>
        </w:rPr>
      </w:pPr>
    </w:p>
    <w:p>
      <w:pPr>
        <w:numPr>
          <w:ilvl w:val="0"/>
          <w:numId w:val="0"/>
        </w:numPr>
        <w:jc w:val="right"/>
        <w:rPr>
          <w:rFonts w:hint="eastAsia" w:ascii="仿宋_GB2312" w:hAnsi="仿宋_GB2312" w:eastAsia="仿宋_GB2312" w:cs="仿宋_GB2312"/>
          <w:kern w:val="2"/>
          <w:sz w:val="32"/>
          <w:szCs w:val="32"/>
          <w:u w:val="none"/>
          <w:lang w:val="en-US" w:eastAsia="zh-CN" w:bidi="ar-SA"/>
        </w:rPr>
      </w:pPr>
      <w:r>
        <w:rPr>
          <w:rFonts w:hint="eastAsia" w:ascii="仿宋_GB2312" w:hAnsi="仿宋_GB2312" w:eastAsia="仿宋_GB2312" w:cs="仿宋_GB2312"/>
          <w:kern w:val="2"/>
          <w:sz w:val="32"/>
          <w:szCs w:val="32"/>
          <w:u w:val="none"/>
          <w:lang w:val="en-US" w:eastAsia="zh-CN" w:bidi="ar-SA"/>
        </w:rPr>
        <w:t>（单位盖章）</w:t>
      </w:r>
    </w:p>
    <w:p>
      <w:pPr>
        <w:numPr>
          <w:ilvl w:val="0"/>
          <w:numId w:val="0"/>
        </w:numPr>
        <w:jc w:val="right"/>
        <w:rPr>
          <w:rFonts w:hint="eastAsia" w:ascii="仿宋_GB2312" w:hAnsi="仿宋_GB2312" w:eastAsia="仿宋_GB2312" w:cs="仿宋_GB2312"/>
          <w:kern w:val="2"/>
          <w:sz w:val="32"/>
          <w:szCs w:val="32"/>
          <w:u w:val="none"/>
          <w:lang w:val="en-US" w:eastAsia="zh-CN" w:bidi="ar-SA"/>
        </w:rPr>
      </w:pPr>
      <w:r>
        <w:rPr>
          <w:rFonts w:hint="eastAsia" w:ascii="仿宋_GB2312" w:hAnsi="仿宋_GB2312" w:eastAsia="仿宋_GB2312" w:cs="仿宋_GB2312"/>
          <w:kern w:val="2"/>
          <w:sz w:val="32"/>
          <w:szCs w:val="32"/>
          <w:u w:val="none"/>
          <w:lang w:val="en-US" w:eastAsia="zh-CN" w:bidi="ar-SA"/>
        </w:rPr>
        <w:t>年   月   日</w:t>
      </w:r>
    </w:p>
    <w:p>
      <w:pPr>
        <w:pStyle w:val="2"/>
        <w:keepNext w:val="0"/>
        <w:keepLines w:val="0"/>
        <w:pageBreakBefore w:val="0"/>
        <w:widowControl w:val="0"/>
        <w:kinsoku/>
        <w:wordWrap/>
        <w:overflowPunct/>
        <w:topLinePunct w:val="0"/>
        <w:autoSpaceDE/>
        <w:autoSpaceDN/>
        <w:bidi w:val="0"/>
        <w:adjustRightInd/>
        <w:snapToGrid/>
        <w:spacing w:before="0" w:beforeLines="0" w:after="0" w:afterLines="0" w:line="400" w:lineRule="exact"/>
        <w:jc w:val="left"/>
        <w:textAlignment w:val="auto"/>
        <w:rPr>
          <w:rFonts w:hint="eastAsia"/>
          <w:lang w:eastAsia="zh-CN"/>
        </w:rPr>
      </w:pPr>
    </w:p>
    <w:p>
      <w:pPr>
        <w:keepNext w:val="0"/>
        <w:keepLines w:val="0"/>
        <w:pageBreakBefore w:val="0"/>
        <w:widowControl w:val="0"/>
        <w:pBdr>
          <w:top w:val="single" w:color="auto" w:sz="8" w:space="1"/>
          <w:bottom w:val="single" w:color="auto" w:sz="8" w:space="1"/>
        </w:pBdr>
        <w:kinsoku/>
        <w:wordWrap/>
        <w:overflowPunct/>
        <w:topLinePunct w:val="0"/>
        <w:autoSpaceDE/>
        <w:autoSpaceDN/>
        <w:bidi w:val="0"/>
        <w:adjustRightInd/>
        <w:snapToGrid/>
        <w:spacing w:line="400" w:lineRule="exact"/>
        <w:textAlignment w:val="auto"/>
        <w:outlineLvl w:val="9"/>
        <w:rPr>
          <w:rFonts w:hint="default" w:ascii="楷体_GB2312" w:hAnsi="楷体_GB2312" w:eastAsia="楷体_GB2312" w:cs="楷体_GB2312"/>
          <w:kern w:val="2"/>
          <w:sz w:val="32"/>
          <w:szCs w:val="32"/>
          <w:u w:val="none"/>
          <w:lang w:val="en-US" w:eastAsia="zh-CN" w:bidi="ar-SA"/>
        </w:rPr>
      </w:pPr>
      <w:r>
        <w:rPr>
          <w:rFonts w:hint="default" w:ascii="Times New Roman" w:hAnsi="Times New Roman" w:eastAsia="仿宋_GB2312" w:cs="Times New Roman"/>
          <w:sz w:val="28"/>
          <w:szCs w:val="28"/>
        </w:rPr>
        <w:t xml:space="preserve">  </w:t>
      </w:r>
      <w:r>
        <w:rPr>
          <w:rFonts w:hint="eastAsia" w:ascii="仿宋_GB2312" w:hAnsi="仿宋_GB2312" w:eastAsia="仿宋_GB2312" w:cs="仿宋_GB2312"/>
          <w:sz w:val="28"/>
          <w:szCs w:val="28"/>
        </w:rPr>
        <w:t>湖南省人力资源和社会保障厅</w:t>
      </w:r>
      <w:r>
        <w:rPr>
          <w:rFonts w:hint="eastAsia" w:ascii="仿宋_GB2312" w:hAnsi="仿宋_GB2312" w:eastAsia="仿宋_GB2312" w:cs="仿宋_GB2312"/>
          <w:sz w:val="28"/>
          <w:szCs w:val="28"/>
          <w:lang w:eastAsia="zh-CN"/>
        </w:rPr>
        <w:t>办公室</w:t>
      </w:r>
      <w:r>
        <w:rPr>
          <w:rFonts w:hint="eastAsia" w:cs="Times New Roman"/>
          <w:sz w:val="28"/>
          <w:szCs w:val="28"/>
          <w:lang w:val="en-US" w:eastAsia="zh-CN"/>
        </w:rPr>
        <w:t xml:space="preserve">    </w:t>
      </w:r>
      <w:r>
        <w:rPr>
          <w:rFonts w:hint="default" w:ascii="Times New Roman" w:hAnsi="Times New Roman" w:eastAsia="仿宋_GB2312" w:cs="Times New Roman"/>
          <w:sz w:val="28"/>
          <w:szCs w:val="28"/>
        </w:rPr>
        <w:t xml:space="preserve"> </w:t>
      </w:r>
      <w:r>
        <w:rPr>
          <w:rFonts w:hint="eastAsia" w:cs="Times New Roman"/>
          <w:sz w:val="28"/>
          <w:szCs w:val="28"/>
          <w:lang w:val="en-US" w:eastAsia="zh-CN"/>
        </w:rPr>
        <w:t xml:space="preserve"> </w:t>
      </w:r>
      <w:r>
        <w:rPr>
          <w:rFonts w:hint="default" w:ascii="Times New Roman" w:hAnsi="Times New Roman" w:cs="Times New Roman"/>
          <w:sz w:val="28"/>
          <w:szCs w:val="28"/>
          <w:lang w:val="en-US" w:eastAsia="zh-CN"/>
        </w:rPr>
        <w:t xml:space="preserve"> </w:t>
      </w:r>
      <w:r>
        <w:rPr>
          <w:rFonts w:hint="default" w:ascii="Times New Roman" w:hAnsi="Times New Roman" w:eastAsia="仿宋_GB2312" w:cs="Times New Roman"/>
          <w:sz w:val="28"/>
          <w:szCs w:val="28"/>
          <w:lang w:val="en-US" w:eastAsia="zh-CN"/>
        </w:rPr>
        <w:t xml:space="preserve"> </w:t>
      </w:r>
      <w:r>
        <w:rPr>
          <w:rFonts w:hint="default" w:ascii="Times New Roman" w:hAnsi="Times New Roman" w:eastAsia="仿宋_GB2312" w:cs="Times New Roman"/>
          <w:sz w:val="28"/>
          <w:szCs w:val="28"/>
        </w:rPr>
        <w:t>20</w:t>
      </w:r>
      <w:r>
        <w:rPr>
          <w:rFonts w:hint="default" w:ascii="Times New Roman" w:hAnsi="Times New Roman" w:eastAsia="仿宋_GB2312" w:cs="Times New Roman"/>
          <w:sz w:val="28"/>
          <w:szCs w:val="28"/>
          <w:lang w:val="en-US" w:eastAsia="zh-CN"/>
        </w:rPr>
        <w:t>2</w:t>
      </w:r>
      <w:r>
        <w:rPr>
          <w:rFonts w:hint="default" w:ascii="Times New Roman" w:hAnsi="Times New Roman" w:cs="Times New Roman"/>
          <w:sz w:val="28"/>
          <w:szCs w:val="28"/>
          <w:lang w:val="en-US" w:eastAsia="zh-CN"/>
        </w:rPr>
        <w:t>4</w:t>
      </w:r>
      <w:r>
        <w:rPr>
          <w:rFonts w:hint="default" w:ascii="Times New Roman" w:hAnsi="Times New Roman" w:eastAsia="仿宋_GB2312" w:cs="Times New Roman"/>
          <w:sz w:val="28"/>
          <w:szCs w:val="28"/>
        </w:rPr>
        <w:t>年</w:t>
      </w:r>
      <w:r>
        <w:rPr>
          <w:rFonts w:hint="eastAsia" w:ascii="Times New Roman" w:hAnsi="Times New Roman" w:cs="Times New Roman"/>
          <w:sz w:val="28"/>
          <w:szCs w:val="28"/>
          <w:lang w:val="en-US" w:eastAsia="zh-CN"/>
        </w:rPr>
        <w:t>6</w:t>
      </w:r>
      <w:r>
        <w:rPr>
          <w:rFonts w:hint="default" w:ascii="Times New Roman" w:hAnsi="Times New Roman" w:eastAsia="仿宋_GB2312" w:cs="Times New Roman"/>
          <w:sz w:val="28"/>
          <w:szCs w:val="28"/>
        </w:rPr>
        <w:t>月</w:t>
      </w:r>
      <w:r>
        <w:rPr>
          <w:rFonts w:hint="eastAsia" w:ascii="Times New Roman" w:hAnsi="Times New Roman" w:cs="Times New Roman"/>
          <w:sz w:val="28"/>
          <w:szCs w:val="28"/>
          <w:lang w:val="en-US" w:eastAsia="zh-CN"/>
        </w:rPr>
        <w:t>18</w:t>
      </w:r>
      <w:r>
        <w:rPr>
          <w:rFonts w:hint="default" w:ascii="Times New Roman" w:hAnsi="Times New Roman" w:eastAsia="仿宋_GB2312" w:cs="Times New Roman"/>
          <w:sz w:val="28"/>
          <w:szCs w:val="28"/>
        </w:rPr>
        <w:t>日印</w:t>
      </w:r>
      <w:r>
        <w:rPr>
          <w:rFonts w:hint="default" w:ascii="Times New Roman" w:hAnsi="Times New Roman" w:eastAsia="仿宋_GB2312" w:cs="Times New Roman"/>
          <w:sz w:val="28"/>
          <w:szCs w:val="28"/>
          <w:lang w:eastAsia="zh-CN"/>
        </w:rPr>
        <w:t>发</w:t>
      </w:r>
    </w:p>
    <w:sectPr>
      <w:footerReference r:id="rId5" w:type="default"/>
      <w:pgSz w:w="11906" w:h="16838"/>
      <w:pgMar w:top="2098" w:right="1474" w:bottom="1984" w:left="1588" w:header="851" w:footer="158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方正小标宋简体">
    <w:panose1 w:val="03000509000000000000"/>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03251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03251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  </w:t>
                          </w:r>
                          <w:r>
                            <w:rPr>
                              <w:rFonts w:hint="default" w:asciiTheme="majorEastAsia" w:hAnsiTheme="majorEastAsia" w:eastAsiaTheme="majorEastAsia" w:cstheme="majorEastAsia"/>
                              <w:sz w:val="28"/>
                              <w:szCs w:val="28"/>
                              <w:lang w:val="en-US" w:eastAsia="zh-CN"/>
                            </w:rPr>
                            <w:t xml:space="preserve">— </w:t>
                          </w:r>
                          <w:r>
                            <w:rPr>
                              <w:rFonts w:hint="default" w:asciiTheme="majorEastAsia" w:hAnsiTheme="majorEastAsia" w:eastAsiaTheme="majorEastAsia" w:cstheme="majorEastAsia"/>
                              <w:sz w:val="28"/>
                              <w:szCs w:val="28"/>
                              <w:lang w:val="en-US" w:eastAsia="zh-CN"/>
                            </w:rPr>
                            <w:fldChar w:fldCharType="begin"/>
                          </w:r>
                          <w:r>
                            <w:rPr>
                              <w:rFonts w:hint="default" w:asciiTheme="majorEastAsia" w:hAnsiTheme="majorEastAsia" w:eastAsiaTheme="majorEastAsia" w:cstheme="majorEastAsia"/>
                              <w:sz w:val="28"/>
                              <w:szCs w:val="28"/>
                              <w:lang w:val="en-US" w:eastAsia="zh-CN"/>
                            </w:rPr>
                            <w:instrText xml:space="preserve"> PAGE  \* MERGEFORMAT </w:instrText>
                          </w:r>
                          <w:r>
                            <w:rPr>
                              <w:rFonts w:hint="default" w:asciiTheme="majorEastAsia" w:hAnsiTheme="majorEastAsia" w:eastAsiaTheme="majorEastAsia" w:cstheme="majorEastAsia"/>
                              <w:sz w:val="28"/>
                              <w:szCs w:val="28"/>
                              <w:lang w:val="en-US" w:eastAsia="zh-CN"/>
                            </w:rPr>
                            <w:fldChar w:fldCharType="separate"/>
                          </w:r>
                          <w:r>
                            <w:rPr>
                              <w:rFonts w:hint="default" w:asciiTheme="majorEastAsia" w:hAnsiTheme="majorEastAsia" w:eastAsiaTheme="majorEastAsia" w:cstheme="majorEastAsia"/>
                              <w:sz w:val="28"/>
                              <w:szCs w:val="28"/>
                              <w:lang w:val="en-US" w:eastAsia="zh-CN"/>
                            </w:rPr>
                            <w:t>2</w:t>
                          </w:r>
                          <w:r>
                            <w:rPr>
                              <w:rFonts w:hint="default" w:asciiTheme="majorEastAsia" w:hAnsiTheme="majorEastAsia" w:eastAsiaTheme="majorEastAsia" w:cstheme="majorEastAsia"/>
                              <w:sz w:val="28"/>
                              <w:szCs w:val="28"/>
                              <w:lang w:val="en-US" w:eastAsia="zh-CN"/>
                            </w:rPr>
                            <w:fldChar w:fldCharType="end"/>
                          </w:r>
                          <w:r>
                            <w:rPr>
                              <w:rFonts w:hint="default" w:asciiTheme="majorEastAsia" w:hAnsiTheme="majorEastAsia" w:eastAsiaTheme="majorEastAsia" w:cstheme="majorEastAsia"/>
                              <w:sz w:val="28"/>
                              <w:szCs w:val="28"/>
                              <w:lang w:val="en-US" w:eastAsia="zh-CN"/>
                            </w:rPr>
                            <w:t xml:space="preserve"> —</w:t>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81.3pt;mso-position-horizontal:outside;mso-position-horizontal-relative:margin;z-index:251659264;mso-width-relative:page;mso-height-relative:page;" filled="f" stroked="f" coordsize="21600,21600" o:gfxdata="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pCs+k0wAAAAUBAAAPAAAAAAAAAAEAIAAAACIAAABkcnMvZG93bnJldi54&#10;bWxQSwECFAAUAAAACACHTuJA86bMaDgCAABjBAAADgAAAAAAAAABACAAAAAiAQAAZHJzL2Uyb0Rv&#10;Yy54bWxQSwUGAAAAAAYABgBZAQAAzAUAAAAA&#10;">
              <v:fill on="f" focussize="0,0"/>
              <v:stroke on="f" weight="0.5pt"/>
              <v:imagedata o:title=""/>
              <o:lock v:ext="edit" aspectratio="f"/>
              <v:textbox inset="0mm,0mm,0mm,0mm" style="mso-fit-shape-to-text:t;">
                <w:txbxContent>
                  <w:p>
                    <w:pPr>
                      <w:pStyle w:val="5"/>
                      <w:rPr>
                        <w:rFonts w:hint="default" w:asciiTheme="majorEastAsia" w:hAnsiTheme="majorEastAsia" w:eastAsiaTheme="majorEastAsia" w:cstheme="majorEastAsia"/>
                        <w:sz w:val="28"/>
                        <w:szCs w:val="28"/>
                        <w:lang w:val="en-US" w:eastAsia="zh-CN"/>
                      </w:rPr>
                    </w:pPr>
                    <w:r>
                      <w:rPr>
                        <w:rFonts w:hint="eastAsia" w:asciiTheme="majorEastAsia" w:hAnsiTheme="majorEastAsia" w:eastAsiaTheme="majorEastAsia" w:cstheme="majorEastAsia"/>
                        <w:sz w:val="28"/>
                        <w:szCs w:val="28"/>
                        <w:lang w:val="en-US" w:eastAsia="zh-CN"/>
                      </w:rPr>
                      <w:t xml:space="preserve">  </w:t>
                    </w:r>
                    <w:r>
                      <w:rPr>
                        <w:rFonts w:hint="default" w:asciiTheme="majorEastAsia" w:hAnsiTheme="majorEastAsia" w:eastAsiaTheme="majorEastAsia" w:cstheme="majorEastAsia"/>
                        <w:sz w:val="28"/>
                        <w:szCs w:val="28"/>
                        <w:lang w:val="en-US" w:eastAsia="zh-CN"/>
                      </w:rPr>
                      <w:t xml:space="preserve">— </w:t>
                    </w:r>
                    <w:r>
                      <w:rPr>
                        <w:rFonts w:hint="default" w:asciiTheme="majorEastAsia" w:hAnsiTheme="majorEastAsia" w:eastAsiaTheme="majorEastAsia" w:cstheme="majorEastAsia"/>
                        <w:sz w:val="28"/>
                        <w:szCs w:val="28"/>
                        <w:lang w:val="en-US" w:eastAsia="zh-CN"/>
                      </w:rPr>
                      <w:fldChar w:fldCharType="begin"/>
                    </w:r>
                    <w:r>
                      <w:rPr>
                        <w:rFonts w:hint="default" w:asciiTheme="majorEastAsia" w:hAnsiTheme="majorEastAsia" w:eastAsiaTheme="majorEastAsia" w:cstheme="majorEastAsia"/>
                        <w:sz w:val="28"/>
                        <w:szCs w:val="28"/>
                        <w:lang w:val="en-US" w:eastAsia="zh-CN"/>
                      </w:rPr>
                      <w:instrText xml:space="preserve"> PAGE  \* MERGEFORMAT </w:instrText>
                    </w:r>
                    <w:r>
                      <w:rPr>
                        <w:rFonts w:hint="default" w:asciiTheme="majorEastAsia" w:hAnsiTheme="majorEastAsia" w:eastAsiaTheme="majorEastAsia" w:cstheme="majorEastAsia"/>
                        <w:sz w:val="28"/>
                        <w:szCs w:val="28"/>
                        <w:lang w:val="en-US" w:eastAsia="zh-CN"/>
                      </w:rPr>
                      <w:fldChar w:fldCharType="separate"/>
                    </w:r>
                    <w:r>
                      <w:rPr>
                        <w:rFonts w:hint="default" w:asciiTheme="majorEastAsia" w:hAnsiTheme="majorEastAsia" w:eastAsiaTheme="majorEastAsia" w:cstheme="majorEastAsia"/>
                        <w:sz w:val="28"/>
                        <w:szCs w:val="28"/>
                        <w:lang w:val="en-US" w:eastAsia="zh-CN"/>
                      </w:rPr>
                      <w:t>2</w:t>
                    </w:r>
                    <w:r>
                      <w:rPr>
                        <w:rFonts w:hint="default" w:asciiTheme="majorEastAsia" w:hAnsiTheme="majorEastAsia" w:eastAsiaTheme="majorEastAsia" w:cstheme="majorEastAsia"/>
                        <w:sz w:val="28"/>
                        <w:szCs w:val="28"/>
                        <w:lang w:val="en-US" w:eastAsia="zh-CN"/>
                      </w:rPr>
                      <w:fldChar w:fldCharType="end"/>
                    </w:r>
                    <w:r>
                      <w:rPr>
                        <w:rFonts w:hint="default" w:asciiTheme="majorEastAsia" w:hAnsiTheme="majorEastAsia" w:eastAsiaTheme="majorEastAsia" w:cstheme="majorEastAsia"/>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5"/>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default" w:asciiTheme="minorEastAsia" w:hAnsiTheme="minorEastAsia" w:eastAsia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Theme="minorEastAsia" w:hAnsi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5"/>
                      <w:rPr>
                        <w:rFonts w:hint="default" w:asciiTheme="minorEastAsia" w:hAnsiTheme="minorEastAsia" w:eastAsia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r>
                      <w:rPr>
                        <w:rFonts w:hint="eastAsia" w:asciiTheme="minorEastAsia" w:hAnsiTheme="minorEastAsia" w:cstheme="minorEastAsia"/>
                        <w:sz w:val="28"/>
                        <w:szCs w:val="28"/>
                        <w:lang w:val="en-US"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EEDA6C"/>
    <w:multiLevelType w:val="singleLevel"/>
    <w:tmpl w:val="9CEEDA6C"/>
    <w:lvl w:ilvl="0" w:tentative="0">
      <w:start w:val="1"/>
      <w:numFmt w:val="chineseCounting"/>
      <w:suff w:val="nothing"/>
      <w:lvlText w:val="（%1）"/>
      <w:lvlJc w:val="left"/>
      <w:rPr>
        <w:rFonts w:hint="eastAsia"/>
      </w:rPr>
    </w:lvl>
  </w:abstractNum>
  <w:abstractNum w:abstractNumId="1">
    <w:nsid w:val="C4880CFB"/>
    <w:multiLevelType w:val="singleLevel"/>
    <w:tmpl w:val="C4880CFB"/>
    <w:lvl w:ilvl="0" w:tentative="0">
      <w:start w:val="1"/>
      <w:numFmt w:val="chineseCounting"/>
      <w:suff w:val="nothing"/>
      <w:lvlText w:val="%1、"/>
      <w:lvlJc w:val="left"/>
      <w:rPr>
        <w:rFonts w:hint="eastAsia"/>
      </w:rPr>
    </w:lvl>
  </w:abstractNum>
  <w:abstractNum w:abstractNumId="2">
    <w:nsid w:val="FFDE920E"/>
    <w:multiLevelType w:val="singleLevel"/>
    <w:tmpl w:val="FFDE920E"/>
    <w:lvl w:ilvl="0" w:tentative="0">
      <w:start w:val="1"/>
      <w:numFmt w:val="chineseCounting"/>
      <w:suff w:val="nothing"/>
      <w:lvlText w:val="%1、"/>
      <w:lvlJc w:val="left"/>
      <w:rPr>
        <w:rFonts w:hint="eastAsia"/>
      </w:rPr>
    </w:lvl>
  </w:abstractNum>
  <w:abstractNum w:abstractNumId="3">
    <w:nsid w:val="63A3A20C"/>
    <w:multiLevelType w:val="singleLevel"/>
    <w:tmpl w:val="63A3A20C"/>
    <w:lvl w:ilvl="0" w:tentative="0">
      <w:start w:val="1"/>
      <w:numFmt w:val="chineseCounting"/>
      <w:suff w:val="nothing"/>
      <w:lvlText w:val="（%1）"/>
      <w:lvlJc w:val="left"/>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wNjU4MzgzMWIwMzg0Yjc4MjFlYzdlNTU5YWVmMjAifQ=="/>
  </w:docVars>
  <w:rsids>
    <w:rsidRoot w:val="3567672C"/>
    <w:rsid w:val="004B5929"/>
    <w:rsid w:val="012A5692"/>
    <w:rsid w:val="016D1A0F"/>
    <w:rsid w:val="02227179"/>
    <w:rsid w:val="02D06700"/>
    <w:rsid w:val="03B409DD"/>
    <w:rsid w:val="07195D48"/>
    <w:rsid w:val="07B27EAD"/>
    <w:rsid w:val="089A5B5C"/>
    <w:rsid w:val="0F652962"/>
    <w:rsid w:val="0F790619"/>
    <w:rsid w:val="0FF75A28"/>
    <w:rsid w:val="1202502D"/>
    <w:rsid w:val="12E0282A"/>
    <w:rsid w:val="133B07D3"/>
    <w:rsid w:val="13B62550"/>
    <w:rsid w:val="15F1270C"/>
    <w:rsid w:val="160C6457"/>
    <w:rsid w:val="16111B25"/>
    <w:rsid w:val="167B4451"/>
    <w:rsid w:val="16F75866"/>
    <w:rsid w:val="18723DBA"/>
    <w:rsid w:val="18EA6F23"/>
    <w:rsid w:val="1B83540D"/>
    <w:rsid w:val="1B855124"/>
    <w:rsid w:val="1BDF2C69"/>
    <w:rsid w:val="1CF11BEB"/>
    <w:rsid w:val="1E2975E4"/>
    <w:rsid w:val="1E663583"/>
    <w:rsid w:val="1F215001"/>
    <w:rsid w:val="1F537AEE"/>
    <w:rsid w:val="224D48BD"/>
    <w:rsid w:val="24446409"/>
    <w:rsid w:val="25445C0D"/>
    <w:rsid w:val="25F50CB6"/>
    <w:rsid w:val="26A25E72"/>
    <w:rsid w:val="28B2089B"/>
    <w:rsid w:val="29407771"/>
    <w:rsid w:val="296B90B7"/>
    <w:rsid w:val="2A8B1BE9"/>
    <w:rsid w:val="2AD47127"/>
    <w:rsid w:val="2AF30311"/>
    <w:rsid w:val="2CBA0BDE"/>
    <w:rsid w:val="2D1057CD"/>
    <w:rsid w:val="2D9E6789"/>
    <w:rsid w:val="2F0A3A24"/>
    <w:rsid w:val="2F491630"/>
    <w:rsid w:val="2F4C68D1"/>
    <w:rsid w:val="31534463"/>
    <w:rsid w:val="31547DAA"/>
    <w:rsid w:val="31A0241D"/>
    <w:rsid w:val="349F1F59"/>
    <w:rsid w:val="3567672C"/>
    <w:rsid w:val="35784192"/>
    <w:rsid w:val="35EF5BF0"/>
    <w:rsid w:val="363A3D90"/>
    <w:rsid w:val="373F74B9"/>
    <w:rsid w:val="38DD7183"/>
    <w:rsid w:val="391C0ED0"/>
    <w:rsid w:val="395A45E3"/>
    <w:rsid w:val="39620592"/>
    <w:rsid w:val="3B3363EB"/>
    <w:rsid w:val="3B7B73F3"/>
    <w:rsid w:val="3BBBBA0A"/>
    <w:rsid w:val="3BFDC56C"/>
    <w:rsid w:val="3DDA6CB7"/>
    <w:rsid w:val="3F097401"/>
    <w:rsid w:val="3FFD904B"/>
    <w:rsid w:val="3FFE3376"/>
    <w:rsid w:val="40884808"/>
    <w:rsid w:val="419D1ED2"/>
    <w:rsid w:val="4392279D"/>
    <w:rsid w:val="44B90246"/>
    <w:rsid w:val="45622D3C"/>
    <w:rsid w:val="46C81CAA"/>
    <w:rsid w:val="47A143A2"/>
    <w:rsid w:val="483D142B"/>
    <w:rsid w:val="485B4FD0"/>
    <w:rsid w:val="48A835F4"/>
    <w:rsid w:val="4A3C6604"/>
    <w:rsid w:val="4AB151FC"/>
    <w:rsid w:val="4DF62F44"/>
    <w:rsid w:val="50272754"/>
    <w:rsid w:val="517D7C2E"/>
    <w:rsid w:val="51F837D1"/>
    <w:rsid w:val="52766C01"/>
    <w:rsid w:val="52DDB9E9"/>
    <w:rsid w:val="53AC0845"/>
    <w:rsid w:val="54157A1B"/>
    <w:rsid w:val="561D6B7F"/>
    <w:rsid w:val="56441D6C"/>
    <w:rsid w:val="580C5867"/>
    <w:rsid w:val="581F685D"/>
    <w:rsid w:val="58592B28"/>
    <w:rsid w:val="59117A5D"/>
    <w:rsid w:val="5A8A3929"/>
    <w:rsid w:val="5BCE22F4"/>
    <w:rsid w:val="5CD507BD"/>
    <w:rsid w:val="5DDF4799"/>
    <w:rsid w:val="5FBD3B13"/>
    <w:rsid w:val="5FD4E23A"/>
    <w:rsid w:val="601807AE"/>
    <w:rsid w:val="62BD4E12"/>
    <w:rsid w:val="669F75CB"/>
    <w:rsid w:val="678F547F"/>
    <w:rsid w:val="68DB72BC"/>
    <w:rsid w:val="697DC757"/>
    <w:rsid w:val="6B724E0D"/>
    <w:rsid w:val="6EF1D1AD"/>
    <w:rsid w:val="6F795A80"/>
    <w:rsid w:val="6FDFD4ED"/>
    <w:rsid w:val="7111038F"/>
    <w:rsid w:val="71CD681E"/>
    <w:rsid w:val="731C0BFD"/>
    <w:rsid w:val="735FF8A4"/>
    <w:rsid w:val="74FD81B3"/>
    <w:rsid w:val="75F25517"/>
    <w:rsid w:val="76CFC202"/>
    <w:rsid w:val="76F9A440"/>
    <w:rsid w:val="77717DB1"/>
    <w:rsid w:val="778255A2"/>
    <w:rsid w:val="77C532BD"/>
    <w:rsid w:val="77F76718"/>
    <w:rsid w:val="79FB6062"/>
    <w:rsid w:val="7AEA4597"/>
    <w:rsid w:val="7B8E6410"/>
    <w:rsid w:val="7BBF8F28"/>
    <w:rsid w:val="7C7AA51E"/>
    <w:rsid w:val="7D971187"/>
    <w:rsid w:val="7DA138D1"/>
    <w:rsid w:val="7DFF68EC"/>
    <w:rsid w:val="7EB40DB1"/>
    <w:rsid w:val="7ECC1908"/>
    <w:rsid w:val="7EEDBCC0"/>
    <w:rsid w:val="7FBFF8DC"/>
    <w:rsid w:val="7FE19FEC"/>
    <w:rsid w:val="7FEBBE5C"/>
    <w:rsid w:val="7FFF0838"/>
    <w:rsid w:val="93A7C28C"/>
    <w:rsid w:val="9CB6DC7E"/>
    <w:rsid w:val="A3FA3369"/>
    <w:rsid w:val="A7F59807"/>
    <w:rsid w:val="B579114A"/>
    <w:rsid w:val="BAE6AD61"/>
    <w:rsid w:val="BF77373F"/>
    <w:rsid w:val="CF7D5AE5"/>
    <w:rsid w:val="D77FDD0D"/>
    <w:rsid w:val="D7DF5A08"/>
    <w:rsid w:val="DADF988D"/>
    <w:rsid w:val="DB7B66FF"/>
    <w:rsid w:val="DDF87FCE"/>
    <w:rsid w:val="DDFEEE0E"/>
    <w:rsid w:val="DFBBD278"/>
    <w:rsid w:val="DFDC10F5"/>
    <w:rsid w:val="EA7FA3F9"/>
    <w:rsid w:val="F1DB5DE6"/>
    <w:rsid w:val="FBFF35FC"/>
    <w:rsid w:val="FDFB3A08"/>
    <w:rsid w:val="FE5D86A1"/>
    <w:rsid w:val="FEBBD9F7"/>
    <w:rsid w:val="FF6F8289"/>
    <w:rsid w:val="FFAB91C0"/>
    <w:rsid w:val="FFB5FF2F"/>
    <w:rsid w:val="FFF27E20"/>
    <w:rsid w:val="FFFF7D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iPriority="99"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before="156" w:beforeLines="50" w:after="156" w:afterLines="50" w:line="680" w:lineRule="exact"/>
      <w:jc w:val="center"/>
    </w:pPr>
    <w:rPr>
      <w:rFonts w:ascii="方正小标宋简体" w:hAnsi="华文中宋" w:eastAsia="方正小标宋简体"/>
      <w:sz w:val="42"/>
      <w:szCs w:val="40"/>
    </w:rPr>
  </w:style>
  <w:style w:type="paragraph" w:styleId="3">
    <w:name w:val="index 5"/>
    <w:basedOn w:val="1"/>
    <w:next w:val="1"/>
    <w:qFormat/>
    <w:uiPriority w:val="0"/>
    <w:pPr>
      <w:ind w:left="1680"/>
    </w:pPr>
  </w:style>
  <w:style w:type="paragraph" w:styleId="4">
    <w:name w:val="Body Text Indent"/>
    <w:basedOn w:val="1"/>
    <w:qFormat/>
    <w:uiPriority w:val="0"/>
    <w:pPr>
      <w:spacing w:after="120"/>
      <w:ind w:left="420" w:leftChars="200"/>
    </w:pPr>
  </w:style>
  <w:style w:type="paragraph" w:styleId="5">
    <w:name w:val="footer"/>
    <w:basedOn w:val="1"/>
    <w:next w:val="3"/>
    <w:unhideWhenUsed/>
    <w:qFormat/>
    <w:uiPriority w:val="99"/>
    <w:pPr>
      <w:tabs>
        <w:tab w:val="center" w:pos="4153"/>
        <w:tab w:val="right" w:pos="8306"/>
      </w:tabs>
      <w:snapToGrid w:val="0"/>
      <w:spacing w:line="240" w:lineRule="atLeast"/>
      <w:jc w:val="left"/>
    </w:pPr>
    <w:rPr>
      <w:sz w:val="18"/>
      <w:szCs w:val="18"/>
    </w:rPr>
  </w:style>
  <w:style w:type="paragraph" w:styleId="6">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footnote text"/>
    <w:basedOn w:val="1"/>
    <w:next w:val="6"/>
    <w:qFormat/>
    <w:uiPriority w:val="0"/>
    <w:pPr>
      <w:snapToGrid w:val="0"/>
      <w:jc w:val="left"/>
    </w:pPr>
  </w:style>
  <w:style w:type="paragraph" w:styleId="8">
    <w:name w:val="Normal (Web)"/>
    <w:basedOn w:val="1"/>
    <w:qFormat/>
    <w:uiPriority w:val="0"/>
    <w:pPr>
      <w:spacing w:before="100" w:beforeAutospacing="1" w:after="100" w:afterAutospacing="1"/>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Strong"/>
    <w:basedOn w:val="11"/>
    <w:qFormat/>
    <w:uiPriority w:val="0"/>
    <w:rPr>
      <w:b/>
    </w:rPr>
  </w:style>
  <w:style w:type="character" w:styleId="13">
    <w:name w:val="Hyperlink"/>
    <w:basedOn w:val="11"/>
    <w:qFormat/>
    <w:uiPriority w:val="0"/>
    <w:rPr>
      <w:color w:val="0000FF"/>
      <w:u w:val="single"/>
    </w:rPr>
  </w:style>
  <w:style w:type="paragraph" w:customStyle="1" w:styleId="14">
    <w:name w:val="No Spacing"/>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15">
    <w:name w:val="bjh-p"/>
    <w:basedOn w:val="11"/>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34</Pages>
  <Words>12746</Words>
  <Characters>12970</Characters>
  <Lines>0</Lines>
  <Paragraphs>0</Paragraphs>
  <TotalTime>5</TotalTime>
  <ScaleCrop>false</ScaleCrop>
  <LinksUpToDate>false</LinksUpToDate>
  <CharactersWithSpaces>13668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2024-03-25T02:32:00Z</dcterms:created>
  <dc:creator>FM</dc:creator>
  <cp:lastModifiedBy>FM</cp:lastModifiedBy>
  <cp:lastPrinted>2024-06-19T08:44:00Z</cp:lastPrinted>
  <dcterms:modified xsi:type="dcterms:W3CDTF">2024-06-28T04:40:45Z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7BEBDFBE52A240838C1D0D3CB6C45A5B_13</vt:lpwstr>
  </property>
</Properties>
</file>