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>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君山区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职业培训机构遴选评分标准</w:t>
      </w:r>
    </w:p>
    <w:tbl>
      <w:tblPr>
        <w:tblStyle w:val="9"/>
        <w:tblW w:w="148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9"/>
        <w:gridCol w:w="2185"/>
        <w:gridCol w:w="10462"/>
        <w:gridCol w:w="8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zCs w:val="24"/>
              </w:rPr>
              <w:t>评分项目</w:t>
            </w:r>
          </w:p>
        </w:tc>
        <w:tc>
          <w:tcPr>
            <w:tcW w:w="2185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zCs w:val="24"/>
              </w:rPr>
              <w:t>评分内容</w:t>
            </w:r>
          </w:p>
        </w:tc>
        <w:tc>
          <w:tcPr>
            <w:tcW w:w="10462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zCs w:val="24"/>
              </w:rPr>
              <w:t>评分标准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138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  <w:t>场地设施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  <w:t>（15分）</w:t>
            </w: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 xml:space="preserve">办学场所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（10分）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总建筑面积在1000</w:t>
            </w:r>
            <w:r>
              <w:rPr>
                <w:rFonts w:hint="eastAsia" w:ascii="宋体" w:hAnsi="宋体" w:cs="宋体"/>
                <w:color w:val="auto"/>
                <w:kern w:val="58"/>
                <w:sz w:val="22"/>
                <w:szCs w:val="22"/>
              </w:rPr>
              <w:t>㎡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以上的，计5分；总建筑面积在800-1000</w:t>
            </w:r>
            <w:r>
              <w:rPr>
                <w:rFonts w:hint="eastAsia" w:ascii="宋体" w:hAnsi="宋体" w:cs="宋体"/>
                <w:color w:val="auto"/>
                <w:kern w:val="58"/>
                <w:sz w:val="22"/>
                <w:szCs w:val="22"/>
              </w:rPr>
              <w:t>㎡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，计4分；总建筑面积5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  <w:lang w:val="en-US" w:eastAsia="zh-CN"/>
              </w:rPr>
              <w:t>0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0-800</w:t>
            </w:r>
            <w:r>
              <w:rPr>
                <w:rFonts w:hint="eastAsia" w:ascii="宋体" w:hAnsi="宋体" w:cs="宋体"/>
                <w:color w:val="auto"/>
                <w:kern w:val="58"/>
                <w:sz w:val="22"/>
                <w:szCs w:val="22"/>
              </w:rPr>
              <w:t>㎡，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计3分。自有场所的，需提供房屋产权证；租用场所的，需提供租赁合同或其他佐证租赁合同有效性的证明材料。缺一项材料的，不计分。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  <w:kern w:val="5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38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实训设施设备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5分）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设施、设备基本配备，运行良好，能基本满足实训要求，活动场地能满足需要根据优、良、一般，分别计5分、3分、1分。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Times New Roman" w:hAnsi="Times New Roman" w:eastAsia="仿宋_GB2312"/>
                <w:kern w:val="5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138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  <w:t>师资队伍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  <w:t>（30分）</w:t>
            </w: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专兼职老师数量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（10分）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专职教师数量占教师总数大于70%，计10分；专职教师数量占比的70%-50%，计7分；专职教师数量占比25%-50%，计4分。达不到要求的，不计分。专职老师需提供劳动合同原件、社会保险缴费记录等予以佐证，兼职老师需提供聘用合同、工资发放记录等予以佐证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</w:trPr>
        <w:tc>
          <w:tcPr>
            <w:tcW w:w="138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理论、实操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教师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（20分）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具有《职业技能培训师资合格证书》、相应学历证书及教学经验的，每人计1分；没有不计分。最高不超过10分。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" w:hAnsi="仿宋" w:eastAsia="仿宋_GB2312" w:cs="仿宋"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同时具备相关职业（工种）职业资格（技能等级）与相关专业专业技术职务任职资格的，每人计2分；具备以上资格证书之一者，每人计1分；两者均不具备，该项计0分。最高不超过10分。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Times New Roman" w:hAnsi="Times New Roman" w:eastAsia="仿宋_GB2312"/>
                <w:kern w:val="5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138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  <w:lang w:val="en-US" w:eastAsia="zh-CN"/>
              </w:rPr>
              <w:t>培训配置</w:t>
            </w: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  <w:t>（25分）</w:t>
            </w: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教学教研、培训内容及教材（15分）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eastAsia="仿宋_GB2312"/>
                <w:color w:val="auto"/>
                <w:kern w:val="58"/>
                <w:sz w:val="22"/>
                <w:szCs w:val="22"/>
                <w:lang w:val="en-US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1、设立教学管理机构，定期开展教育教学研究，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  <w:lang w:val="en-US" w:eastAsia="zh-CN"/>
              </w:rPr>
              <w:t>培训工种涵盖“三高四新”战略重点类职业、吸纳和稳定就业重点类职业、农村技能人才培养重点类职业中的至少两类</w:t>
            </w:r>
            <w:bookmarkStart w:id="0" w:name="_GoBack"/>
            <w:bookmarkEnd w:id="0"/>
            <w:r>
              <w:rPr>
                <w:rFonts w:hint="eastAsia" w:asciiTheme="minorEastAsia" w:hAnsiTheme="minorEastAsia" w:cstheme="minorEastAsia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，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每个职业（工种）有相应的教学（培训）计划，根据优、良、一般，分别计1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  <w:lang w:val="en-US" w:eastAsia="zh-CN"/>
              </w:rPr>
              <w:t>0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分、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  <w:lang w:val="en-US" w:eastAsia="zh-CN"/>
              </w:rPr>
              <w:t>8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分、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分。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  <w:lang w:val="en-US" w:eastAsia="zh-CN"/>
              </w:rPr>
              <w:t>有农村技能人才培养重点类职业的，另加3分。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Times New Roman" w:hAnsi="Times New Roman" w:eastAsia="仿宋_GB2312"/>
                <w:color w:val="auto"/>
                <w:kern w:val="58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2、有与培训项目及培训计划相匹配的教材，计2分，无则不计分。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38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管理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财务人员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（10分）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1、根据办学规模配备相应数量的专职教学管理人员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根据优、良、一般，分别计5分、3分、1分。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Times New Roman" w:hAnsi="Times New Roman" w:eastAsia="仿宋_GB2312"/>
                <w:color w:val="auto"/>
                <w:kern w:val="58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2、建立健全财务制度和财产管理制度，配备具有相应资格证书的财会人员，按照国家规定的会计科目建立会计帐簿，根据优、良、一般，分别计5分、3分、1分；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38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  <w:t>培训效果（30分）</w:t>
            </w: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社会化培训规模（15分）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Times New Roman" w:hAnsi="Times New Roman" w:eastAsia="仿宋_GB2312"/>
                <w:color w:val="auto"/>
                <w:kern w:val="58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近三年累计社会化培训人次数500人以上，计15分；近三年累计社会化培训人次数300-500人，计10分；近三年累计社会化培训人次数100-300人，计6分；近三年累计社会化培训人次数0-100人，计3分。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  <w:kern w:val="5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38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就业指导与推荐（10分）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" w:hAnsi="仿宋" w:eastAsia="仿宋" w:cs="仿宋"/>
                <w:bCs/>
                <w:color w:val="auto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成功率在50%以上的，计10分；推荐成功率在30%-50%的，计8分；推荐成功率在10%-30%，计4分；没有不计分。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138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  <w:tc>
          <w:tcPr>
            <w:tcW w:w="2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台账（5分）</w:t>
            </w:r>
          </w:p>
        </w:tc>
        <w:tc>
          <w:tcPr>
            <w:tcW w:w="1046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eastAsia="仿宋_GB2312"/>
                <w:color w:val="auto"/>
                <w:kern w:val="58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/>
                <w:color w:val="auto"/>
                <w:kern w:val="58"/>
                <w:sz w:val="22"/>
                <w:szCs w:val="22"/>
              </w:rPr>
              <w:t>对培训学员的培训、考核结业和就业情况建立全过程台账，确保信息可查询可追溯，根据优、良、一般，分别计5分、3分、1分。</w:t>
            </w:r>
          </w:p>
        </w:tc>
        <w:tc>
          <w:tcPr>
            <w:tcW w:w="82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kern w:val="0"/>
                <w:sz w:val="24"/>
                <w:szCs w:val="24"/>
              </w:rPr>
            </w:pPr>
          </w:p>
        </w:tc>
      </w:tr>
    </w:tbl>
    <w:p>
      <w:pPr>
        <w:rPr>
          <w:rFonts w:hint="default" w:ascii="Times New Roman" w:hAnsi="Times New Roman" w:eastAsia="仿宋" w:cs="Times New Roman"/>
          <w:sz w:val="32"/>
          <w:szCs w:val="32"/>
        </w:rPr>
        <w:sectPr>
          <w:pgSz w:w="16838" w:h="11906" w:orient="landscape"/>
          <w:pgMar w:top="1134" w:right="1417" w:bottom="1134" w:left="1474" w:header="851" w:footer="992" w:gutter="0"/>
          <w:pgNumType w:fmt="numberInDash"/>
          <w:cols w:space="0" w:num="1"/>
          <w:rtlGutter w:val="0"/>
          <w:docGrid w:type="linesAndChars" w:linePitch="289" w:charSpace="-1839"/>
        </w:sect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/>
        <w:jc w:val="both"/>
        <w:textAlignment w:val="center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</w:pPr>
    </w:p>
    <w:sectPr>
      <w:pgSz w:w="11906" w:h="16838"/>
      <w:pgMar w:top="1440" w:right="1134" w:bottom="1440" w:left="1304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false"/>
  <w:bordersDoNotSurroundFooter w:val="false"/>
  <w:documentProtection w:enforcement="0"/>
  <w:defaultTabStop w:val="420"/>
  <w:drawingGridHorizontalSpacing w:val="101"/>
  <w:drawingGridVerticalSpacing w:val="144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0NTIyODU1NDA4NzIwZWNkNWY0OTc4NDdjOTI0YjIifQ=="/>
  </w:docVars>
  <w:rsids>
    <w:rsidRoot w:val="19436BA2"/>
    <w:rsid w:val="00C657A1"/>
    <w:rsid w:val="01062EEC"/>
    <w:rsid w:val="04EF7C67"/>
    <w:rsid w:val="06A05249"/>
    <w:rsid w:val="06C42352"/>
    <w:rsid w:val="072A1650"/>
    <w:rsid w:val="07D33702"/>
    <w:rsid w:val="0887371F"/>
    <w:rsid w:val="0AEE7F43"/>
    <w:rsid w:val="0B923FE3"/>
    <w:rsid w:val="0BBE3849"/>
    <w:rsid w:val="0C775615"/>
    <w:rsid w:val="0ED1364B"/>
    <w:rsid w:val="10111F20"/>
    <w:rsid w:val="10A86889"/>
    <w:rsid w:val="112D2B38"/>
    <w:rsid w:val="11783BFF"/>
    <w:rsid w:val="1182633E"/>
    <w:rsid w:val="11EB7CC0"/>
    <w:rsid w:val="129B16E6"/>
    <w:rsid w:val="139367E2"/>
    <w:rsid w:val="14AD3953"/>
    <w:rsid w:val="14B46A8F"/>
    <w:rsid w:val="151B6B0E"/>
    <w:rsid w:val="160B6B83"/>
    <w:rsid w:val="16FE0496"/>
    <w:rsid w:val="17E23D8A"/>
    <w:rsid w:val="18AB3315"/>
    <w:rsid w:val="19436BA2"/>
    <w:rsid w:val="1AAE32EE"/>
    <w:rsid w:val="1B6D5BEA"/>
    <w:rsid w:val="1C3361BF"/>
    <w:rsid w:val="1CFD4D4B"/>
    <w:rsid w:val="1EC91389"/>
    <w:rsid w:val="1EFB1165"/>
    <w:rsid w:val="209B16EE"/>
    <w:rsid w:val="22FB7F7F"/>
    <w:rsid w:val="2A5C7555"/>
    <w:rsid w:val="2B623D8D"/>
    <w:rsid w:val="2DCF6290"/>
    <w:rsid w:val="2DDEAD96"/>
    <w:rsid w:val="2E150036"/>
    <w:rsid w:val="30DF39F9"/>
    <w:rsid w:val="31CD68FB"/>
    <w:rsid w:val="324E77E6"/>
    <w:rsid w:val="32672F3B"/>
    <w:rsid w:val="32FF3C11"/>
    <w:rsid w:val="339C4E66"/>
    <w:rsid w:val="342D7A0D"/>
    <w:rsid w:val="36633A19"/>
    <w:rsid w:val="386B0EFE"/>
    <w:rsid w:val="386C402B"/>
    <w:rsid w:val="38CF183A"/>
    <w:rsid w:val="39B8407C"/>
    <w:rsid w:val="3AF17846"/>
    <w:rsid w:val="3AFE01B5"/>
    <w:rsid w:val="3BF05D4F"/>
    <w:rsid w:val="3D2832C7"/>
    <w:rsid w:val="3EA3354D"/>
    <w:rsid w:val="40572841"/>
    <w:rsid w:val="40F51930"/>
    <w:rsid w:val="414A4154"/>
    <w:rsid w:val="438F24C2"/>
    <w:rsid w:val="45653278"/>
    <w:rsid w:val="45A831F7"/>
    <w:rsid w:val="47350A24"/>
    <w:rsid w:val="488D54ED"/>
    <w:rsid w:val="49E40AB2"/>
    <w:rsid w:val="4A876146"/>
    <w:rsid w:val="4A976654"/>
    <w:rsid w:val="4CED014A"/>
    <w:rsid w:val="511A58F1"/>
    <w:rsid w:val="51D05FAF"/>
    <w:rsid w:val="51D6733E"/>
    <w:rsid w:val="52003312"/>
    <w:rsid w:val="52A35871"/>
    <w:rsid w:val="53D12D4D"/>
    <w:rsid w:val="541128AF"/>
    <w:rsid w:val="55397952"/>
    <w:rsid w:val="559C0DF8"/>
    <w:rsid w:val="57361FBC"/>
    <w:rsid w:val="58627B7D"/>
    <w:rsid w:val="58F702C5"/>
    <w:rsid w:val="59282E09"/>
    <w:rsid w:val="5A230ACF"/>
    <w:rsid w:val="5A3D7F5A"/>
    <w:rsid w:val="5B833ADD"/>
    <w:rsid w:val="5C0A24DA"/>
    <w:rsid w:val="5C0C53B9"/>
    <w:rsid w:val="5E664DD0"/>
    <w:rsid w:val="605A1FEE"/>
    <w:rsid w:val="61330309"/>
    <w:rsid w:val="62740BD9"/>
    <w:rsid w:val="64D678D3"/>
    <w:rsid w:val="69582DED"/>
    <w:rsid w:val="69603C65"/>
    <w:rsid w:val="6A415844"/>
    <w:rsid w:val="6AD47C21"/>
    <w:rsid w:val="6CAD7F1C"/>
    <w:rsid w:val="6E5D0773"/>
    <w:rsid w:val="6EB505AF"/>
    <w:rsid w:val="6F7F0332"/>
    <w:rsid w:val="6FB4685D"/>
    <w:rsid w:val="72EE1B69"/>
    <w:rsid w:val="72F21DD2"/>
    <w:rsid w:val="731A42B9"/>
    <w:rsid w:val="73243F55"/>
    <w:rsid w:val="74FA0ACC"/>
    <w:rsid w:val="754664F5"/>
    <w:rsid w:val="76830F93"/>
    <w:rsid w:val="77840EB8"/>
    <w:rsid w:val="77C74EAF"/>
    <w:rsid w:val="78433660"/>
    <w:rsid w:val="785258CB"/>
    <w:rsid w:val="79660E24"/>
    <w:rsid w:val="7AF3196E"/>
    <w:rsid w:val="7B5B428C"/>
    <w:rsid w:val="7C0B3F04"/>
    <w:rsid w:val="FBFF8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footnote text"/>
    <w:basedOn w:val="1"/>
    <w:qFormat/>
    <w:uiPriority w:val="0"/>
    <w:pPr>
      <w:snapToGrid w:val="0"/>
      <w:jc w:val="left"/>
    </w:p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 2"/>
    <w:basedOn w:val="3"/>
    <w:qFormat/>
    <w:uiPriority w:val="0"/>
    <w:pPr>
      <w:ind w:left="0" w:firstLine="420"/>
    </w:pPr>
    <w:rPr>
      <w:rFonts w:ascii="仿宋_GB2312" w:eastAsia="仿宋_GB2312" w:cs="仿宋_GB2312"/>
      <w:szCs w:val="32"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font121"/>
    <w:basedOn w:val="11"/>
    <w:qFormat/>
    <w:uiPriority w:val="0"/>
    <w:rPr>
      <w:rFonts w:ascii="方正小标宋简体" w:hAnsi="方正小标宋简体" w:eastAsia="方正小标宋简体" w:cs="方正小标宋简体"/>
      <w:color w:val="000000"/>
      <w:sz w:val="44"/>
      <w:szCs w:val="44"/>
      <w:u w:val="none"/>
    </w:rPr>
  </w:style>
  <w:style w:type="character" w:customStyle="1" w:styleId="13">
    <w:name w:val="font21"/>
    <w:basedOn w:val="11"/>
    <w:qFormat/>
    <w:uiPriority w:val="0"/>
    <w:rPr>
      <w:rFonts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4">
    <w:name w:val="font71"/>
    <w:basedOn w:val="11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5">
    <w:name w:val="font01"/>
    <w:basedOn w:val="11"/>
    <w:qFormat/>
    <w:uiPriority w:val="0"/>
    <w:rPr>
      <w:rFonts w:hint="eastAsia" w:ascii="方正仿宋_GB2312" w:hAnsi="方正仿宋_GB2312" w:eastAsia="方正仿宋_GB2312" w:cs="方正仿宋_GB2312"/>
      <w:color w:val="000000"/>
      <w:sz w:val="22"/>
      <w:szCs w:val="22"/>
      <w:u w:val="none"/>
    </w:rPr>
  </w:style>
  <w:style w:type="character" w:customStyle="1" w:styleId="16">
    <w:name w:val="font81"/>
    <w:basedOn w:val="11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7">
    <w:name w:val="font91"/>
    <w:basedOn w:val="11"/>
    <w:qFormat/>
    <w:uiPriority w:val="0"/>
    <w:rPr>
      <w:rFonts w:hint="eastAsia" w:ascii="方正仿宋_GB2312" w:hAnsi="方正仿宋_GB2312" w:eastAsia="方正仿宋_GB2312" w:cs="方正仿宋_GB2312"/>
      <w:color w:val="FF0000"/>
      <w:sz w:val="24"/>
      <w:szCs w:val="24"/>
      <w:u w:val="none"/>
    </w:rPr>
  </w:style>
  <w:style w:type="character" w:customStyle="1" w:styleId="18">
    <w:name w:val="font131"/>
    <w:basedOn w:val="11"/>
    <w:qFormat/>
    <w:uiPriority w:val="0"/>
    <w:rPr>
      <w:rFonts w:hint="default" w:ascii="Times New Roman" w:hAnsi="Times New Roman" w:cs="Times New Roman"/>
      <w:color w:val="FF0000"/>
      <w:sz w:val="24"/>
      <w:szCs w:val="24"/>
      <w:u w:val="none"/>
    </w:rPr>
  </w:style>
  <w:style w:type="character" w:customStyle="1" w:styleId="19">
    <w:name w:val="font101"/>
    <w:basedOn w:val="11"/>
    <w:qFormat/>
    <w:uiPriority w:val="0"/>
    <w:rPr>
      <w:rFonts w:hint="eastAsia" w:ascii="方正仿宋_GB2312" w:hAnsi="方正仿宋_GB2312" w:eastAsia="方正仿宋_GB2312" w:cs="方正仿宋_GB2312"/>
      <w:color w:val="FF0000"/>
      <w:sz w:val="22"/>
      <w:szCs w:val="22"/>
      <w:u w:val="none"/>
    </w:rPr>
  </w:style>
  <w:style w:type="character" w:customStyle="1" w:styleId="20">
    <w:name w:val="font112"/>
    <w:basedOn w:val="11"/>
    <w:qFormat/>
    <w:uiPriority w:val="0"/>
    <w:rPr>
      <w:rFonts w:hint="default" w:ascii="Times New Roman" w:hAnsi="Times New Roman" w:cs="Times New Roman"/>
      <w:color w:val="FF0000"/>
      <w:sz w:val="22"/>
      <w:szCs w:val="22"/>
      <w:u w:val="none"/>
    </w:rPr>
  </w:style>
  <w:style w:type="character" w:customStyle="1" w:styleId="21">
    <w:name w:val="font31"/>
    <w:basedOn w:val="11"/>
    <w:qFormat/>
    <w:uiPriority w:val="0"/>
    <w:rPr>
      <w:rFonts w:ascii="黑体" w:hAnsi="宋体" w:eastAsia="黑体" w:cs="黑体"/>
      <w:color w:val="000000"/>
      <w:sz w:val="24"/>
      <w:szCs w:val="24"/>
      <w:u w:val="none"/>
    </w:rPr>
  </w:style>
  <w:style w:type="character" w:customStyle="1" w:styleId="22">
    <w:name w:val="font41"/>
    <w:basedOn w:val="11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23">
    <w:name w:val="font61"/>
    <w:basedOn w:val="11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table" w:customStyle="1" w:styleId="2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2405</Words>
  <Characters>2520</Characters>
  <Lines>0</Lines>
  <Paragraphs>0</Paragraphs>
  <TotalTime>45</TotalTime>
  <ScaleCrop>false</ScaleCrop>
  <LinksUpToDate>false</LinksUpToDate>
  <CharactersWithSpaces>2927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2023-03-10T17:50:00Z</dcterms:created>
  <dc:creator>LOHAS</dc:creator>
  <cp:lastModifiedBy>kylin</cp:lastModifiedBy>
  <cp:lastPrinted>2024-07-25T00:41:00Z</cp:lastPrinted>
  <dcterms:modified xsi:type="dcterms:W3CDTF">2024-08-05T12:49:30Z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E5CC867CB6E247A595804B5521FD6EE3_13</vt:lpwstr>
  </property>
</Properties>
</file>