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年度中共岳阳市君山区委办公室</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中共岳阳市君山区委办公室</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中共岳阳市君山区委办公室</w:t>
      </w:r>
      <w:r>
        <w:rPr>
          <w:rFonts w:hint="eastAsia" w:ascii="仿宋_GB2312" w:hAnsi="仿宋_GB2312" w:eastAsia="仿宋_GB2312" w:cs="仿宋_GB2312"/>
          <w:kern w:val="2"/>
          <w:sz w:val="32"/>
          <w:szCs w:val="32"/>
          <w:lang w:val="en-US" w:eastAsia="zh-CN" w:bidi="ar-SA"/>
        </w:rPr>
        <w:t>（以下简称区委办）是</w:t>
      </w:r>
      <w:r>
        <w:rPr>
          <w:rFonts w:hint="default" w:ascii="Times New Roman" w:hAnsi="Times New Roman" w:eastAsia="仿宋_GB2312" w:cs="Times New Roman"/>
          <w:color w:val="000000"/>
          <w:sz w:val="32"/>
          <w:szCs w:val="32"/>
          <w:highlight w:val="none"/>
        </w:rPr>
        <w:t>区委的办事机构，是协助区委领导同志处理区委日常工作的机构，</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bidi w:val="0"/>
        <w:rPr>
          <w:rFonts w:hint="default"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000000"/>
          <w:szCs w:val="32"/>
          <w:highlight w:val="none"/>
          <w:lang w:val="en-US" w:eastAsia="zh-CN"/>
        </w:rPr>
        <w:t>　</w:t>
      </w:r>
      <w:r>
        <w:rPr>
          <w:rFonts w:hint="eastAsia"/>
          <w:lang w:val="en-US" w:eastAsia="zh-CN"/>
        </w:rPr>
        <w:t>　</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负责区委日常文书的处理；围绕中央、省委、</w:t>
      </w:r>
      <w:r>
        <w:rPr>
          <w:rFonts w:hint="eastAsia" w:ascii="仿宋_GB2312" w:hAnsi="仿宋_GB2312" w:eastAsia="仿宋_GB2312" w:cs="仿宋_GB2312"/>
          <w:kern w:val="2"/>
          <w:sz w:val="32"/>
          <w:szCs w:val="32"/>
          <w:lang w:val="en-US" w:eastAsia="zh-CN" w:bidi="ar-SA"/>
        </w:rPr>
        <w:t>市</w:t>
      </w:r>
    </w:p>
    <w:p>
      <w:pPr>
        <w:bidi w:val="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委、区委总体工作部署收集信息、反映动态、综合调研；参与起草区委领导同志工作报告、讲话文稿；负责区委文件的起草、校核、把关及规范性文件的审核、备案、清理；负责中央和省、市、区委重大方针政策及重要工作部署的贯彻落实和督促检查；负责中央、省、市、区委及其领导同志重要批示的传达、催办、落实；负责区人大常委会、区政府、区政协的联络协调工作；负责区委重要会议的事务工作和区委领导同志参加重大活动的组织安排，负责全区重大会议活动的统筹协调工作；承担区委领导同志的联络服务工作。</w:t>
      </w:r>
    </w:p>
    <w:p>
      <w:pPr>
        <w:bidi w:val="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2、负责以区委名义向上级党组织请示报告工作的归口、把关工作；负责统筹、指导、督促全区党组织重大事项报告工作。</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3、负责全区党政系统密码通信和密码管理；负责全区电子政务内网、党政专用通信网规划、建设和管理；负责全区电子文件管理工作，协同做好党政机关电子公文系统安全可靠应用推进、区直单位信息化建设项目前置审查工作。</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4、负责上级党委领导来区考察期间的接待工作。</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5、负责区委全面深化改革委员会的日常工作；负责组织开展全区全面深化改革重大问题的政策研究，统筹协调有关方面提出改革方案和措施，协调督促有关方面落实委员会决定事项、工作部署和要求；负责向市委改革办的情况汇报、具体事项请示、资料报送等工作联系。</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6、负责区委财经委员会的日常工作；负责围绕全区经济社会发展的重大问题，组织开展调查研究，分析研判全区经济社会发展形势；负责督导检查全区关于区委财经委员会决策部署落实情况；负责拟订财经工作相关文件和工作规划。</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7、负责区委外事工作委员会的日常工作；贯彻执行党和国家外事和港澳工作方针、政策、法规，统筹协调重要外宾、港澳同胞的来访接待；办理区内公职人员因公出（入）境手续，负责出国（境）人员外事纪律教育，掌握出访团组（人员）在外工作活动情况。</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8、负责贯彻执行党和国家的对台方针政策和各项涉台法律、法规；组织指导管理协调全区对台工作，检查了解各单位贯彻执行党和国家的对台方针政策的落实情况；做好对台宣传教育工作。</w:t>
      </w:r>
    </w:p>
    <w:p>
      <w:pPr>
        <w:bidi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default" w:ascii="仿宋_GB2312" w:hAnsi="仿宋_GB2312" w:eastAsia="仿宋_GB2312" w:cs="仿宋_GB2312"/>
          <w:kern w:val="2"/>
          <w:sz w:val="32"/>
          <w:szCs w:val="32"/>
          <w:lang w:val="en-US" w:eastAsia="zh-CN" w:bidi="ar-SA"/>
        </w:rPr>
        <w:t>9、负责全区档案事业的发展规划、组织协调，全区档案工作的监督和指导，全区档案法规的宣传教育以及依法查处档案违法行为。</w:t>
      </w:r>
    </w:p>
    <w:p>
      <w:pPr>
        <w:bidi w:val="0"/>
        <w:ind w:firstLine="64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10、负责区委办公室系统的信访维稳和安全生产工作；</w:t>
      </w:r>
      <w:r>
        <w:rPr>
          <w:rFonts w:hint="eastAsia" w:ascii="仿宋_GB2312" w:hAnsi="仿宋_GB2312" w:eastAsia="仿宋_GB2312" w:cs="仿宋_GB2312"/>
          <w:kern w:val="2"/>
          <w:sz w:val="32"/>
          <w:szCs w:val="32"/>
          <w:lang w:val="en-US" w:eastAsia="zh-CN" w:bidi="ar-SA"/>
        </w:rPr>
        <w:t>　　</w:t>
      </w:r>
    </w:p>
    <w:p>
      <w:pPr>
        <w:bidi w:val="0"/>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w:t>
      </w:r>
      <w:r>
        <w:rPr>
          <w:rFonts w:hint="default" w:ascii="仿宋_GB2312" w:hAnsi="仿宋_GB2312" w:eastAsia="仿宋_GB2312" w:cs="仿宋_GB2312"/>
          <w:kern w:val="2"/>
          <w:sz w:val="32"/>
          <w:szCs w:val="32"/>
          <w:lang w:val="en-US" w:eastAsia="zh-CN" w:bidi="ar-SA"/>
        </w:rPr>
        <w:t>完成区委交办的其他工作。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委办内设机构13个，分别是秘书室、总值班室、法规室（加挂区委法规室牌子）、综调信息室、督查室（对外称区委督查室）、机要密码室保密室、改革指导协调室、外事管理和港澳事务室、台湾事务管理室、财经室、档案宣传教育和业务指导室、政工行财室。正科级财政全额拨款单位1个，为君山区委政策研究中心。</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w:t>
      </w:r>
      <w:r>
        <w:rPr>
          <w:rFonts w:hint="eastAsia" w:ascii="仿宋_GB2312" w:hAnsi="仿宋_GB2312" w:eastAsia="仿宋_GB2312" w:cs="仿宋_GB2312"/>
          <w:kern w:val="2"/>
          <w:sz w:val="32"/>
          <w:szCs w:val="32"/>
          <w:lang w:val="en-US" w:eastAsia="zh-CN" w:bidi="ar-SA"/>
        </w:rPr>
        <w:t>有人数</w:t>
      </w:r>
      <w:r>
        <w:rPr>
          <w:rFonts w:hint="eastAsia" w:ascii="仿宋_GB2312" w:hAnsi="仿宋_GB2312" w:eastAsia="仿宋_GB2312" w:cs="仿宋_GB2312"/>
          <w:kern w:val="2"/>
          <w:sz w:val="32"/>
          <w:szCs w:val="32"/>
          <w:highlight w:val="none"/>
          <w:lang w:val="en-US" w:eastAsia="zh-CN" w:bidi="ar-SA"/>
        </w:rPr>
        <w:t>61人，其中：在职30人，离退休31人。</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整体支出绩效目标：积极推行预算绩效管理，强化对资金使用情况的预算约束和监督，围绕部门职责，在服务大局上参谋辅政，在牵头抓总上统筹协调，在推动落实上督促检查，在日常运转上服务保障，全力保障党委决策部署落地见效，提高财政资金使用绩效，促进管理效能提升。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项目支出绩效目标：推动区委决策落地落实，提高为民服务水平；牵头开展全区春节等重大节日慰问走访；牵头开展改革类工作专项督查；牵头召开区委全面深化改革各项会议等相关工作。</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预算资金1013.19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861.24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项目支出151.95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。全年实际支出1013.19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861.24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项目支出151.95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区委办2023年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861.24</w:t>
      </w:r>
      <w:r>
        <w:rPr>
          <w:rFonts w:hint="default" w:ascii="仿宋_GB2312" w:hAnsi="仿宋_GB2312" w:eastAsia="仿宋_GB2312" w:cs="仿宋_GB2312"/>
          <w:kern w:val="2"/>
          <w:sz w:val="32"/>
          <w:szCs w:val="32"/>
          <w:lang w:val="en-US" w:eastAsia="zh-CN" w:bidi="ar-SA"/>
        </w:rPr>
        <w:t>万元，其中人员经费588</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14万元，公用经费273</w:t>
      </w:r>
      <w:r>
        <w:rPr>
          <w:rFonts w:hint="eastAsia" w:ascii="仿宋_GB2312" w:hAnsi="仿宋_GB2312" w:eastAsia="仿宋_GB2312" w:cs="仿宋_GB2312"/>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万元。</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color w:val="000000"/>
          <w:kern w:val="2"/>
          <w:sz w:val="32"/>
          <w:szCs w:val="32"/>
          <w:shd w:val="clear" w:color="auto" w:fill="FFFFFF"/>
          <w:lang w:val="en-US" w:eastAsia="zh-CN" w:bidi="ar-SA"/>
        </w:rPr>
        <w:t>　2023年</w:t>
      </w:r>
      <w:r>
        <w:rPr>
          <w:rFonts w:hint="default" w:ascii="仿宋_GB2312" w:hAnsi="仿宋_GB2312" w:eastAsia="仿宋_GB2312" w:cs="仿宋_GB2312"/>
          <w:color w:val="000000"/>
          <w:kern w:val="2"/>
          <w:sz w:val="32"/>
          <w:szCs w:val="32"/>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区委办</w:t>
      </w:r>
      <w:r>
        <w:rPr>
          <w:rFonts w:hint="default" w:ascii="仿宋_GB2312" w:hAnsi="仿宋_GB2312" w:eastAsia="仿宋_GB2312" w:cs="仿宋_GB2312"/>
          <w:color w:val="000000"/>
          <w:kern w:val="2"/>
          <w:sz w:val="32"/>
          <w:szCs w:val="32"/>
          <w:shd w:val="clear" w:color="auto" w:fill="FFFFFF"/>
          <w:lang w:val="en-US" w:eastAsia="zh-CN" w:bidi="ar-SA"/>
        </w:rPr>
        <w:t>全年</w:t>
      </w:r>
      <w:r>
        <w:rPr>
          <w:rFonts w:hint="eastAsia" w:ascii="仿宋_GB2312" w:hAnsi="仿宋_GB2312" w:eastAsia="仿宋_GB2312" w:cs="仿宋_GB2312"/>
          <w:color w:val="000000"/>
          <w:kern w:val="2"/>
          <w:sz w:val="32"/>
          <w:szCs w:val="32"/>
          <w:shd w:val="clear" w:color="auto" w:fill="FFFFFF"/>
          <w:lang w:val="en-US" w:eastAsia="zh-CN" w:bidi="ar-SA"/>
        </w:rPr>
        <w:t>项目支出151.95</w:t>
      </w:r>
      <w:r>
        <w:rPr>
          <w:rFonts w:hint="default" w:ascii="仿宋_GB2312" w:hAnsi="仿宋_GB2312" w:eastAsia="仿宋_GB2312" w:cs="仿宋_GB2312"/>
          <w:color w:val="000000"/>
          <w:kern w:val="2"/>
          <w:sz w:val="32"/>
          <w:szCs w:val="32"/>
          <w:shd w:val="clear" w:color="auto" w:fill="FFFFFF"/>
          <w:lang w:val="en-US" w:eastAsia="zh-CN" w:bidi="ar-SA"/>
        </w:rPr>
        <w:t>万元</w:t>
      </w:r>
      <w:r>
        <w:rPr>
          <w:rFonts w:hint="eastAsia" w:ascii="仿宋_GB2312" w:hAnsi="仿宋_GB2312" w:eastAsia="仿宋_GB2312" w:cs="仿宋_GB2312"/>
          <w:color w:val="000000"/>
          <w:kern w:val="2"/>
          <w:sz w:val="32"/>
          <w:szCs w:val="32"/>
          <w:shd w:val="clear" w:color="auto" w:fill="FFFFFF"/>
          <w:lang w:val="en-US" w:eastAsia="zh-CN" w:bidi="ar-SA"/>
        </w:rPr>
        <w:t>，主要是本部门为完成特定工作任务或事业发展目标而发生的支出，包括有关事业发展专项、专项业务费、基本建设支出等，含 业务工作经费、区委办专项等项目支出。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区委办无此项支出。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区委办无此项支出。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区委办无此项支出。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区委办</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部门整体支出绩效自评得分99</w:t>
      </w:r>
      <w:bookmarkStart w:id="0" w:name="_GoBack"/>
      <w:bookmarkEnd w:id="0"/>
      <w:r>
        <w:rPr>
          <w:rFonts w:hint="eastAsia" w:ascii="仿宋_GB2312" w:hAnsi="仿宋_GB2312" w:eastAsia="仿宋_GB2312" w:cs="仿宋_GB2312"/>
          <w:kern w:val="2"/>
          <w:sz w:val="32"/>
          <w:szCs w:val="32"/>
          <w:lang w:val="en-US" w:eastAsia="zh-CN" w:bidi="ar-SA"/>
        </w:rPr>
        <w:t>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区委办</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区委办</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333333"/>
          <w:spacing w:val="0"/>
          <w:sz w:val="32"/>
          <w:szCs w:val="32"/>
          <w:lang w:eastAsia="zh-CN"/>
        </w:rPr>
      </w:pPr>
      <w:r>
        <w:rPr>
          <w:rFonts w:hint="eastAsia" w:ascii="Times New Roman" w:hAnsi="Times New Roman" w:eastAsia="仿宋_GB2312" w:cs="Times New Roman"/>
          <w:color w:val="000000"/>
          <w:sz w:val="32"/>
          <w:szCs w:val="32"/>
          <w:highlight w:val="none"/>
          <w:lang w:val="en-US" w:eastAsia="zh-CN"/>
        </w:rPr>
        <w:t>1、</w:t>
      </w:r>
      <w:r>
        <w:rPr>
          <w:rFonts w:hint="eastAsia" w:ascii="仿宋_GB2312" w:hAnsi="仿宋_GB2312" w:eastAsia="仿宋_GB2312" w:cs="仿宋_GB2312"/>
          <w:kern w:val="2"/>
          <w:sz w:val="32"/>
          <w:szCs w:val="32"/>
          <w:lang w:val="en-US" w:eastAsia="zh-CN" w:bidi="ar-SA"/>
        </w:rPr>
        <w:t>在服务大局上参谋辅政有道。</w:t>
      </w:r>
      <w:r>
        <w:rPr>
          <w:rFonts w:hint="eastAsia" w:ascii="仿宋_GB2312" w:hAnsi="仿宋_GB2312" w:eastAsia="仿宋_GB2312" w:cs="仿宋_GB2312"/>
          <w:sz w:val="32"/>
          <w:szCs w:val="40"/>
        </w:rPr>
        <w:t>全年组织起草</w:t>
      </w:r>
      <w:r>
        <w:rPr>
          <w:rFonts w:hint="eastAsia" w:ascii="仿宋_GB2312" w:hAnsi="仿宋_GB2312" w:eastAsia="仿宋_GB2312" w:cs="仿宋_GB2312"/>
          <w:sz w:val="32"/>
          <w:szCs w:val="40"/>
          <w:lang w:eastAsia="zh-CN"/>
        </w:rPr>
        <w:t>把关各类文稿</w:t>
      </w:r>
      <w:r>
        <w:rPr>
          <w:rFonts w:hint="eastAsia" w:ascii="仿宋_GB2312" w:hAnsi="仿宋_GB2312" w:eastAsia="仿宋_GB2312" w:cs="仿宋_GB2312"/>
          <w:sz w:val="32"/>
          <w:szCs w:val="40"/>
          <w:lang w:val="en-US" w:eastAsia="zh-CN"/>
        </w:rPr>
        <w:t>230</w:t>
      </w:r>
      <w:r>
        <w:rPr>
          <w:rFonts w:hint="eastAsia" w:ascii="仿宋_GB2312" w:hAnsi="仿宋_GB2312" w:eastAsia="仿宋_GB2312" w:cs="仿宋_GB2312"/>
          <w:sz w:val="32"/>
          <w:szCs w:val="40"/>
          <w:lang w:eastAsia="zh-CN"/>
        </w:rPr>
        <w:t>余篇、约</w:t>
      </w:r>
      <w:r>
        <w:rPr>
          <w:rFonts w:hint="eastAsia" w:ascii="仿宋_GB2312" w:hAnsi="仿宋_GB2312" w:eastAsia="仿宋_GB2312" w:cs="仿宋_GB2312"/>
          <w:sz w:val="32"/>
          <w:szCs w:val="40"/>
          <w:lang w:val="en-US" w:eastAsia="zh-CN"/>
        </w:rPr>
        <w:t>105</w:t>
      </w:r>
      <w:r>
        <w:rPr>
          <w:rFonts w:hint="eastAsia" w:ascii="仿宋_GB2312" w:hAnsi="仿宋_GB2312" w:eastAsia="仿宋_GB2312" w:cs="仿宋_GB2312"/>
          <w:sz w:val="32"/>
          <w:szCs w:val="40"/>
          <w:lang w:eastAsia="zh-CN"/>
        </w:rPr>
        <w:t>万字，</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eastAsia="zh-CN"/>
        </w:rPr>
        <w:t>《湖南工作》</w:t>
      </w:r>
      <w:r>
        <w:rPr>
          <w:rFonts w:hint="eastAsia" w:ascii="仿宋_GB2312" w:hAnsi="仿宋_GB2312" w:eastAsia="仿宋_GB2312" w:cs="仿宋_GB2312"/>
          <w:sz w:val="32"/>
          <w:szCs w:val="40"/>
        </w:rPr>
        <w:t>《岳阳工作》《岳阳日报》</w:t>
      </w:r>
      <w:r>
        <w:rPr>
          <w:rFonts w:hint="eastAsia" w:ascii="仿宋_GB2312" w:hAnsi="仿宋_GB2312" w:eastAsia="仿宋_GB2312" w:cs="仿宋_GB2312"/>
          <w:sz w:val="32"/>
          <w:szCs w:val="40"/>
          <w:lang w:eastAsia="zh-CN"/>
        </w:rPr>
        <w:t>等</w:t>
      </w:r>
      <w:r>
        <w:rPr>
          <w:rFonts w:hint="eastAsia" w:ascii="仿宋_GB2312" w:hAnsi="仿宋_GB2312" w:eastAsia="仿宋_GB2312" w:cs="仿宋_GB2312"/>
          <w:sz w:val="32"/>
          <w:szCs w:val="40"/>
        </w:rPr>
        <w:t>发表文章</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篇，</w:t>
      </w:r>
      <w:r>
        <w:rPr>
          <w:rFonts w:hint="eastAsia" w:ascii="仿宋_GB2312" w:hAnsi="仿宋_GB2312" w:eastAsia="仿宋_GB2312" w:cs="仿宋_GB2312"/>
          <w:sz w:val="32"/>
          <w:szCs w:val="40"/>
          <w:lang w:eastAsia="zh-CN"/>
        </w:rPr>
        <w:t>全年上报各类信息</w:t>
      </w:r>
      <w:r>
        <w:rPr>
          <w:rFonts w:hint="eastAsia" w:ascii="仿宋_GB2312" w:hAnsi="仿宋_GB2312" w:eastAsia="仿宋_GB2312" w:cs="仿宋_GB2312"/>
          <w:sz w:val="32"/>
          <w:szCs w:val="40"/>
          <w:lang w:val="en-US" w:eastAsia="zh-CN"/>
        </w:rPr>
        <w:t>621</w:t>
      </w:r>
      <w:r>
        <w:rPr>
          <w:rFonts w:hint="eastAsia" w:ascii="仿宋_GB2312" w:hAnsi="仿宋_GB2312" w:eastAsia="仿宋_GB2312" w:cs="仿宋_GB2312"/>
          <w:sz w:val="32"/>
          <w:szCs w:val="40"/>
          <w:lang w:eastAsia="zh-CN"/>
        </w:rPr>
        <w:t>条，被省市采用</w:t>
      </w:r>
      <w:r>
        <w:rPr>
          <w:rFonts w:hint="eastAsia" w:ascii="仿宋_GB2312" w:hAnsi="仿宋_GB2312" w:eastAsia="仿宋_GB2312" w:cs="仿宋_GB2312"/>
          <w:sz w:val="32"/>
          <w:szCs w:val="40"/>
          <w:lang w:val="en-US" w:eastAsia="zh-CN"/>
        </w:rPr>
        <w:t>81</w:t>
      </w:r>
      <w:r>
        <w:rPr>
          <w:rFonts w:hint="eastAsia" w:ascii="仿宋_GB2312" w:hAnsi="仿宋_GB2312" w:eastAsia="仿宋_GB2312" w:cs="仿宋_GB2312"/>
          <w:sz w:val="32"/>
          <w:szCs w:val="40"/>
          <w:lang w:eastAsia="zh-CN"/>
        </w:rPr>
        <w:t>条，君山区大力发展屋顶光伏新能源、打好“洞庭碧水”总磷攻坚仗等多条信息获市委主要领导正面批示；编发《每周汇报》</w:t>
      </w:r>
      <w:r>
        <w:rPr>
          <w:rFonts w:hint="eastAsia" w:ascii="仿宋_GB2312" w:hAnsi="仿宋_GB2312" w:eastAsia="仿宋_GB2312" w:cs="仿宋_GB2312"/>
          <w:sz w:val="32"/>
          <w:szCs w:val="40"/>
          <w:lang w:val="en-US" w:eastAsia="zh-CN"/>
        </w:rPr>
        <w:t>47</w:t>
      </w:r>
      <w:r>
        <w:rPr>
          <w:rFonts w:hint="eastAsia" w:ascii="仿宋_GB2312" w:hAnsi="仿宋_GB2312" w:eastAsia="仿宋_GB2312" w:cs="仿宋_GB2312"/>
          <w:sz w:val="32"/>
          <w:szCs w:val="40"/>
          <w:lang w:eastAsia="zh-CN"/>
        </w:rPr>
        <w:t>期、《领导每日活动》</w:t>
      </w:r>
      <w:r>
        <w:rPr>
          <w:rFonts w:hint="eastAsia" w:ascii="仿宋_GB2312" w:hAnsi="仿宋_GB2312" w:eastAsia="仿宋_GB2312" w:cs="仿宋_GB2312"/>
          <w:sz w:val="32"/>
          <w:szCs w:val="40"/>
          <w:lang w:val="en-US" w:eastAsia="zh-CN"/>
        </w:rPr>
        <w:t>284</w:t>
      </w:r>
      <w:r>
        <w:rPr>
          <w:rFonts w:hint="eastAsia" w:ascii="仿宋_GB2312" w:hAnsi="仿宋_GB2312" w:eastAsia="仿宋_GB2312" w:cs="仿宋_GB2312"/>
          <w:sz w:val="32"/>
          <w:szCs w:val="40"/>
          <w:lang w:eastAsia="zh-CN"/>
        </w:rPr>
        <w:t>期，信息工作考核得分居全市第二，</w:t>
      </w:r>
      <w:r>
        <w:rPr>
          <w:rFonts w:hint="eastAsia" w:ascii="仿宋_GB2312" w:hAnsi="仿宋_GB2312" w:eastAsia="仿宋_GB2312" w:cs="仿宋_GB2312"/>
          <w:kern w:val="2"/>
          <w:sz w:val="32"/>
          <w:szCs w:val="32"/>
          <w:lang w:val="en-US" w:eastAsia="zh-CN" w:bidi="ar-SA"/>
        </w:rPr>
        <w:t>形成君山经验。协力推广</w:t>
      </w:r>
      <w:r>
        <w:rPr>
          <w:rFonts w:hint="eastAsia" w:ascii="仿宋_GB2312" w:hAnsi="仿宋_GB2312" w:eastAsia="仿宋_GB2312" w:cs="仿宋_GB2312"/>
          <w:color w:val="000000"/>
          <w:sz w:val="32"/>
          <w:szCs w:val="32"/>
          <w:lang w:eastAsia="zh-CN"/>
        </w:rPr>
        <w:t>“沿江夜话”“濠河夜谈”等基层治理新模式，助力开通“君事通”线上咨询导办客服平台，精心讲好生态渔业集团“敢闯敢试敢干”故事，推动打造国家级湘北水产良种场等“产学研”实践基地，相关转型升级经验入选“中国改革</w:t>
      </w:r>
      <w:r>
        <w:rPr>
          <w:rFonts w:hint="eastAsia" w:ascii="仿宋_GB2312" w:hAnsi="仿宋_GB2312" w:eastAsia="仿宋_GB2312" w:cs="仿宋_GB2312"/>
          <w:color w:val="000000"/>
          <w:sz w:val="32"/>
          <w:szCs w:val="32"/>
          <w:lang w:val="en-US" w:eastAsia="zh-CN"/>
        </w:rPr>
        <w:t>2023年度地方全面深化改革典型案例</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color w:val="000000"/>
          <w:sz w:val="32"/>
          <w:szCs w:val="32"/>
          <w:lang w:val="en-US" w:eastAsia="zh-CN"/>
        </w:rPr>
        <w:t>2.在牵头抓总上统筹协调有方。</w:t>
      </w:r>
      <w:r>
        <w:rPr>
          <w:rFonts w:hint="eastAsia" w:ascii="仿宋_GB2312" w:hAnsi="仿宋_GB2312" w:eastAsia="仿宋_GB2312" w:cs="仿宋_GB2312"/>
          <w:sz w:val="32"/>
          <w:szCs w:val="32"/>
          <w:lang w:val="en-US" w:eastAsia="zh-CN"/>
        </w:rPr>
        <w:t>牵头组织好了全区高质量发展推进大会、区委全会、季度讲评会、工作务虚会等全区性大型会议；配合做好了全国血吸虫病防治工作会议（现场点）、“跃马江湖·2023岳阳马拉松”“‘大美江湖，交响君山’音乐会”等重要赛事节会、大型活动的会务工作。</w:t>
      </w:r>
      <w:r>
        <w:rPr>
          <w:rFonts w:hint="eastAsia" w:ascii="仿宋_GB2312" w:hAnsi="仿宋_GB2312" w:eastAsia="仿宋_GB2312" w:cs="仿宋_GB2312"/>
          <w:kern w:val="2"/>
          <w:sz w:val="32"/>
          <w:szCs w:val="32"/>
          <w:lang w:val="en-US" w:eastAsia="zh-CN" w:bidi="ar-SA"/>
        </w:rPr>
        <w:t>全年</w:t>
      </w:r>
      <w:r>
        <w:rPr>
          <w:rFonts w:hint="eastAsia" w:ascii="仿宋_GB2312" w:eastAsia="仿宋_GB2312" w:cs="仿宋_GB2312"/>
          <w:sz w:val="32"/>
          <w:szCs w:val="40"/>
          <w:highlight w:val="none"/>
          <w:lang w:val="en-US" w:eastAsia="zh-CN"/>
        </w:rPr>
        <w:t>累计服务区委召开常委会、全会会议69次，</w:t>
      </w:r>
      <w:r>
        <w:rPr>
          <w:rFonts w:hint="eastAsia" w:ascii="仿宋_GB2312" w:hAnsi="仿宋_GB2312" w:eastAsia="仿宋_GB2312" w:cs="仿宋_GB2312"/>
          <w:b w:val="0"/>
          <w:bCs/>
          <w:sz w:val="32"/>
          <w:szCs w:val="32"/>
          <w:lang w:eastAsia="zh-CN"/>
        </w:rPr>
        <w:t>共</w:t>
      </w:r>
      <w:r>
        <w:rPr>
          <w:rFonts w:hint="eastAsia" w:ascii="仿宋_GB2312" w:hAnsi="仿宋_GB2312" w:eastAsia="仿宋_GB2312" w:cs="仿宋_GB2312"/>
          <w:kern w:val="2"/>
          <w:sz w:val="32"/>
          <w:szCs w:val="32"/>
          <w:lang w:val="en-US" w:eastAsia="zh-CN" w:bidi="ar-SA"/>
        </w:rPr>
        <w:t>制发各类公文227件，办理上级文件1083份，牵头或配合组织各类会议89场，发文和召开会议数量分别减幅6.0%、7.5%以上。</w:t>
      </w:r>
      <w:r>
        <w:rPr>
          <w:rFonts w:hint="eastAsia" w:ascii="仿宋_GB2312" w:hAnsi="仿宋_GB2312" w:eastAsia="仿宋_GB2312" w:cs="仿宋_GB2312"/>
          <w:sz w:val="32"/>
          <w:szCs w:val="40"/>
          <w:lang w:eastAsia="zh-CN"/>
        </w:rPr>
        <w:t>共</w:t>
      </w:r>
      <w:r>
        <w:rPr>
          <w:rFonts w:hint="eastAsia" w:ascii="仿宋_GB2312" w:hAnsi="仿宋_GB2312" w:eastAsia="仿宋_GB2312" w:cs="仿宋_GB2312"/>
          <w:kern w:val="2"/>
          <w:sz w:val="32"/>
          <w:szCs w:val="32"/>
          <w:lang w:val="en-US" w:eastAsia="zh-CN" w:bidi="ar-SA"/>
        </w:rPr>
        <w:t>牵头承办中央、省、市各级领导调研视察13批次，圆满做好了生态环境部副部长翟青、中国工程院院士单杨、省委书记沈晓明、副省长张迎春、市委书记谢卫江等上级领导来区视察的</w:t>
      </w:r>
      <w:r>
        <w:rPr>
          <w:rFonts w:hint="eastAsia" w:ascii="仿宋_GB2312" w:hAnsi="仿宋_GB2312" w:eastAsia="仿宋_GB2312" w:cs="仿宋_GB2312"/>
          <w:sz w:val="32"/>
          <w:szCs w:val="40"/>
          <w:lang w:eastAsia="zh-CN"/>
        </w:rPr>
        <w:t>相关协调接待工作，做到了</w:t>
      </w:r>
      <w:r>
        <w:rPr>
          <w:rFonts w:hint="eastAsia" w:ascii="仿宋_GB2312" w:hAnsi="仿宋_GB2312" w:eastAsia="仿宋_GB2312" w:cs="仿宋_GB2312"/>
          <w:sz w:val="32"/>
          <w:szCs w:val="40"/>
        </w:rPr>
        <w:t>求全求细、勤俭节约、突出特色</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2023</w:t>
      </w:r>
      <w:r>
        <w:rPr>
          <w:rFonts w:hint="eastAsia" w:ascii="仿宋_GB2312" w:hAnsi="仿宋_GB2312" w:eastAsia="仿宋_GB2312" w:cs="仿宋_GB2312"/>
          <w:sz w:val="32"/>
          <w:szCs w:val="40"/>
          <w:lang w:eastAsia="zh-CN"/>
        </w:rPr>
        <w:t>年</w:t>
      </w:r>
      <w:r>
        <w:rPr>
          <w:rFonts w:hint="eastAsia" w:ascii="仿宋_GB2312" w:hAnsi="仿宋_GB2312" w:eastAsia="仿宋_GB2312" w:cs="仿宋_GB2312"/>
          <w:sz w:val="32"/>
          <w:szCs w:val="32"/>
          <w:lang w:eastAsia="zh-CN"/>
        </w:rPr>
        <w:t>配合省委巡视组开展立行立改专项巡察和市委开展未巡先改巡察整改等一系列工作，指导督促各相关单位</w:t>
      </w:r>
      <w:r>
        <w:rPr>
          <w:rFonts w:hint="eastAsia" w:ascii="仿宋_GB2312" w:hAnsi="仿宋_GB2312" w:eastAsia="仿宋_GB2312" w:cs="仿宋_GB2312"/>
          <w:sz w:val="32"/>
          <w:szCs w:val="32"/>
          <w:lang w:val="en-US" w:eastAsia="zh-CN"/>
        </w:rPr>
        <w:t>完成了39件省市交办事项，办理了56件区委常委会及区委主要领导批示、口头交办重点任务，各项交办事项均按时按质交账。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3、在推动落实上督促检查有效。</w:t>
      </w:r>
      <w:r>
        <w:rPr>
          <w:rFonts w:hint="eastAsia" w:ascii="仿宋_GB2312" w:hAnsi="仿宋_GB2312" w:eastAsia="仿宋_GB2312" w:cs="仿宋_GB2312"/>
          <w:kern w:val="2"/>
          <w:sz w:val="32"/>
          <w:szCs w:val="32"/>
          <w:lang w:val="en-US" w:eastAsia="zh-CN" w:bidi="ar-SA"/>
        </w:rPr>
        <w:t>全年办理115件区委常委会及区委主要领导批示、口头交办的重点任务，办结率90%,未完成的重点任务按时推进。全年共办理完成省委、省政府主要领导批示交办件9件(次)，市委、市政府主要领导交办事项12项。涉及生态环境、产业发展</w:t>
      </w:r>
      <w:r>
        <w:rPr>
          <w:rFonts w:hint="eastAsia" w:ascii="仿宋_GB2312" w:hAnsi="仿宋_GB2312" w:eastAsia="仿宋_GB2312" w:cs="仿宋_GB2312"/>
          <w:sz w:val="32"/>
          <w:szCs w:val="32"/>
          <w:lang w:eastAsia="zh-CN"/>
        </w:rPr>
        <w:t>、省委巡视巡查、耕地保护等</w:t>
      </w:r>
      <w:r>
        <w:rPr>
          <w:rFonts w:hint="eastAsia" w:ascii="仿宋_GB2312" w:hAnsi="仿宋_GB2312" w:eastAsia="仿宋_GB2312" w:cs="仿宋_GB2312"/>
          <w:sz w:val="32"/>
          <w:szCs w:val="32"/>
          <w:lang w:val="en-US" w:eastAsia="zh-CN"/>
        </w:rPr>
        <w:t>11个领域。上岸渔民转产转业督查工作获市委主要领导表扬。</w:t>
      </w:r>
      <w:r>
        <w:rPr>
          <w:rFonts w:hint="eastAsia" w:ascii="仿宋_GB2312" w:hAnsi="仿宋_GB2312" w:eastAsia="仿宋_GB2312" w:cs="仿宋_GB2312"/>
          <w:sz w:val="32"/>
          <w:szCs w:val="32"/>
          <w:lang w:eastAsia="zh-CN"/>
        </w:rPr>
        <w:t>今年以来，开展暗访督查</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eastAsia="zh-CN"/>
        </w:rPr>
        <w:t>余次，编发督查通报5期、督查专报6期，有效督促问题解决。围绕</w:t>
      </w:r>
      <w:r>
        <w:rPr>
          <w:rFonts w:hint="eastAsia" w:ascii="仿宋_GB2312" w:hAnsi="仿宋_GB2312" w:eastAsia="仿宋_GB2312" w:cs="仿宋_GB2312"/>
          <w:sz w:val="32"/>
          <w:szCs w:val="32"/>
          <w:lang w:val="en-US" w:eastAsia="zh-CN"/>
        </w:rPr>
        <w:t>“4.25”系列活动、城乡人居环境整治、安全生产、早稻生产、上半年流动现场会、爱卫工作复审、文山会海、省委巡视、三资清查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14项</w:t>
      </w:r>
      <w:r>
        <w:rPr>
          <w:rFonts w:hint="eastAsia" w:ascii="仿宋_GB2312" w:hAnsi="仿宋_GB2312" w:eastAsia="仿宋_GB2312" w:cs="仿宋_GB2312"/>
          <w:sz w:val="32"/>
          <w:szCs w:val="32"/>
          <w:lang w:eastAsia="zh-CN"/>
        </w:rPr>
        <w:t>重点工作任务，深入一线对工作落实情况进行全面督查，全力保障了底线工作、和重点工作的顺利完成。配合区纪委监委开展纠“四风”、扬“五敢”、提“六气”作风建设年活动，推进</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轮</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次作风专项督查，有力保障</w:t>
      </w:r>
      <w:r>
        <w:rPr>
          <w:rFonts w:hint="eastAsia" w:ascii="仿宋_GB2312" w:hAnsi="仿宋_GB2312" w:eastAsia="仿宋_GB2312" w:cs="仿宋_GB2312"/>
          <w:sz w:val="32"/>
          <w:szCs w:val="32"/>
          <w:lang w:val="en-US" w:eastAsia="zh-CN"/>
        </w:rPr>
        <w:t>各项中心工作如期圆满完成。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在日常运转上服务保障有力。</w:t>
      </w:r>
      <w:r>
        <w:rPr>
          <w:rFonts w:hint="eastAsia" w:ascii="仿宋_GB2312" w:hAnsi="仿宋_GB2312" w:eastAsia="仿宋_GB2312" w:cs="仿宋_GB2312"/>
          <w:i w:val="0"/>
          <w:caps w:val="0"/>
          <w:color w:val="333333"/>
          <w:spacing w:val="0"/>
          <w:sz w:val="32"/>
          <w:szCs w:val="32"/>
          <w:lang w:eastAsia="zh-CN"/>
        </w:rPr>
        <w:t>积极总结日常运转常态化、周期性规律和特点，进一步提升工作科学化、规范化、精细化水平，使每个岗位都有标准、有流程、有责任、有监督，做到忙而不乱、有条不紊，</w:t>
      </w:r>
      <w:r>
        <w:rPr>
          <w:rFonts w:hint="eastAsia" w:ascii="仿宋_GB2312" w:hAnsi="仿宋_GB2312" w:eastAsia="仿宋_GB2312" w:cs="仿宋_GB2312"/>
          <w:sz w:val="32"/>
          <w:szCs w:val="40"/>
          <w:lang w:eastAsia="zh-CN"/>
        </w:rPr>
        <w:t>区委日常工作和机关秩序正常高效运转，获评</w:t>
      </w:r>
      <w:r>
        <w:rPr>
          <w:rFonts w:hint="eastAsia" w:ascii="仿宋_GB2312" w:hAnsi="仿宋_GB2312" w:eastAsia="仿宋_GB2312" w:cs="仿宋_GB2312"/>
          <w:b w:val="0"/>
          <w:bCs/>
          <w:sz w:val="32"/>
          <w:szCs w:val="32"/>
          <w:lang w:eastAsia="zh-CN"/>
        </w:rPr>
        <w:t>首批全国“节约型机关”。</w:t>
      </w:r>
      <w:r>
        <w:rPr>
          <w:rFonts w:hint="eastAsia" w:ascii="仿宋_GB2312" w:hAnsi="仿宋_GB2312" w:eastAsia="仿宋_GB2312" w:cs="仿宋_GB2312"/>
          <w:sz w:val="32"/>
          <w:szCs w:val="40"/>
          <w:lang w:val="en-US" w:eastAsia="zh-CN"/>
        </w:rPr>
        <w:t>全年共收文普通件、密件、电报等1199件，清退密件332份做到零差错，紧急信息报送零扣分，11月情报信息收集工作排全市第一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40"/>
          <w:lang w:val="en-US" w:eastAsia="zh-CN"/>
        </w:rPr>
        <w:t>全年</w:t>
      </w:r>
      <w:r>
        <w:rPr>
          <w:rFonts w:hint="eastAsia" w:ascii="仿宋_GB2312" w:hAnsi="仿宋_GB2312" w:eastAsia="仿宋_GB2312" w:cs="仿宋_GB2312"/>
          <w:sz w:val="32"/>
          <w:szCs w:val="32"/>
          <w:lang w:val="en-US" w:eastAsia="zh-CN"/>
        </w:rPr>
        <w:t>按要求向市委备案文件13份。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绩效评价并不能完全兼顾工作的方方面面，在各项指标的分析上也未能做到透彻，对各项资金使用的规范性和使用结果的有效性分析</w:t>
      </w:r>
      <w:r>
        <w:rPr>
          <w:rFonts w:hint="eastAsia" w:ascii="Times New Roman" w:hAnsi="Times New Roman" w:eastAsia="仿宋_GB2312" w:cs="Times New Roman"/>
          <w:color w:val="000000"/>
          <w:sz w:val="32"/>
          <w:szCs w:val="32"/>
          <w:highlight w:val="none"/>
          <w:lang w:val="en-US" w:eastAsia="zh-CN"/>
        </w:rPr>
        <w:t>有不足。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对预算绩效管理知识的学习存在局限性，预算绩效管理的合理性、科学性还需加强。</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pStyle w:val="7"/>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7"/>
        <w:ind w:firstLine="640"/>
        <w:rPr>
          <w:rFonts w:hint="eastAsia" w:ascii="Times New Roman" w:hAnsi="Times New Roman" w:eastAsia="仿宋_GB2312" w:cs="Times New Roman"/>
          <w:kern w:val="0"/>
          <w:sz w:val="32"/>
          <w:szCs w:val="32"/>
          <w:highlight w:val="none"/>
          <w:lang w:val="en-US" w:eastAsia="zh-CN" w:bidi="ar-SA"/>
        </w:rPr>
      </w:pPr>
      <w:r>
        <w:rPr>
          <w:rFonts w:hint="eastAsia"/>
          <w:lang w:val="en-US" w:eastAsia="zh-CN"/>
        </w:rPr>
        <w:t>2、</w:t>
      </w:r>
      <w:r>
        <w:rPr>
          <w:rFonts w:hint="default"/>
        </w:rP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5.42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5.42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303.35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151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151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w:t>
            </w:r>
            <w:r>
              <w:rPr>
                <w:rFonts w:hint="eastAsia" w:ascii="仿宋_GB2312" w:hAnsi="仿宋_GB2312" w:eastAsia="仿宋_GB2312" w:cs="仿宋_GB2312"/>
                <w:sz w:val="20"/>
                <w:szCs w:val="20"/>
                <w:highlight w:val="none"/>
                <w:lang w:val="en-US" w:eastAsia="zh-CN"/>
              </w:rPr>
              <w:t>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317.25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254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w:t>
            </w:r>
            <w:r>
              <w:rPr>
                <w:rFonts w:hint="eastAsia" w:ascii="仿宋_GB2312" w:hAnsi="仿宋_GB2312" w:eastAsia="仿宋_GB2312" w:cs="仿宋_GB2312"/>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254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w:t>
            </w:r>
            <w:r>
              <w:rPr>
                <w:rFonts w:hint="eastAsia" w:ascii="仿宋_GB2312" w:hAnsi="仿宋_GB2312" w:eastAsia="仿宋_GB2312" w:cs="仿宋_GB2312"/>
                <w:sz w:val="20"/>
                <w:szCs w:val="20"/>
                <w:highlight w:val="none"/>
                <w:lang w:val="en-US" w:eastAsia="zh-CN"/>
              </w:rPr>
              <w:t>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99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99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9</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861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861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1080"/>
        <w:gridCol w:w="1080"/>
        <w:gridCol w:w="1073"/>
        <w:gridCol w:w="1500"/>
        <w:gridCol w:w="1530"/>
        <w:gridCol w:w="1350"/>
        <w:gridCol w:w="660"/>
        <w:gridCol w:w="705"/>
        <w:gridCol w:w="1101"/>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中共岳阳市君山区委办公室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53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6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70"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1105.56</w:t>
            </w:r>
          </w:p>
        </w:tc>
        <w:tc>
          <w:tcPr>
            <w:tcW w:w="153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1013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w:t>
            </w:r>
            <w:r>
              <w:rPr>
                <w:rFonts w:hint="eastAsia" w:ascii="仿宋_GB2312" w:hAnsi="仿宋_GB2312" w:eastAsia="仿宋_GB2312" w:cs="仿宋_GB2312"/>
                <w:sz w:val="20"/>
                <w:szCs w:val="20"/>
                <w:highlight w:val="none"/>
                <w:lang w:val="en-US" w:eastAsia="zh-CN"/>
              </w:rPr>
              <w:t>9</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1013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w:t>
            </w:r>
            <w:r>
              <w:rPr>
                <w:rFonts w:hint="eastAsia" w:ascii="仿宋_GB2312" w:hAnsi="仿宋_GB2312" w:eastAsia="仿宋_GB2312" w:cs="仿宋_GB2312"/>
                <w:sz w:val="20"/>
                <w:szCs w:val="20"/>
                <w:highlight w:val="none"/>
                <w:lang w:val="en-US" w:eastAsia="zh-CN"/>
              </w:rPr>
              <w:t>9</w:t>
            </w:r>
          </w:p>
        </w:tc>
        <w:tc>
          <w:tcPr>
            <w:tcW w:w="66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1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1013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w:t>
            </w:r>
            <w:r>
              <w:rPr>
                <w:rFonts w:hint="eastAsia" w:ascii="仿宋_GB2312" w:hAnsi="仿宋_GB2312" w:eastAsia="仿宋_GB2312" w:cs="仿宋_GB2312"/>
                <w:sz w:val="20"/>
                <w:szCs w:val="20"/>
                <w:highlight w:val="none"/>
                <w:lang w:val="en-US" w:eastAsia="zh-CN"/>
              </w:rPr>
              <w:t>9</w:t>
            </w:r>
          </w:p>
        </w:tc>
        <w:tc>
          <w:tcPr>
            <w:tcW w:w="381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其中：基本支出：861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16"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项目支出：151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1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1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8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1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7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推行预算绩效管理，强化对资金使用情况的预算约束和监督，围绕部门职责，积极推动各项工作任务的落实见效，提高财政资金的作用效能，促进管理效能的大力提升。</w:t>
            </w:r>
          </w:p>
        </w:tc>
        <w:tc>
          <w:tcPr>
            <w:tcW w:w="3816"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积极推行预算绩效管理，强化对资金使用情况的预算约束和监督，围绕部门职责，在服务大局上参谋辅政，在牵头抓总上统筹协调，在推动落实上督促检查，在日常运转上服务保障，全力保障党委决策部署落地见效，提高财政资金使用绩效，促进管理效能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积极开展理论学习.培训</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起草文稿，报送信息</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800篇、条</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850篇、条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督促检查</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60次</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稿件合格率</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98%</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文稿采用率</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98%</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支出不超过预算批复金额</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1013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w:t>
            </w: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color w:val="000000"/>
                <w:sz w:val="20"/>
                <w:szCs w:val="20"/>
                <w:highlight w:val="none"/>
                <w:lang w:val="en-US" w:eastAsia="zh-CN"/>
              </w:rPr>
              <w:t>万元</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1013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w:t>
            </w: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color w:val="000000"/>
                <w:sz w:val="20"/>
                <w:szCs w:val="20"/>
                <w:highlight w:val="none"/>
                <w:lang w:val="en-US" w:eastAsia="zh-CN"/>
              </w:rPr>
              <w:t>万元</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服务经济社会发展</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服务经济社会发展</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服务生态环保提升</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服务社会可持续性发展</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53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cs="宋体"/>
                <w:color w:val="000000"/>
                <w:sz w:val="20"/>
                <w:szCs w:val="20"/>
                <w:highlight w:val="none"/>
                <w:lang w:val="en-US" w:eastAsia="zh-CN"/>
              </w:rPr>
              <w:t>98</w:t>
            </w:r>
            <w:r>
              <w:rPr>
                <w:rFonts w:hint="eastAsia" w:ascii="仿宋_GB2312" w:hAnsi="仿宋_GB2312" w:eastAsia="仿宋_GB2312" w:cs="仿宋_GB2312"/>
                <w:color w:val="000000"/>
                <w:sz w:val="20"/>
                <w:szCs w:val="20"/>
                <w:highlight w:val="none"/>
                <w:lang w:val="en-US" w:eastAsia="zh-CN"/>
              </w:rPr>
              <w:t>%</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0" w:hRule="atLeast"/>
          <w:jc w:val="center"/>
        </w:trPr>
        <w:tc>
          <w:tcPr>
            <w:tcW w:w="761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fixed"/>
        <w:tblCellMar>
          <w:top w:w="0" w:type="dxa"/>
          <w:left w:w="108" w:type="dxa"/>
          <w:bottom w:w="0" w:type="dxa"/>
          <w:right w:w="108" w:type="dxa"/>
        </w:tblCellMar>
      </w:tblPr>
      <w:tblGrid>
        <w:gridCol w:w="1058"/>
        <w:gridCol w:w="1065"/>
        <w:gridCol w:w="1053"/>
        <w:gridCol w:w="1428"/>
        <w:gridCol w:w="1080"/>
        <w:gridCol w:w="1120"/>
        <w:gridCol w:w="814"/>
        <w:gridCol w:w="861"/>
        <w:gridCol w:w="1372"/>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区委办专项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2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中共岳阳市君山区委办公室</w:t>
            </w:r>
          </w:p>
        </w:tc>
        <w:tc>
          <w:tcPr>
            <w:tcW w:w="112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中共岳阳市君山区委办公室</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373</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2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2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委办公室深入贯彻习近平新时代中国特色社会主义思想，贯彻落实习近平总书记关于新时代办公厅工作作出重要指示，认真学习贯彻全国、省、市党委和政府秘书长会议精神，在各镇（街道）和区级机关部门、驻区单位的大力配合下，紧紧围绕区委区政府决策部署，全面提高“三服务”工作能力水平。</w:t>
            </w:r>
            <w:r>
              <w:rPr>
                <w:rFonts w:hint="eastAsia" w:ascii="仿宋_GB2312" w:hAnsi="仿宋_GB2312" w:eastAsia="仿宋_GB2312" w:cs="仿宋_GB2312"/>
                <w:color w:val="000000"/>
                <w:sz w:val="20"/>
                <w:szCs w:val="20"/>
                <w:highlight w:val="none"/>
              </w:rPr>
              <w:t>　</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先后组织开展“守护好一江碧水净湖行动”“拥抱春天 值此青绿”“净滩净堤”“学习二十大 奋进新征程”“建功新时代 党员当先锋”等引导机关党员干部不忘红色历史、砥砺初心使命；文稿起草写出“精品”。全年组织起草把关各类文稿230余篇、约105万字。</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完成值</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得分</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数量指标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开展改革类工作专项督查</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召开区委全面深化改革各项会议</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6次</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0"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督查及时性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高质量完成率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5"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经费支出时效性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-12-31</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-12-31</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年初内预算</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发展高质量经济</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4"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提高为民服务水平</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有效增强</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有效增强</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节约水电</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有效减少</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有效减少</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进一步提升工作质量、优化党委办公环境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效果明显</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效果明显</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p>
    <w:sectPr>
      <w:pgSz w:w="11906" w:h="16838"/>
      <w:pgMar w:top="1270" w:right="1800" w:bottom="110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GRhMTY5M2FlM2JiYzViOWMwYjI3YWFkZWVmNTkifQ=="/>
  </w:docVars>
  <w:rsids>
    <w:rsidRoot w:val="59886344"/>
    <w:rsid w:val="005C088A"/>
    <w:rsid w:val="0061443A"/>
    <w:rsid w:val="00F57038"/>
    <w:rsid w:val="03585F5D"/>
    <w:rsid w:val="0368705F"/>
    <w:rsid w:val="03E40645"/>
    <w:rsid w:val="04155018"/>
    <w:rsid w:val="05F16DA0"/>
    <w:rsid w:val="067D155B"/>
    <w:rsid w:val="072A0D5E"/>
    <w:rsid w:val="08D531AA"/>
    <w:rsid w:val="0A0718F5"/>
    <w:rsid w:val="0A23066B"/>
    <w:rsid w:val="0B521208"/>
    <w:rsid w:val="0BD0037E"/>
    <w:rsid w:val="0BD07CC1"/>
    <w:rsid w:val="0F29227F"/>
    <w:rsid w:val="0FC41FA8"/>
    <w:rsid w:val="101F6442"/>
    <w:rsid w:val="104073FF"/>
    <w:rsid w:val="12D32267"/>
    <w:rsid w:val="13D670D0"/>
    <w:rsid w:val="13DA2702"/>
    <w:rsid w:val="1405311A"/>
    <w:rsid w:val="16F15A69"/>
    <w:rsid w:val="172B2124"/>
    <w:rsid w:val="172D2B29"/>
    <w:rsid w:val="17AD2D85"/>
    <w:rsid w:val="17DC7904"/>
    <w:rsid w:val="18096877"/>
    <w:rsid w:val="18A72D74"/>
    <w:rsid w:val="192E77AB"/>
    <w:rsid w:val="198A7D37"/>
    <w:rsid w:val="1CA92FCC"/>
    <w:rsid w:val="1DD737EE"/>
    <w:rsid w:val="1E284F2F"/>
    <w:rsid w:val="1ECA401E"/>
    <w:rsid w:val="1F417171"/>
    <w:rsid w:val="1F9C4CF0"/>
    <w:rsid w:val="1F9F20EA"/>
    <w:rsid w:val="1FE411A4"/>
    <w:rsid w:val="20717F2A"/>
    <w:rsid w:val="20F87A39"/>
    <w:rsid w:val="216B6728"/>
    <w:rsid w:val="24BE2C1C"/>
    <w:rsid w:val="27CB7F20"/>
    <w:rsid w:val="292C7FA1"/>
    <w:rsid w:val="2A100353"/>
    <w:rsid w:val="2A450AA9"/>
    <w:rsid w:val="2A8D3BB3"/>
    <w:rsid w:val="2B0F3E96"/>
    <w:rsid w:val="2BAA0E41"/>
    <w:rsid w:val="2D410C84"/>
    <w:rsid w:val="2D4657EE"/>
    <w:rsid w:val="2F0E4B96"/>
    <w:rsid w:val="2F2045CC"/>
    <w:rsid w:val="320B53DF"/>
    <w:rsid w:val="321D3FE2"/>
    <w:rsid w:val="32C548F8"/>
    <w:rsid w:val="35CF5E74"/>
    <w:rsid w:val="38C118F0"/>
    <w:rsid w:val="3B23785C"/>
    <w:rsid w:val="3C156456"/>
    <w:rsid w:val="3C2C64D2"/>
    <w:rsid w:val="3CB537CF"/>
    <w:rsid w:val="3CF73497"/>
    <w:rsid w:val="3D070645"/>
    <w:rsid w:val="3F696B11"/>
    <w:rsid w:val="40F273ED"/>
    <w:rsid w:val="41B63929"/>
    <w:rsid w:val="41F76A00"/>
    <w:rsid w:val="42182D4E"/>
    <w:rsid w:val="427C2F78"/>
    <w:rsid w:val="42907FB1"/>
    <w:rsid w:val="43B151C2"/>
    <w:rsid w:val="440B0BF3"/>
    <w:rsid w:val="44182F4F"/>
    <w:rsid w:val="44401EAB"/>
    <w:rsid w:val="4441183E"/>
    <w:rsid w:val="445265DF"/>
    <w:rsid w:val="44930287"/>
    <w:rsid w:val="458D5615"/>
    <w:rsid w:val="47F62B74"/>
    <w:rsid w:val="4829354E"/>
    <w:rsid w:val="48770C66"/>
    <w:rsid w:val="497F0684"/>
    <w:rsid w:val="49A50F0B"/>
    <w:rsid w:val="49C65963"/>
    <w:rsid w:val="49FF2520"/>
    <w:rsid w:val="4A747320"/>
    <w:rsid w:val="4B9C166F"/>
    <w:rsid w:val="4C404189"/>
    <w:rsid w:val="4EC87298"/>
    <w:rsid w:val="503F0BFC"/>
    <w:rsid w:val="540612DD"/>
    <w:rsid w:val="54326440"/>
    <w:rsid w:val="54622945"/>
    <w:rsid w:val="55215252"/>
    <w:rsid w:val="55241353"/>
    <w:rsid w:val="56EE3E47"/>
    <w:rsid w:val="570F7BE9"/>
    <w:rsid w:val="577354C1"/>
    <w:rsid w:val="57EA583A"/>
    <w:rsid w:val="57F152A0"/>
    <w:rsid w:val="58393127"/>
    <w:rsid w:val="59886344"/>
    <w:rsid w:val="59BB0154"/>
    <w:rsid w:val="5A375EA4"/>
    <w:rsid w:val="5AF440A0"/>
    <w:rsid w:val="5B0A331F"/>
    <w:rsid w:val="5B192C82"/>
    <w:rsid w:val="5B411CCC"/>
    <w:rsid w:val="5B950730"/>
    <w:rsid w:val="5C1263A3"/>
    <w:rsid w:val="5E8C14B0"/>
    <w:rsid w:val="5EE144F9"/>
    <w:rsid w:val="607D37A6"/>
    <w:rsid w:val="61045C75"/>
    <w:rsid w:val="619E0691"/>
    <w:rsid w:val="62D378CB"/>
    <w:rsid w:val="63202106"/>
    <w:rsid w:val="63C60FC0"/>
    <w:rsid w:val="6410048D"/>
    <w:rsid w:val="64CF6C8F"/>
    <w:rsid w:val="674F6FAE"/>
    <w:rsid w:val="68DD5D2B"/>
    <w:rsid w:val="6A7B3442"/>
    <w:rsid w:val="6B99345E"/>
    <w:rsid w:val="6C303DC2"/>
    <w:rsid w:val="6CA97D11"/>
    <w:rsid w:val="6D800432"/>
    <w:rsid w:val="6E705326"/>
    <w:rsid w:val="6EBC4974"/>
    <w:rsid w:val="6EC01A4C"/>
    <w:rsid w:val="6F0D3B6F"/>
    <w:rsid w:val="6F41220A"/>
    <w:rsid w:val="70F133F4"/>
    <w:rsid w:val="71973F9C"/>
    <w:rsid w:val="73102258"/>
    <w:rsid w:val="73BF6C6B"/>
    <w:rsid w:val="74EC4E86"/>
    <w:rsid w:val="758D6016"/>
    <w:rsid w:val="767D7DFF"/>
    <w:rsid w:val="768770CB"/>
    <w:rsid w:val="77141D7E"/>
    <w:rsid w:val="7728263E"/>
    <w:rsid w:val="77E67A2B"/>
    <w:rsid w:val="79607369"/>
    <w:rsid w:val="798C015E"/>
    <w:rsid w:val="7A5614FA"/>
    <w:rsid w:val="7C7D6B26"/>
    <w:rsid w:val="7C9150AE"/>
    <w:rsid w:val="7F2A13E6"/>
    <w:rsid w:val="7F34348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Text"/>
    <w:basedOn w:val="1"/>
    <w:next w:val="8"/>
    <w:qFormat/>
    <w:uiPriority w:val="0"/>
    <w:pPr>
      <w:textAlignment w:val="baseline"/>
    </w:pPr>
    <w:rPr>
      <w:rFonts w:ascii="仿宋_GB2312" w:hAnsi="仿宋_GB2312" w:eastAsia="仿宋_GB2312"/>
      <w:sz w:val="32"/>
      <w:szCs w:val="32"/>
      <w:lang w:val="zh-CN" w:bidi="zh-CN"/>
    </w:rPr>
  </w:style>
  <w:style w:type="paragraph" w:customStyle="1" w:styleId="8">
    <w:name w:val="BodyText1I"/>
    <w:basedOn w:val="7"/>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5466</Words>
  <Characters>5876</Characters>
  <Lines>0</Lines>
  <Paragraphs>0</Paragraphs>
  <TotalTime>2</TotalTime>
  <ScaleCrop>false</ScaleCrop>
  <LinksUpToDate>false</LinksUpToDate>
  <CharactersWithSpaces>6317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2024-06-30T15:17:34Z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12C804FB5DC74582993175EDEB038DA2_13</vt:lpwstr>
  </property>
</Properties>
</file>