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岳阳市君山区水利局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19</w:t>
      </w:r>
      <w:r>
        <w:rPr>
          <w:rFonts w:hint="default" w:ascii="Times New Roman" w:hAnsi="Times New Roman" w:eastAsia="楷体_GB2312" w:cs="Times New Roman"/>
          <w:sz w:val="32"/>
          <w:szCs w:val="32"/>
          <w:highlight w:val="none"/>
        </w:rPr>
        <w:t xml:space="preserve"> 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岳阳市君山区水利局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1、负责保障全区水资源合理开发和利用。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2、负责生活、生产经营和生态环境用水的统筹兼顾和保障。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按规定制定水利工程建设和运行管理有关制度并组织实施，负责提出水利固定资产投资规模、方向、具体安排建议并组织指导实施，按区人民政府规定权限审批、核准规划内和年度计划规模内固定资产投资项目，提出水利资金安排建议并负责项目实施的监督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4、指导水资源的保护工作。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5、负责节约用水工作。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6、按规定组织开展水资源调查评价和水资源承载能力监测预警工作。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组织指导水利工程设施、水域、滩涂及其岸线的管理、保护与综合利用；组织指导江河、湖泊、水库及河口的安全监管；负责长江岸线和河势控制工程运行管理；负责河道、堤防、湖州滩涂管理工作；指导河湖水生态保护与修复、河湖生态流量水量管理及河湖水系连通工作；承担河（湖）长制组织实施具体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8、组织指导水利工程建设与运行管理。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9、负责水土保持工作。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10、指导全区农村水利工作。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11、负责全区水利固定资产监管工作，对水利资金的使用进行监督；负责水利经济和生态水利建设与管理工作。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负责落实综合防灾减灾规划相关要求，指导编制洪水干旱灾害防治回话和防护标准并指导实施；组织编制洪水干旱灾害防治规划和防护标准并指导实施；组织编制重要江河湖泊和重要水工程的防御洪水抗御旱灾调度及应急水量调度方案，按程序报批并组织实施；承担防御洪水应急抢险的技术支撑工作；承担台风防御期间重要水工程调度工作。</w:t>
      </w:r>
    </w:p>
    <w:p>
      <w:pPr>
        <w:spacing w:line="600" w:lineRule="exact"/>
        <w:ind w:firstLine="660"/>
        <w:rPr>
          <w:rFonts w:ascii="仿宋_GB2312" w:eastAsia="仿宋_GB2312"/>
          <w:sz w:val="32"/>
          <w:szCs w:val="32"/>
        </w:rPr>
      </w:pPr>
      <w:r>
        <w:rPr>
          <w:rFonts w:hint="eastAsia" w:ascii="仿宋_GB2312" w:eastAsia="仿宋_GB2312"/>
          <w:sz w:val="32"/>
          <w:szCs w:val="32"/>
        </w:rPr>
        <w:t>13、负责全区水利系统的科技教育和对外合作工作及水利统计信息工作；负责机关和所属单位的党群、人事劳资、机构编制、计划生育等工作；负责全区水利行业队伍建设。</w:t>
      </w:r>
    </w:p>
    <w:p>
      <w:pPr>
        <w:spacing w:line="600" w:lineRule="exact"/>
        <w:ind w:firstLine="660"/>
        <w:rPr>
          <w:rFonts w:ascii="仿宋_GB2312" w:eastAsia="仿宋_GB2312"/>
          <w:sz w:val="32"/>
          <w:szCs w:val="32"/>
        </w:rPr>
      </w:pPr>
      <w:r>
        <w:rPr>
          <w:rFonts w:hint="eastAsia" w:ascii="仿宋_GB2312" w:eastAsia="仿宋_GB2312"/>
          <w:sz w:val="32"/>
          <w:szCs w:val="32"/>
        </w:rPr>
        <w:t>14、负责水库移民管理工作。</w:t>
      </w:r>
    </w:p>
    <w:p>
      <w:pPr>
        <w:spacing w:line="600" w:lineRule="exact"/>
        <w:ind w:firstLine="660"/>
        <w:rPr>
          <w:rFonts w:ascii="仿宋_GB2312" w:eastAsia="仿宋_GB2312"/>
          <w:sz w:val="32"/>
          <w:szCs w:val="32"/>
        </w:rPr>
      </w:pPr>
      <w:r>
        <w:rPr>
          <w:rFonts w:hint="eastAsia" w:ascii="仿宋_GB2312" w:eastAsia="仿宋_GB2312"/>
          <w:sz w:val="32"/>
          <w:szCs w:val="32"/>
        </w:rPr>
        <w:t>15、完成区委、区政府交办的其他任务。</w:t>
      </w:r>
    </w:p>
    <w:p>
      <w:pPr>
        <w:spacing w:line="600" w:lineRule="exact"/>
        <w:ind w:firstLine="660"/>
        <w:rPr>
          <w:color w:val="000000"/>
          <w:sz w:val="32"/>
        </w:rPr>
      </w:pPr>
      <w:r>
        <w:rPr>
          <w:rFonts w:hint="eastAsia" w:ascii="仿宋_GB2312" w:eastAsia="仿宋_GB2312"/>
          <w:sz w:val="32"/>
          <w:szCs w:val="32"/>
        </w:rPr>
        <w:t>16、职能转变。</w:t>
      </w:r>
    </w:p>
    <w:p>
      <w:pPr>
        <w:widowControl/>
        <w:spacing w:line="600" w:lineRule="exact"/>
        <w:ind w:firstLine="627" w:firstLineChars="196"/>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1" locked="0" layoutInCell="1" allowOverlap="1">
            <wp:simplePos x="0" y="0"/>
            <wp:positionH relativeFrom="page">
              <wp:posOffset>-7937500</wp:posOffset>
            </wp:positionH>
            <wp:positionV relativeFrom="page">
              <wp:posOffset>482600</wp:posOffset>
            </wp:positionV>
            <wp:extent cx="7581900" cy="1070610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7581900" cy="10706100"/>
                    </a:xfrm>
                    <a:prstGeom prst="rect">
                      <a:avLst/>
                    </a:prstGeom>
                    <a:noFill/>
                    <a:ln>
                      <a:noFill/>
                    </a:ln>
                  </pic:spPr>
                </pic:pic>
              </a:graphicData>
            </a:graphic>
          </wp:anchor>
        </w:drawing>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1、办公室（政策法规股）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2、规划计划与设计股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3、机电排灌股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4、水库移民股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5、河湖堤防管理和工程股（加挂区河长制工作办公室牌子）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6、财务股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7、党建办（政工人事股）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8、水资源管理和水土保持股（行政审批股）</w:t>
      </w:r>
    </w:p>
    <w:p>
      <w:pPr>
        <w:widowControl/>
        <w:spacing w:line="570" w:lineRule="atLeast"/>
        <w:ind w:firstLine="640" w:firstLineChars="200"/>
        <w:rPr>
          <w:rFonts w:hint="eastAsia" w:eastAsia="仿宋_GB2312"/>
          <w:sz w:val="32"/>
          <w:szCs w:val="32"/>
        </w:rPr>
      </w:pP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2023年本单位部门预算资金16574.69万元（基本支出1298.21万元，项目支出15276.48万元），全年实际支出16574.69万元，其中基本支出1298.21万元，项目支出15276.48万元，预算执行率100%。　　　　　　</w:t>
      </w:r>
    </w:p>
    <w:p>
      <w:pPr>
        <w:pStyle w:val="1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16574.69万元（工资福利支出452.86万元、商品和服务支出15701.58万元、对个人和家庭的补助214.75万元、资本性支出205.51万元、），其中一般公共预算财政拨款14621.28万元。本单位2023年度基本支出1298.21万元，其中人员经费613.03万元，公用经费685.18万元。</w:t>
      </w:r>
    </w:p>
    <w:p>
      <w:pPr>
        <w:pStyle w:val="1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1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本单位项目支出15276.48万元，主要用于水事调度，应急水量调度；雨情、水清、旱情、工情、汛情科学检测预警。水旱灾害防御器材管理等方面等方面；水事调度，应急水量调度；雨情、水清、旱情、工情、汛情科学检测预警。水旱灾害防御器材管理等方面等方面；支出较上年减少20万元，下降2.03%。主要原因是党政机关带头过紧日子，勤俭办一切事业，建立节约型财政保障机制，不新增预算，严格控制机关事业单位的一般性支出。</w:t>
      </w:r>
    </w:p>
    <w:p>
      <w:pPr>
        <w:pStyle w:val="14"/>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14"/>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14"/>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4"/>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14"/>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4"/>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tabs>
          <w:tab w:val="left" w:pos="4500"/>
        </w:tabs>
        <w:spacing w:line="600" w:lineRule="exact"/>
        <w:ind w:firstLine="602" w:firstLineChars="200"/>
        <w:rPr>
          <w:rFonts w:hint="eastAsia" w:ascii="仿宋_GB2312" w:eastAsia="仿宋_GB2312"/>
          <w:sz w:val="32"/>
          <w:szCs w:val="32"/>
        </w:rPr>
      </w:pPr>
      <w:r>
        <w:rPr>
          <w:rFonts w:hint="eastAsia"/>
          <w:b/>
          <w:bCs/>
          <w:sz w:val="30"/>
          <w:szCs w:val="30"/>
          <w:lang w:val="en-US" w:eastAsia="zh-CN"/>
        </w:rPr>
        <w:t>目标1：</w:t>
      </w:r>
      <w:r>
        <w:rPr>
          <w:rFonts w:hint="eastAsia" w:ascii="楷体_GB2312" w:hAnsi="仿宋" w:eastAsia="楷体_GB2312" w:cs="仿宋"/>
          <w:b/>
          <w:sz w:val="32"/>
          <w:szCs w:val="32"/>
        </w:rPr>
        <w:t>水旱灾害防御获得全面胜利</w:t>
      </w:r>
    </w:p>
    <w:p>
      <w:pPr>
        <w:tabs>
          <w:tab w:val="left" w:pos="4500"/>
        </w:tabs>
        <w:spacing w:line="600" w:lineRule="exact"/>
        <w:ind w:firstLine="602" w:firstLineChars="200"/>
        <w:rPr>
          <w:rFonts w:ascii="仿宋_GB2312" w:hAnsi="仿宋_GB2312" w:eastAsia="仿宋_GB2312" w:cs="仿宋_GB2312"/>
          <w:sz w:val="32"/>
          <w:szCs w:val="32"/>
        </w:rPr>
      </w:pPr>
      <w:r>
        <w:rPr>
          <w:rFonts w:hint="eastAsia"/>
          <w:b/>
          <w:bCs/>
          <w:sz w:val="30"/>
          <w:szCs w:val="30"/>
          <w:lang w:val="en-US" w:eastAsia="zh-CN"/>
        </w:rPr>
        <w:t>完成情况：</w:t>
      </w:r>
      <w:r>
        <w:rPr>
          <w:rFonts w:hint="eastAsia" w:ascii="仿宋_GB2312" w:hAnsi="仿宋_GB2312" w:eastAsia="仿宋_GB2312" w:cs="仿宋_GB2312"/>
          <w:sz w:val="32"/>
          <w:szCs w:val="32"/>
        </w:rPr>
        <w:t>针对2022年以来的连续干旱，全力抗御今年春夏秋连旱。年初协调长江补水一期工程、君山垸补水工程从长江补水2700万方，在华容河罐头尖临时架设移动水泵应急补水60万方，确保全区春耕保种安全。在7、8月高温干旱期间，启用泵站43处、抗旱设备</w:t>
      </w:r>
      <w:r>
        <w:rPr>
          <w:rFonts w:hint="eastAsia" w:ascii="仿宋_GB2312" w:hAnsi="仿宋_GB2312" w:cs="仿宋_GB2312"/>
          <w:sz w:val="32"/>
          <w:szCs w:val="32"/>
        </w:rPr>
        <w:t>7</w:t>
      </w:r>
      <w:r>
        <w:rPr>
          <w:rFonts w:hint="eastAsia" w:ascii="仿宋_GB2312" w:hAnsi="仿宋_GB2312" w:eastAsia="仿宋_GB2312" w:cs="仿宋_GB2312"/>
          <w:sz w:val="32"/>
          <w:szCs w:val="32"/>
        </w:rPr>
        <w:t>79台套，分别在洞庭湖、藕池河架设移动水泵、筑坝拦蓄水源，日均向钱南垸补水7.2万方；在许市镇铺设压力输水管道，确保1300亩农田灌溉用水需求。调度电排机组开机110台次1025小时，排渍648万方，确保全区没有出现涝渍灾害。</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ascii="仿宋_GB2312" w:hAnsi="仿宋_GB2312" w:eastAsia="仿宋_GB2312" w:cs="仿宋_GB2312"/>
          <w:b w:val="0"/>
          <w:bCs w:val="0"/>
          <w:sz w:val="32"/>
          <w:szCs w:val="32"/>
          <w:lang w:val="en-US" w:eastAsia="zh-CN"/>
        </w:rPr>
      </w:pPr>
      <w:r>
        <w:rPr>
          <w:rFonts w:hint="eastAsia"/>
          <w:b/>
          <w:bCs/>
          <w:sz w:val="30"/>
          <w:szCs w:val="30"/>
          <w:lang w:val="en-US" w:eastAsia="zh-CN"/>
        </w:rPr>
        <w:t>目标2：</w:t>
      </w:r>
      <w:r>
        <w:rPr>
          <w:rFonts w:hint="eastAsia" w:ascii="楷体_GB2312" w:hAnsi="仿宋_GB2312" w:eastAsia="楷体_GB2312"/>
          <w:b/>
          <w:sz w:val="32"/>
          <w:szCs w:val="32"/>
        </w:rPr>
        <w:t>全面完成了年度水利项目建设任务。</w:t>
      </w:r>
    </w:p>
    <w:p>
      <w:pPr>
        <w:autoSpaceDE w:val="0"/>
        <w:spacing w:line="600" w:lineRule="exact"/>
        <w:ind w:firstLine="602" w:firstLineChars="200"/>
        <w:rPr>
          <w:rFonts w:hint="eastAsia" w:ascii="仿宋_GB2312" w:hAnsi="仿宋_GB2312" w:eastAsia="仿宋_GB2312" w:cs="仿宋_GB2312"/>
          <w:color w:val="000000"/>
          <w:sz w:val="32"/>
          <w:szCs w:val="32"/>
        </w:rPr>
      </w:pPr>
      <w:r>
        <w:rPr>
          <w:rFonts w:hint="eastAsia"/>
          <w:b/>
          <w:bCs/>
          <w:sz w:val="30"/>
          <w:szCs w:val="30"/>
          <w:lang w:val="en-US" w:eastAsia="zh-CN"/>
        </w:rPr>
        <w:t>完成情况：</w:t>
      </w:r>
      <w:r>
        <w:rPr>
          <w:rFonts w:hint="eastAsia" w:ascii="仿宋_GB2312" w:hAnsi="仿宋_GB2312" w:eastAsia="仿宋_GB2312" w:cs="仿宋_GB2312"/>
          <w:sz w:val="32"/>
          <w:szCs w:val="32"/>
        </w:rPr>
        <w:t>全面完成了分洪闸工程、</w:t>
      </w:r>
      <w:r>
        <w:rPr>
          <w:rFonts w:hint="eastAsia" w:ascii="仿宋_GB2312" w:hAnsi="仿宋_GB2312" w:eastAsia="仿宋_GB2312" w:cs="仿宋_GB2312"/>
          <w:color w:val="000000"/>
          <w:sz w:val="32"/>
          <w:szCs w:val="32"/>
        </w:rPr>
        <w:t>君山区十四五排涝能力建设一期工程、君山区水库除险加固工程、君山垸补水工程、</w:t>
      </w:r>
      <w:r>
        <w:rPr>
          <w:rFonts w:hint="eastAsia" w:ascii="仿宋_GB2312" w:hAnsi="仿宋_GB2312" w:eastAsia="仿宋_GB2312" w:cs="仿宋_GB2312"/>
          <w:sz w:val="32"/>
          <w:szCs w:val="32"/>
        </w:rPr>
        <w:t>农村水源工程、</w:t>
      </w:r>
      <w:r>
        <w:rPr>
          <w:rFonts w:hint="eastAsia" w:ascii="仿宋_GB2312" w:hAnsi="仿宋_GB2312" w:eastAsia="仿宋_GB2312" w:cs="仿宋_GB2312"/>
          <w:color w:val="000000"/>
          <w:sz w:val="32"/>
          <w:szCs w:val="32"/>
        </w:rPr>
        <w:t>君山区集中供水工程和良心堡、方台湖安全区建设年度任务，共完成泵站更新改造15个、渠道护砌6800m、铺设配水管网25.7km，特别是全面完成了君山垸补水工程，改建了长沟子取水泵船和水闸6处，衬砌加固渠道3.58km，新建输水管道6.4km，有效地解决了君山垸居民生活用水、农业灌溉用水和生态补水问题。</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jc w:val="both"/>
        <w:textAlignment w:val="auto"/>
        <w:rPr>
          <w:rFonts w:hint="eastAsia" w:ascii="仿宋_GB2312" w:hAnsi="仿宋_GB2312" w:eastAsia="楷体_GB2312" w:cs="仿宋_GB2312"/>
          <w:b w:val="0"/>
          <w:bCs w:val="0"/>
          <w:sz w:val="32"/>
          <w:szCs w:val="32"/>
          <w:lang w:val="en-US" w:eastAsia="zh-CN"/>
        </w:rPr>
      </w:pPr>
      <w:r>
        <w:rPr>
          <w:rFonts w:hint="eastAsia"/>
          <w:b/>
          <w:bCs/>
          <w:sz w:val="30"/>
          <w:szCs w:val="30"/>
          <w:lang w:val="en-US" w:eastAsia="zh-CN"/>
        </w:rPr>
        <w:t>目标3：</w:t>
      </w:r>
      <w:r>
        <w:rPr>
          <w:rFonts w:hint="eastAsia" w:ascii="楷体_GB2312" w:hAnsi="仿宋" w:eastAsia="楷体_GB2312" w:cs="仿宋"/>
          <w:b/>
          <w:sz w:val="32"/>
          <w:szCs w:val="32"/>
        </w:rPr>
        <w:t>争资争项成绩斐然</w:t>
      </w:r>
      <w:r>
        <w:rPr>
          <w:rFonts w:hint="eastAsia" w:ascii="楷体_GB2312" w:eastAsia="楷体_GB2312" w:cs="仿宋"/>
          <w:b/>
          <w:sz w:val="32"/>
          <w:szCs w:val="32"/>
          <w:lang w:eastAsia="zh-CN"/>
        </w:rPr>
        <w:t>、</w:t>
      </w:r>
      <w:r>
        <w:rPr>
          <w:rFonts w:hint="eastAsia" w:ascii="楷体_GB2312" w:hAnsi="仿宋" w:eastAsia="楷体_GB2312" w:cs="仿宋"/>
          <w:b/>
          <w:sz w:val="32"/>
          <w:szCs w:val="32"/>
        </w:rPr>
        <w:t>河湖长制工作成效明显</w:t>
      </w:r>
    </w:p>
    <w:p>
      <w:pPr>
        <w:pStyle w:val="8"/>
        <w:widowControl/>
        <w:shd w:val="clear" w:color="auto" w:fill="FFFFFF"/>
        <w:spacing w:before="0" w:beforeAutospacing="0" w:after="0" w:afterAutospacing="0" w:line="600" w:lineRule="exact"/>
        <w:ind w:left="0" w:right="0" w:firstLine="602" w:firstLineChars="200"/>
        <w:rPr>
          <w:rFonts w:ascii="仿宋_GB2312" w:hAnsi="仿宋_GB2312" w:eastAsia="仿宋_GB2312" w:cs="仿宋_GB2312"/>
          <w:sz w:val="32"/>
          <w:szCs w:val="32"/>
          <w:lang w:bidi="ar-SA"/>
        </w:rPr>
      </w:pPr>
      <w:r>
        <w:rPr>
          <w:rFonts w:hint="eastAsia"/>
          <w:b/>
          <w:bCs/>
          <w:sz w:val="30"/>
          <w:szCs w:val="30"/>
          <w:lang w:val="en-US" w:eastAsia="zh-CN"/>
        </w:rPr>
        <w:t>完成情况：</w:t>
      </w:r>
      <w:r>
        <w:rPr>
          <w:rFonts w:hint="eastAsia" w:ascii="仿宋_GB2312" w:hAnsi="仿宋_GB2312" w:eastAsia="仿宋_GB2312" w:cs="仿宋_GB2312"/>
          <w:sz w:val="32"/>
          <w:szCs w:val="32"/>
        </w:rPr>
        <w:t>积极对接争取了</w:t>
      </w:r>
      <w:r>
        <w:rPr>
          <w:rFonts w:hint="eastAsia" w:ascii="仿宋" w:hAnsi="仿宋" w:eastAsia="仿宋" w:cs="仿宋"/>
          <w:kern w:val="0"/>
          <w:sz w:val="32"/>
          <w:szCs w:val="32"/>
        </w:rPr>
        <w:t>7个水利项目（非省厅打捆项目5个）纳入2024年新增国债项目清单，其中在建项目2个，新建项目5个，安排国债资金3.5802亿元，资金规模位于全市前列。</w:t>
      </w:r>
      <w:r>
        <w:rPr>
          <w:rFonts w:hint="eastAsia" w:ascii="仿宋_GB2312" w:hAnsi="仿宋_GB2312" w:eastAsia="仿宋_GB2312" w:cs="仿宋_GB2312"/>
          <w:sz w:val="32"/>
          <w:szCs w:val="32"/>
          <w:lang w:bidi="ar-SA"/>
        </w:rPr>
        <w:t>狠抓河湖长制“四加”工作，打造“五化”特色亮点，全力攻克“洞庭清波”、图斑问题核查、“清河净滩”“清四乱”等重点难点问题，</w:t>
      </w:r>
      <w:r>
        <w:rPr>
          <w:rFonts w:hint="eastAsia" w:ascii="仿宋_GB2312" w:hAnsi="仿宋" w:eastAsia="仿宋_GB2312" w:cs="Times New Roman"/>
          <w:sz w:val="32"/>
          <w:szCs w:val="32"/>
          <w:lang w:bidi="ar-SA"/>
        </w:rPr>
        <w:t>核查整改了省河长办交办的192个图斑问题，全面完成了君山区七弓岭三角坪房屋、采桑湖矮围、君山垸五二渠停车坪、长江、华洪运河板房、华容河乱堆砂石场、涵管堆场拆除、长江外滩欧美黑杨清退</w:t>
      </w:r>
      <w:r>
        <w:rPr>
          <w:rFonts w:hint="eastAsia" w:ascii="仿宋_GB2312" w:hAnsi="仿宋_GB2312" w:eastAsia="仿宋_GB2312" w:cs="仿宋_GB2312"/>
          <w:sz w:val="32"/>
          <w:szCs w:val="32"/>
          <w:lang w:bidi="ar-SA"/>
        </w:rPr>
        <w:t>等任务，清理水葫芦、树枝、杂草2万余吨。打造河长制主题公园4个、湿地修复碳和公园1个、小微水体整治“口袋公园”4个。</w:t>
      </w:r>
      <w:r>
        <w:rPr>
          <w:rFonts w:hint="eastAsia" w:ascii="仿宋" w:hAnsi="仿宋" w:eastAsia="仿宋" w:cs="Times New Roman"/>
          <w:color w:val="000000"/>
          <w:sz w:val="32"/>
          <w:szCs w:val="32"/>
          <w:lang w:bidi="ar-SA"/>
        </w:rPr>
        <w:t>特别是</w:t>
      </w:r>
      <w:r>
        <w:rPr>
          <w:rFonts w:hint="eastAsia" w:ascii="仿宋_GB2312" w:hAnsi="仿宋_GB2312" w:eastAsia="仿宋_GB2312" w:cs="仿宋_GB2312"/>
          <w:color w:val="000000"/>
          <w:sz w:val="32"/>
          <w:szCs w:val="32"/>
          <w:lang w:bidi="ar-SA"/>
        </w:rPr>
        <w:t>整治面积最大、任务最重、影响力最大的三角坪遗留建筑物，得到了省河长办督查组的充分肯定，形成了良好的示范带动效应。</w:t>
      </w:r>
      <w:r>
        <w:rPr>
          <w:rFonts w:hint="eastAsia" w:ascii="仿宋_GB2312" w:hAnsi="仿宋_GB2312" w:eastAsia="仿宋_GB2312" w:cs="仿宋_GB2312"/>
          <w:sz w:val="32"/>
          <w:szCs w:val="32"/>
          <w:lang w:bidi="ar-SA"/>
        </w:rPr>
        <w:t>成功举办了全市河湖长制工作现场会，迎接了中央五大媒体调研，充分展现了君山守护好一江碧水五周年河湖长制工作成果。</w:t>
      </w:r>
    </w:p>
    <w:p>
      <w:pPr>
        <w:pStyle w:val="2"/>
        <w:ind w:firstLine="643"/>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jc w:val="both"/>
        <w:textAlignment w:val="auto"/>
        <w:rPr>
          <w:rFonts w:hint="eastAsia" w:ascii="楷体_GB2312" w:hAnsi="楷体_GB2312" w:eastAsia="楷体_GB2312" w:cs="楷体_GB2312"/>
          <w:b/>
          <w:bCs/>
          <w:color w:val="262626" w:themeColor="text1" w:themeTint="D9"/>
          <w:sz w:val="32"/>
          <w:szCs w:val="32"/>
          <w:lang w:eastAsia="zh-CN"/>
          <w14:textFill>
            <w14:solidFill>
              <w14:schemeClr w14:val="tx1">
                <w14:lumMod w14:val="85000"/>
                <w14:lumOff w14:val="15000"/>
              </w14:schemeClr>
            </w14:solidFill>
          </w14:textFill>
        </w:rPr>
      </w:pPr>
    </w:p>
    <w:p>
      <w:pPr>
        <w:ind w:firstLine="600" w:firstLineChars="200"/>
        <w:rPr>
          <w:sz w:val="30"/>
          <w:szCs w:val="30"/>
        </w:rPr>
      </w:pP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本单位资产设有专门人员将单位所有资产全部录入固定资产信息系统,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保障单位正常运转的同时，合理配备并有效使用资产，充分发挥了国有资产的使用效益和社会效益。</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1、完善相关管理制度，强化行政管理职能，确保制度贯彻落实；</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2、加强资产管理，提高固定资产使用效率；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3、加强预算管理，定期做好预算执行情况分析。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w:t>
      </w:r>
      <w:bookmarkStart w:id="0" w:name="_GoBack"/>
      <w:bookmarkEnd w:id="0"/>
      <w:r>
        <w:rPr>
          <w:rFonts w:hint="eastAsia" w:ascii="Times New Roman" w:hAnsi="Times New Roman" w:eastAsia="仿宋_GB2312" w:cs="Times New Roman"/>
          <w:sz w:val="32"/>
          <w:szCs w:val="32"/>
          <w:lang w:val="en-US" w:eastAsia="zh-CN"/>
        </w:rPr>
        <w:t>实际情况和预期可达成的目标，设置更科学合理的指标。严格按规定内容、时限在君山区政务中心门户网站公开，接受社会监督。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9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89.29%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5.65</w:t>
            </w:r>
          </w:p>
        </w:tc>
      </w:tr>
      <w:tr>
        <w:tblPrEx>
          <w:tblCellMar>
            <w:top w:w="0" w:type="dxa"/>
            <w:left w:w="108" w:type="dxa"/>
            <w:bottom w:w="0" w:type="dxa"/>
            <w:right w:w="108" w:type="dxa"/>
          </w:tblCellMar>
        </w:tblPrEx>
        <w:trPr>
          <w:trHeight w:val="3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29965.91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15276.48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15276.48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14374.31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13722.18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13722.18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3、防汛抗旱</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186.51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65.48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65.48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4、防汛备汛</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115.61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5、农村安全饮水水厂管护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6、水利建设资金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585.28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585.28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7、排渍电费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312.15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312.15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8、钱粮湖垸（君山部分）蓄洪工程安全建设项目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9、君山区君山垸水毁修复项目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4112.15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10、君山区2022年度水源建设资金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11、三峡后续集中供水</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2899.33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28.38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12、君山垸补水工程项目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65.01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65.01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2014.73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685.18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685.18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49.37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宋体" w:hAnsi="宋体" w:cs="宋体"/>
                <w:i w:val="0"/>
                <w:iCs w:val="0"/>
                <w:color w:val="000000"/>
                <w:kern w:val="0"/>
                <w:sz w:val="22"/>
                <w:szCs w:val="22"/>
                <w:u w:val="none"/>
                <w:lang w:val="en-US" w:eastAsia="zh-CN" w:bidi="ar"/>
              </w:rPr>
              <w:t>13.33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13.33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6.31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宋体" w:hAnsi="宋体" w:cs="宋体"/>
                <w:i w:val="0"/>
                <w:iCs w:val="0"/>
                <w:color w:val="000000"/>
                <w:kern w:val="0"/>
                <w:sz w:val="22"/>
                <w:szCs w:val="22"/>
                <w:u w:val="none"/>
                <w:lang w:val="en-US" w:eastAsia="zh-CN" w:bidi="ar"/>
              </w:rPr>
              <w:t>14.36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14.36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宋体" w:hAnsi="宋体" w:cs="宋体"/>
                <w:i w:val="0"/>
                <w:iCs w:val="0"/>
                <w:color w:val="000000"/>
                <w:kern w:val="0"/>
                <w:sz w:val="22"/>
                <w:szCs w:val="22"/>
                <w:u w:val="none"/>
                <w:lang w:val="en-US" w:eastAsia="zh-CN" w:bidi="ar"/>
              </w:rPr>
              <w:t>1.86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327.09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327.09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1298.21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1298.21</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rPr>
      </w:pP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1"/>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岳阳市君山区</w:t>
            </w:r>
            <w:r>
              <w:rPr>
                <w:rFonts w:hint="eastAsia" w:ascii="仿宋_GB2312" w:hAnsi="仿宋_GB2312" w:eastAsia="仿宋_GB2312" w:cs="仿宋_GB2312"/>
                <w:color w:val="000000"/>
                <w:sz w:val="20"/>
                <w:szCs w:val="20"/>
                <w:highlight w:val="none"/>
                <w:lang w:val="en-US" w:eastAsia="zh-CN"/>
              </w:rPr>
              <w:t>水利局</w:t>
            </w:r>
          </w:p>
        </w:tc>
      </w:tr>
      <w:tr>
        <w:tblPrEx>
          <w:tblCellMar>
            <w:top w:w="0" w:type="dxa"/>
            <w:left w:w="108" w:type="dxa"/>
            <w:bottom w:w="0" w:type="dxa"/>
            <w:right w:w="108" w:type="dxa"/>
          </w:tblCellMar>
        </w:tblPrEx>
        <w:trPr>
          <w:trHeight w:val="220"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1408.64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16574.69</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16574.69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14621.28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1298.21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15276.48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1953.41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目标1：</w:t>
            </w:r>
            <w:r>
              <w:rPr>
                <w:rFonts w:hint="eastAsia" w:ascii="仿宋_GB2312" w:hAnsi="仿宋_GB2312" w:eastAsia="仿宋_GB2312" w:cs="仿宋_GB2312"/>
                <w:color w:val="000000"/>
                <w:sz w:val="20"/>
                <w:szCs w:val="20"/>
              </w:rPr>
              <w:t>在培根铸魂抓党建上交出了旗帜鲜明、对党忠诚的“政治答卷”　</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目标2：</w:t>
            </w:r>
            <w:r>
              <w:rPr>
                <w:rFonts w:hint="eastAsia" w:ascii="仿宋_GB2312" w:hAnsi="仿宋_GB2312" w:eastAsia="仿宋_GB2312" w:cs="仿宋_GB2312"/>
                <w:color w:val="000000"/>
                <w:sz w:val="20"/>
                <w:szCs w:val="20"/>
              </w:rPr>
              <w:t>在担当作为抗大旱上交出了有长旱情、无大旱灾的</w:t>
            </w:r>
            <w:r>
              <w:rPr>
                <w:rFonts w:hint="eastAsia" w:ascii="仿宋_GB2312" w:hAnsi="仿宋_GB2312" w:eastAsia="仿宋_GB2312" w:cs="仿宋_GB2312"/>
                <w:color w:val="000000"/>
                <w:sz w:val="20"/>
                <w:szCs w:val="20"/>
                <w:lang w:val="zh-CN"/>
              </w:rPr>
              <w:t>“历史</w:t>
            </w:r>
            <w:r>
              <w:rPr>
                <w:rFonts w:hint="eastAsia" w:ascii="仿宋_GB2312" w:hAnsi="仿宋_GB2312" w:eastAsia="仿宋_GB2312" w:cs="仿宋_GB2312"/>
                <w:color w:val="000000"/>
                <w:sz w:val="20"/>
                <w:szCs w:val="20"/>
              </w:rPr>
              <w:t>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目标3：</w:t>
            </w:r>
            <w:r>
              <w:rPr>
                <w:rFonts w:hint="eastAsia" w:ascii="仿宋_GB2312" w:hAnsi="仿宋_GB2312" w:eastAsia="仿宋_GB2312" w:cs="仿宋_GB2312"/>
                <w:color w:val="000000"/>
                <w:sz w:val="20"/>
                <w:szCs w:val="20"/>
              </w:rPr>
              <w:t>在服务经济稳大盘上交出了增效赋能、提质加速的“发展答卷”</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.加快推进中型灌区节水配套改造和平原水库除险加固工程</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目标</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.深入推进河长制工作和水政水资源管理工作</w:t>
            </w: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完成任务1：</w:t>
            </w:r>
            <w:r>
              <w:rPr>
                <w:rFonts w:hint="eastAsia" w:ascii="仿宋_GB2312" w:hAnsi="仿宋_GB2312" w:eastAsia="仿宋_GB2312" w:cs="仿宋_GB2312"/>
                <w:color w:val="000000"/>
                <w:sz w:val="20"/>
                <w:szCs w:val="20"/>
              </w:rPr>
              <w:t>针对2022年以来的连续干旱，全力抗御今年春夏秋连旱。年初协调长江补水一期工程、君山垸补水工程从长江补水2700万方，在华容河罐头尖临时架设移动水泵应急补水60万方，确保全区春耕保种安全。在7、8月高温干旱期间，启用泵站43处、抗旱设备779台套，分别在洞庭湖、藕池河架设移动水泵、筑坝拦蓄水源，日均向钱南垸补水7.2万方；在许市镇铺设压力输水管道，确保1300亩农田灌溉用水需求。</w:t>
            </w:r>
          </w:p>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完成任务2：</w:t>
            </w:r>
            <w:r>
              <w:rPr>
                <w:rFonts w:hint="eastAsia" w:ascii="仿宋_GB2312" w:hAnsi="仿宋_GB2312" w:eastAsia="仿宋_GB2312" w:cs="仿宋_GB2312"/>
                <w:color w:val="000000"/>
                <w:sz w:val="20"/>
                <w:szCs w:val="20"/>
              </w:rPr>
              <w:t>调度电排机组开机110台次1025小时，排渍648万方，确保全区没有出现涝渍灾害。</w:t>
            </w:r>
          </w:p>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完成任务3：</w:t>
            </w:r>
            <w:r>
              <w:rPr>
                <w:rFonts w:hint="eastAsia" w:ascii="仿宋_GB2312" w:hAnsi="仿宋_GB2312" w:eastAsia="仿宋_GB2312" w:cs="仿宋_GB2312"/>
                <w:color w:val="000000"/>
                <w:sz w:val="20"/>
                <w:szCs w:val="20"/>
              </w:rPr>
              <w:t>全面完成了分洪闸工程、君山区十四五排涝能力建设一期工程、君山区水库除险加固工程、君山垸补水工程、农村水源工程、君山区集中供水工程和良心堡、方台湖安全区建设年度任务，共完成泵站更新改造15个、渠道护砌6800m、铺设配水管网25.7km，特别是全面完成了君山垸补水工程，改建了长沟子取水泵船和水闸6处，衬砌加固渠道3.58km，新建输水管道6.4km，有效地解决了君山垸居民生活用水、农业灌溉用水和生态补水问题。</w:t>
            </w:r>
          </w:p>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完成任务4：积极对接争取了7个水利项目（非省厅打捆项目5个）纳入2024年新增国债项目清单，其中在建项目2个，新建项目5个，安排国债资金3.5802亿元，资金规模位于全市前列。</w:t>
            </w:r>
          </w:p>
          <w:p>
            <w:pPr>
              <w:widowControl/>
              <w:spacing w:line="240" w:lineRule="exact"/>
              <w:ind w:firstLine="200" w:firstLineChars="1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完成任务5</w:t>
            </w:r>
            <w:r>
              <w:rPr>
                <w:rFonts w:hint="eastAsia" w:ascii="仿宋_GB2312" w:hAnsi="仿宋_GB2312" w:eastAsia="仿宋_GB2312" w:cs="仿宋_GB2312"/>
                <w:color w:val="000000"/>
                <w:sz w:val="20"/>
                <w:szCs w:val="20"/>
              </w:rPr>
              <w:t>狠抓河湖长制“四加”工作，打造“五化”特色亮点，全力攻克“洞庭清波”、图斑问题核查、“清河净滩”“清四乱”等重点难点问题</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trHeight w:val="280"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0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水行政执法从严从紧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重点水域共开展巡查160余次，查办案件26起。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完成沟渠塘坝清淤工作</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整改了省河长办交办的图斑问题</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完成192个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防汛抗旱工作</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　　完成防汛抗旱工作</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抓好汛情研判、监测预警、工程调度、督查督导等工作，确保了度汛安全。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水利工程建设</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完成100%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开展安全生产专项检查30多次，排除了隐患。</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农村饮水安全工作</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持续保持饮水安全问题动态清零，确保群众喝上干净水、放心水。</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保障项目顺利开展，推动水利经济持续稳步发展。</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保障社会稳定，加强全区水利安全保障。</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保障全区防洪安全，打造最美长江线。</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加快湖堤标准化建设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排渍电费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highlight w:val="none"/>
                <w:lang w:val="en-US" w:eastAsia="zh-CN"/>
              </w:rPr>
              <w:t>区排渍电费300万，用于排渍电费，主要用于排渍、抗旱电费开支。主要目标为保证设备的稳定运行，为防汛抗旱工作对提供有效保障。</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213.3万用于排渍电费，103.7万用于抗旱电费，保证了防汛抗旱设备的正常运作，确保了各项工程的稳定运行。</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排渍、抗旱电费已全部上缴到位，进入汛期后，严格执行24小时领导带班值班制，迎战了5轮强降雨，调度电排机埠开机665台次，排渍6485小时，确保全区没有出现涝渍灾害。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非汛期、旱期情况下排渍电费量4000000千瓦时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排渍口应急检测次数28次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电排实际用电量/正常工作用电量95%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社区共同参与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保护估计降低周围水旱灾害经济损失</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保护周围民生免受水旱影响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在排渍时不影响生态环境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防汛备汛</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区防汛备汛资金180万，用于防汛备汛工作，主要用于度汛安全隐患整治、预防性试验投入、抗旱设备设施维修、气象服务等。主要目标为完成度汛安全隐患整治，保证我区水利工程的正常运行，保障人民的生命财产安全。</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度汛安全隐患整治投入70.66万元。其中，20万用于水产养殖场区段安全隐患整治；10万用于君山垸电排总站穆湖铺电排箱涵整修；10万用于钱北垸水委会钱口电排出水渠滑坡整修；10万用于建设垸水委会西干渠脱坡安全隐患整治；8万用于建设垸电排总站广兴电排前池护坡安全隐患整治；4.66万用于采桑湖防汛仓库安全隐患整治；5万用于钱南垸水委会小团洲垸防汛仓库安全隐患整治；3万用于东闸防汛仓库安全隐患整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防性试验投入43.34万元。其中，对所有高低压设备、接地装置、励磁、继电保护、起重及整组试验投入情况：钱粮湖垸电排总站悦来河电排3万元、钱粮湖垸电排总站七0泵站3.9万元、建设垸电排总站广兴洲3万元、君山垸电排总站穆湖铺电排3万元、君山垸电排总站七0泵站1.8万元、建设西垸水委会友谊电排3万元；电排配套设备及耗件采购情况：建设西垸水委会17.84万元、君山垸电排总站6.84万元、建设垸电排总站4万元、钱粮湖垸电排总站5万元、建设西垸水委会2万元；建设西垸水委会3KV线路砍青扫障6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抗旱设备采购及维修20万元。对抗旱设备设施维修及耗件采购情况：钱南垸水委会4万元、钱北垸水委会4万元、君山垸水委会4万元、建设垸水委会4万元、建设西垸水委会4万元。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区水旱灾害防御事务中心水位复核10万元；防汛抗旱应急演练8万元；气象服务及人工增雨服务10万元；气象预测预报系统建设10万元；小型泵站管理与保护范围划界8万元。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金完成情况：已开展人工增雨23次，发射火箭弹33枚、高射炮82发，累计增加雨量29毫米，有效缓和了部分地区的土壤墒情。君山区灌区、华洪运河、友谊电排、广兴电排水利工程维修养护，防汛仓库安全隐患整治，抗旱设备设施维修等任务已全部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巡堤一天3次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≥3次/天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抗旱设备设施维修维护</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防止出现险情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=0次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保证安全隐患整治资金使用得当</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降低周围水旱灾害损失</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保护垸内人民群众财产安全</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pStyle w:val="10"/>
        <w:rPr>
          <w:rFonts w:hint="default" w:ascii="Times New Roman" w:hAnsi="Times New Roman" w:eastAsia="仿宋_GB2312" w:cs="Times New Roman"/>
          <w:sz w:val="22"/>
          <w:szCs w:val="22"/>
          <w:highlight w:val="none"/>
        </w:rPr>
      </w:pPr>
    </w:p>
    <w:p>
      <w:pPr>
        <w:pStyle w:val="10"/>
        <w:rPr>
          <w:rFonts w:hint="default" w:ascii="Times New Roman" w:hAnsi="Times New Roman" w:eastAsia="仿宋_GB2312" w:cs="Times New Roman"/>
          <w:sz w:val="22"/>
          <w:szCs w:val="22"/>
          <w:highlight w:val="none"/>
        </w:rPr>
      </w:pPr>
    </w:p>
    <w:p>
      <w:pPr>
        <w:pStyle w:val="10"/>
        <w:ind w:left="0" w:leftChars="0" w:firstLine="0" w:firstLineChars="0"/>
        <w:rPr>
          <w:rFonts w:hint="eastAsia" w:ascii="Times New Roman" w:hAnsi="Times New Roman" w:eastAsia="仿宋_GB2312" w:cs="Times New Roman"/>
          <w:sz w:val="22"/>
          <w:szCs w:val="22"/>
          <w:highlight w:val="none"/>
          <w:lang w:val="en-US" w:eastAsia="zh-CN"/>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防汛抗旱</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区防汛抗旱资金90万，用于防汛工作，主要用于防汛抗旱工作生活基本开支、设备稳定运行等。主要目标为保证设备的稳定运行，保障人员的日常生活。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22.3万用于防汛期间食堂开支；1.4万用于采购水质检测设备、农银中心文印费等；3.9万用于河长办宣传资料制作费；5.4万用于扶贫工作支出；2万用于安装</w:t>
            </w:r>
            <w:r>
              <w:rPr>
                <w:rFonts w:hint="default" w:ascii="仿宋_GB2312" w:hAnsi="仿宋_GB2312" w:eastAsia="仿宋_GB2312" w:cs="仿宋_GB2312"/>
                <w:color w:val="000000"/>
                <w:sz w:val="20"/>
                <w:szCs w:val="20"/>
                <w:highlight w:val="none"/>
                <w:lang w:val="en-US" w:eastAsia="zh-CN"/>
              </w:rPr>
              <w:t>地下车库门警系统</w:t>
            </w:r>
            <w:r>
              <w:rPr>
                <w:rFonts w:hint="eastAsia" w:ascii="仿宋_GB2312" w:hAnsi="仿宋_GB2312" w:eastAsia="仿宋_GB2312" w:cs="仿宋_GB2312"/>
                <w:color w:val="000000"/>
                <w:sz w:val="20"/>
                <w:szCs w:val="20"/>
                <w:highlight w:val="none"/>
                <w:lang w:val="en-US" w:eastAsia="zh-CN"/>
              </w:rPr>
              <w:t>；2.3万用于办公楼日常维修及环卫费。17万用于工会经费、安保人员工资及社保、实习工资、安全生产津贴等；4.4万用于购置电脑、空调、电池、办公室杯子等；2.5万付2022年度报刊费、杂志订阅等；1.2万付2022年度财务委托费用；1.3万付防汛网络费；1.2万付机关电视收视费等。</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巡堤一天3次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≥3次/天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抗旱设备设施维修维护</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防止出现险情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=0次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=0次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保证防汛抗旱资金使用得当</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降低周围水旱灾害损失</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保护垸内人民群众财产安全</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ind w:firstLine="1100" w:firstLineChars="500"/>
        <w:jc w:val="both"/>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仿宋_GB2312" w:cs="Times New Roman"/>
          <w:sz w:val="22"/>
          <w:szCs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水利建设资金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用于水利建设项目，主要用于水利建设、安全隐患整修、水闸确权划界、泵站管理与保护范围划界等。主要目标为保证我区水利工程的正常运行，确保安全度汛。</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ind w:left="0" w:leftChars="0" w:firstLine="400" w:firstLineChars="200"/>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完成小型水闸确权划界；小型泵站管理与保护范围划界；君山垸水委会南堤路面恢复；长江干堤荆江门段、洪水港段岸线护坡整修；团北闸、友谊闸除险加固；友谊堤脱坡整修；华容河堤小团洲垸段堤顶道路整修；广兴电排消力池整修等，防汛抗旱工作得到有利保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沟渠安全隐患整修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完成4个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水利建设项目按时完成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确保安全度汛</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保证水利建设资金使用得当</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根据每年汛期隐患安全影响保守估计减少1000万元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通过水利设施修复消除安全隐患</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农村安全饮水水厂管护</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ind w:firstLine="643"/>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xml:space="preserve">   区农村供水工程维修养护资金为50万，用于我区5个千吨万人农村供水工程。主要内容为用于农村供水工程的设备维修、管网维修、抢修、管护，日常水质消毒、水质检测。主要目标为保障我区农村供水工程的正常运行，确保水质合格，确保人民群众饮水安全。</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pStyle w:val="7"/>
              <w:ind w:left="199" w:leftChars="71" w:firstLine="472" w:firstLineChars="236"/>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截至2023年12月30日，5个水厂维修护全部完成，共计完成设备维修27台次、管网维修565处、管网抢修2340米及全年消毒、检测工作。我区农村供水工程2022全年度水质合格率100%，全年度供水正常稳定，未发生规模性断水事故，供水保证率100%。经验收合格率100%，无历史遗留问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农村人口自来水使用率97.3%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已达到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农村供水工程的设备维修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共计完成设备维修27台次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管网维修管网维修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管网维修565处、管网抢修2340米及全年消毒、检测工作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确保人民群众饮水安全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保障我区农村供水工程的正常运行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农村供水保障水平，为区域经济发展提供保障</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保护垸内人民群众财产安全</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11"/>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6"/>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6"/>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1BCD131B"/>
    <w:multiLevelType w:val="singleLevel"/>
    <w:tmpl w:val="1BCD131B"/>
    <w:lvl w:ilvl="0" w:tentative="0">
      <w:start w:val="8"/>
      <w:numFmt w:val="chineseCounting"/>
      <w:suff w:val="nothing"/>
      <w:lvlText w:val="%1、"/>
      <w:lvlJc w:val="left"/>
      <w:rPr>
        <w:rFonts w:hint="eastAsia"/>
      </w:rPr>
    </w:lvl>
  </w:abstractNum>
  <w:abstractNum w:abstractNumId="2">
    <w:nsid w:val="1DD36296"/>
    <w:multiLevelType w:val="singleLevel"/>
    <w:tmpl w:val="1DD36296"/>
    <w:lvl w:ilvl="0" w:tentative="0">
      <w:start w:val="1"/>
      <w:numFmt w:val="chineseCounting"/>
      <w:suff w:val="nothing"/>
      <w:lvlText w:val="%1、"/>
      <w:lvlJc w:val="left"/>
      <w:rPr>
        <w:rFonts w:hint="eastAsia"/>
      </w:rPr>
    </w:lvl>
  </w:abstractNum>
  <w:abstractNum w:abstractNumId="3">
    <w:nsid w:val="59CC8B3D"/>
    <w:multiLevelType w:val="singleLevel"/>
    <w:tmpl w:val="59CC8B3D"/>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abstractNum w:abstractNumId="5">
    <w:nsid w:val="72666873"/>
    <w:multiLevelType w:val="singleLevel"/>
    <w:tmpl w:val="72666873"/>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mFhNjliNzA4OTAwNWRhNmFmMGNiYTRjMzFjNDMifQ=="/>
  </w:docVars>
  <w:rsids>
    <w:rsidRoot w:val="59886344"/>
    <w:rsid w:val="02DA1B72"/>
    <w:rsid w:val="09570789"/>
    <w:rsid w:val="0A467A21"/>
    <w:rsid w:val="0BB97AC8"/>
    <w:rsid w:val="0E710FB3"/>
    <w:rsid w:val="1356560D"/>
    <w:rsid w:val="18540567"/>
    <w:rsid w:val="1AB01AA7"/>
    <w:rsid w:val="1AD81A1B"/>
    <w:rsid w:val="1CA0631C"/>
    <w:rsid w:val="1CB462C1"/>
    <w:rsid w:val="1F38206B"/>
    <w:rsid w:val="22220C72"/>
    <w:rsid w:val="274176DD"/>
    <w:rsid w:val="2CB52ADF"/>
    <w:rsid w:val="2D7A1A9E"/>
    <w:rsid w:val="2E114AFB"/>
    <w:rsid w:val="30E450F8"/>
    <w:rsid w:val="338866DE"/>
    <w:rsid w:val="3518051D"/>
    <w:rsid w:val="36C93C0A"/>
    <w:rsid w:val="3A0164D6"/>
    <w:rsid w:val="3CAC7C7D"/>
    <w:rsid w:val="3CE26112"/>
    <w:rsid w:val="3DD57CCC"/>
    <w:rsid w:val="3F57761E"/>
    <w:rsid w:val="48992A55"/>
    <w:rsid w:val="49C65963"/>
    <w:rsid w:val="4B5B6BCB"/>
    <w:rsid w:val="52CE75CF"/>
    <w:rsid w:val="55004DFD"/>
    <w:rsid w:val="58670CF0"/>
    <w:rsid w:val="597B2CA5"/>
    <w:rsid w:val="59886344"/>
    <w:rsid w:val="5A5A0E47"/>
    <w:rsid w:val="5C5A0BD2"/>
    <w:rsid w:val="5CCD6BA5"/>
    <w:rsid w:val="5CF9234B"/>
    <w:rsid w:val="5D786C85"/>
    <w:rsid w:val="5E886B68"/>
    <w:rsid w:val="5F246552"/>
    <w:rsid w:val="6516562F"/>
    <w:rsid w:val="656A5111"/>
    <w:rsid w:val="6684666A"/>
    <w:rsid w:val="66954A48"/>
    <w:rsid w:val="66D77B48"/>
    <w:rsid w:val="68193552"/>
    <w:rsid w:val="6A6D7AAB"/>
    <w:rsid w:val="6AD037C8"/>
    <w:rsid w:val="70C62A07"/>
    <w:rsid w:val="73691554"/>
    <w:rsid w:val="75B30CEC"/>
    <w:rsid w:val="76125D2B"/>
    <w:rsid w:val="7A05059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line="600" w:lineRule="exact"/>
      <w:ind w:firstLine="880" w:firstLineChars="200"/>
    </w:pPr>
    <w:rPr>
      <w:rFonts w:ascii="Cambria" w:hAnsi="Cambria" w:eastAsia="黑体" w:cs="Times New Roman"/>
      <w:sz w:val="20"/>
      <w:szCs w:val="24"/>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customStyle="1" w:styleId="4">
    <w:name w:val="正文首行缩进1"/>
    <w:basedOn w:val="1"/>
    <w:autoRedefine/>
    <w:qFormat/>
    <w:uiPriority w:val="0"/>
    <w:pPr>
      <w:spacing w:after="120"/>
      <w:ind w:firstLine="420" w:firstLineChars="100"/>
    </w:pPr>
  </w:style>
  <w:style w:type="paragraph" w:styleId="5">
    <w:name w:val="Body Text Indent"/>
    <w:basedOn w:val="1"/>
    <w:next w:val="6"/>
    <w:qFormat/>
    <w:uiPriority w:val="0"/>
    <w:pPr>
      <w:spacing w:after="120"/>
      <w:ind w:left="420" w:leftChars="200"/>
    </w:pPr>
    <w:rPr>
      <w:rFonts w:eastAsia="宋体" w:cs="Times New Roman"/>
    </w:rPr>
  </w:style>
  <w:style w:type="paragraph" w:customStyle="1" w:styleId="6">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styleId="7">
    <w:name w:val="table of figures"/>
    <w:basedOn w:val="1"/>
    <w:next w:val="1"/>
    <w:unhideWhenUsed/>
    <w:uiPriority w:val="99"/>
    <w:pPr>
      <w:spacing w:before="100" w:beforeAutospacing="1" w:after="100" w:afterAutospacing="1"/>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spacing w:line="600" w:lineRule="exact"/>
      <w:ind w:firstLine="200" w:firstLineChars="200"/>
    </w:pPr>
    <w:rPr>
      <w:rFonts w:eastAsia="仿宋_GB2312"/>
      <w:sz w:val="24"/>
      <w:szCs w:val="32"/>
    </w:rPr>
  </w:style>
  <w:style w:type="paragraph" w:styleId="10">
    <w:name w:val="Body Text First Indent 2"/>
    <w:basedOn w:val="5"/>
    <w:uiPriority w:val="0"/>
    <w:pPr>
      <w:spacing w:before="100" w:beforeAutospacing="1" w:after="0"/>
      <w:ind w:left="0" w:firstLine="420" w:firstLineChars="200"/>
    </w:pPr>
    <w:rPr>
      <w:rFonts w:ascii="Calibri" w:hAnsi="Calibri"/>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rFonts w:ascii="Calibri" w:hAnsi="Calibri"/>
      <w:szCs w:val="22"/>
    </w:rPr>
  </w:style>
  <w:style w:type="paragraph" w:customStyle="1" w:styleId="15">
    <w:name w:val="Normal_0"/>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10848</Words>
  <Characters>12042</Characters>
  <Lines>0</Lines>
  <Paragraphs>0</Paragraphs>
  <TotalTime>7</TotalTime>
  <ScaleCrop>false</ScaleCrop>
  <LinksUpToDate>false</LinksUpToDate>
  <CharactersWithSpaces>12657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ZQ</cp:lastModifiedBy>
  <dcterms:modified xsi:type="dcterms:W3CDTF">2024-07-16T03:41:40Z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0BDAFD84E93F41E789BE8F60CD2B380B_13</vt:lpwstr>
  </property>
</Properties>
</file>